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6"/>
        </w:rPr>
      </w:pPr>
      <w:bookmarkStart w:id="0" w:name="mypage"/>
      <w:bookmarkStart w:id="1" w:name="rcel-20260331.htm"/>
      <w:bookmarkStart w:id="2" w:name="ksrcel20260331"/>
      <w:bookmarkEnd w:id="0"/>
      <w:bookmarkEnd w:id="1"/>
      <w:bookmarkEnd w:id="2"/>
      <w:r>
        <w:rPr>
          <w:rFonts w:ascii="Times New Roman" w:hAnsi="Times New Roman"/>
          <w:b/>
          <w:color w:val="000000"/>
          <w:sz w:val="16"/>
        </w:rPr>
        <w:t>As filed with the Securities and Exchange Commission on March 31, 2026</w:t>
      </w:r>
    </w:p>
    <w:p>
      <w:pPr>
        <w:pStyle w:val="TextBody"/>
        <w:bidi w:val="0"/>
        <w:jc w:val="right"/>
        <w:rPr>
          <w:rFonts w:ascii="Times New Roman" w:hAnsi="Times New Roman"/>
          <w:sz w:val="20"/>
        </w:rPr>
      </w:pPr>
      <w:r>
        <w:rPr>
          <w:rFonts w:ascii="Times New Roman" w:hAnsi="Times New Roman"/>
          <w:b/>
          <w:color w:val="000000"/>
          <w:sz w:val="16"/>
        </w:rPr>
        <w:t>Registration No. 333-</w:t>
      </w:r>
      <w:r>
        <w:rPr>
          <w:rFonts w:ascii="Times New Roman" w:hAnsi="Times New Roman"/>
          <w:color w:val="000000"/>
          <w:sz w:val="20"/>
          <w:u w:val="single"/>
        </w:rPr>
        <w:t>   </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27"/>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7"/>
        </w:rPr>
      </w:pPr>
      <w:r>
        <w:rPr>
          <w:rFonts w:ascii="Times New Roman" w:hAnsi="Times New Roman"/>
          <w:b/>
          <w:color w:val="000000"/>
          <w:sz w:val="27"/>
        </w:rPr>
        <w:t>SECURITIES AND EXCHANGE COMMISSION</w:t>
      </w:r>
    </w:p>
    <w:p>
      <w:pPr>
        <w:pStyle w:val="TextBody"/>
        <w:bidi w:val="0"/>
        <w:jc w:val="center"/>
        <w:rPr>
          <w:rFonts w:ascii="Times New Roman" w:hAnsi="Times New Roman"/>
          <w:sz w:val="20"/>
        </w:rPr>
      </w:pPr>
      <w:r>
        <w:rPr>
          <w:rFonts w:ascii="Times New Roman" w:hAnsi="Times New Roman"/>
          <w:b/>
          <w:color w:val="000000"/>
          <w:sz w:val="19"/>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7"/>
        </w:rPr>
        <w:t>FORM S-3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7"/>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19"/>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19"/>
        </w:rPr>
        <w:t>THE SECURITIES ACT OF 1933</w:t>
      </w:r>
      <w:r>
        <w:rPr>
          <w:rFonts w:ascii="Times New Roman" w:hAnsi="Times New Roman"/>
          <w:color w:val="000000"/>
          <w:sz w:val="20"/>
        </w:rPr>
        <w:t xml:space="preserve"> </w:t>
      </w:r>
    </w:p>
    <w:p>
      <w:pPr>
        <w:pStyle w:val="TextBody"/>
        <w:bidi w:val="0"/>
        <w:jc w:val="center"/>
        <w:rPr/>
      </w:pPr>
      <w:r>
        <w:rPr/>
        <w:drawing>
          <wp:inline distT="0" distB="0" distL="0" distR="0">
            <wp:extent cx="1552575" cy="1857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1857375"/>
                    </a:xfrm>
                    <a:prstGeom prst="rect">
                      <a:avLst/>
                    </a:prstGeom>
                  </pic:spPr>
                </pic:pic>
              </a:graphicData>
            </a:graphic>
          </wp:inline>
        </w:drawing>
      </w:r>
    </w:p>
    <w:p>
      <w:pPr>
        <w:pStyle w:val="TextBody"/>
        <w:bidi w:val="0"/>
        <w:spacing w:before="40" w:after="283"/>
        <w:jc w:val="center"/>
        <w:rPr>
          <w:rFonts w:ascii="Times New Roman" w:hAnsi="Times New Roman"/>
          <w:sz w:val="20"/>
        </w:rPr>
      </w:pPr>
      <w:r>
        <w:rPr>
          <w:rFonts w:ascii="Times New Roman" w:hAnsi="Times New Roman"/>
          <w:b/>
          <w:color w:val="000000"/>
          <w:sz w:val="39"/>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85-1021707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rFonts w:ascii="Times New Roman" w:hAnsi="Times New Roman"/>
          <w:sz w:val="20"/>
        </w:rPr>
      </w:pPr>
      <w:r>
        <w:rPr>
          <w:rFonts w:ascii="Times New Roman" w:hAnsi="Times New Roman"/>
          <w:b/>
          <w:color w:val="000000"/>
          <w:sz w:val="16"/>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Valencia, CA 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(661) 367-9170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Nicole Kelsey</w:t>
      </w:r>
    </w:p>
    <w:p>
      <w:pPr>
        <w:pStyle w:val="TextBody"/>
        <w:bidi w:val="0"/>
        <w:jc w:val="center"/>
        <w:rPr>
          <w:rFonts w:ascii="Times New Roman" w:hAnsi="Times New Roman"/>
          <w:sz w:val="20"/>
        </w:rPr>
      </w:pPr>
      <w:r>
        <w:rPr>
          <w:rFonts w:ascii="Times New Roman" w:hAnsi="Times New Roman"/>
          <w:b/>
          <w:color w:val="000000"/>
          <w:sz w:val="16"/>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Valencia, CA 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(661) 367-9170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i/>
          <w:color w:val="000000"/>
          <w:sz w:val="16"/>
        </w:rPr>
        <w:t>Copies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Christopher H. Cunningham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Coleman Wombwell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K&amp;L Gates LLP</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300 South Tryon Street</w:t>
      </w:r>
    </w:p>
    <w:p>
      <w:pPr>
        <w:pStyle w:val="TextBody"/>
        <w:bidi w:val="0"/>
        <w:jc w:val="center"/>
        <w:rPr>
          <w:rFonts w:ascii="Times New Roman" w:hAnsi="Times New Roman"/>
          <w:sz w:val="20"/>
        </w:rPr>
      </w:pPr>
      <w:r>
        <w:rPr>
          <w:rFonts w:ascii="Times New Roman" w:hAnsi="Times New Roman"/>
          <w:b/>
          <w:color w:val="000000"/>
          <w:sz w:val="16"/>
        </w:rPr>
        <w:t>Suite 1000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Charlotte, NC 28202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(704) 331-7400</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From time to time after the effective date of this Registration Statement, as determined by the registrant.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(Approximate date of commencement of proposed sale to the public)</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the only securities being registered on this Form are being offered pursuant to dividend or interest reinvestment plans, please check the following box.</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this Form is a post-effective amendment filed pursuant to Rule 462(c) under the Securities Act, check the following box and list the Securities Act registration statement number of the earlier effective registration statement for the same offering.</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this Form is a registration statement pursuant to General Instruction I.D. or a post-effective amendment thereto that shall become effective upon filing with the Commission pursuant to Rule 462(e) under the Securities Act, check the following box.</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If this Form is a post-effective amendment to a registration statement filed pursuant to General Instruction I.D. filed to register additional securities or additional classes of securities pursuant to Rule 413(b) under the Securities Act, check the following box.</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3079" w:type="dxa"/>
        <w:jc w:val="left"/>
        <w:tblInd w:w="0" w:type="dxa"/>
        <w:tblLayout w:type="fixed"/>
        <w:tblCellMar>
          <w:top w:w="28" w:type="dxa"/>
          <w:left w:w="28" w:type="dxa"/>
          <w:bottom w:w="28" w:type="dxa"/>
          <w:right w:w="28" w:type="dxa"/>
        </w:tblCellMar>
      </w:tblPr>
      <w:tblGrid>
        <w:gridCol w:w="1366"/>
        <w:gridCol w:w="316"/>
        <w:gridCol w:w="103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3649" w:type="dxa"/>
        <w:jc w:val="left"/>
        <w:tblInd w:w="0" w:type="dxa"/>
        <w:tblLayout w:type="fixed"/>
        <w:tblCellMar>
          <w:top w:w="28" w:type="dxa"/>
          <w:left w:w="28" w:type="dxa"/>
          <w:bottom w:w="28" w:type="dxa"/>
          <w:right w:w="28" w:type="dxa"/>
        </w:tblCellMar>
      </w:tblPr>
      <w:tblGrid>
        <w:gridCol w:w="1306"/>
        <w:gridCol w:w="316"/>
        <w:gridCol w:w="1666"/>
        <w:gridCol w:w="361"/>
      </w:tblGrid>
      <w:tr>
        <w:trPr/>
        <w:tc>
          <w:tcPr>
            <w:tcW w:w="13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b/>
          <w:color w:val="000000"/>
          <w:sz w:val="14"/>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FF4338"/>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Times New Roman" w:hAnsi="Times New Roman"/>
          <w:color w:val="FF4338"/>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FF4338"/>
          <w:sz w:val="20"/>
        </w:rPr>
        <w:t>SUBJECT TO COMPLETION, DATED MARCH 31, 2026</w:t>
      </w:r>
      <w:r>
        <w:rPr>
          <w:rFonts w:ascii="Times New Roman" w:hAnsi="Times New Roman"/>
          <w:color w:val="FF4338"/>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48"/>
        </w:rPr>
        <w:t>AVITA MEDICAL, INC.</w:t>
      </w:r>
      <w:r>
        <w:rPr>
          <w:rFonts w:ascii="Times New Roman" w:hAnsi="Times New Roman"/>
          <w:color w:val="000000"/>
          <w:sz w:val="20"/>
        </w:rPr>
        <w:t xml:space="preserve"> </w:t>
      </w:r>
    </w:p>
    <w:p>
      <w:pPr>
        <w:pStyle w:val="TextBody"/>
        <w:bidi w:val="0"/>
        <w:jc w:val="center"/>
        <w:rPr/>
      </w:pPr>
      <w:r>
        <w:rPr/>
        <w:drawing>
          <wp:inline distT="0" distB="0" distL="0" distR="0">
            <wp:extent cx="1552575" cy="1857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2575" cy="1857375"/>
                    </a:xfrm>
                    <a:prstGeom prst="rect">
                      <a:avLst/>
                    </a:prstGeom>
                  </pic:spPr>
                </pic:pic>
              </a:graphicData>
            </a:graphic>
          </wp:inline>
        </w:drawing>
      </w:r>
    </w:p>
    <w:p>
      <w:pPr>
        <w:pStyle w:val="TextBody"/>
        <w:bidi w:val="0"/>
        <w:spacing w:before="180" w:after="283"/>
        <w:jc w:val="center"/>
        <w:rPr>
          <w:rFonts w:ascii="Times New Roman" w:hAnsi="Times New Roman"/>
          <w:sz w:val="20"/>
        </w:rPr>
      </w:pPr>
      <w:r>
        <w:rPr>
          <w:rFonts w:ascii="Times New Roman" w:hAnsi="Times New Roman"/>
          <w:b/>
          <w:color w:val="000000"/>
          <w:sz w:val="36"/>
        </w:rPr>
        <w:t>$200,000,000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8"/>
        </w:rPr>
        <w:t>of</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8"/>
        </w:rPr>
        <w:t>COMMON STOCK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PREFERRED STOCK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WARRANTS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UNITS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or deemed to be incorporated by reference in this prospectus and any prospectus supplement, carefully before you make your investment decision. This prospectus may not be used to offer and sell securities unless accompanied by a prospectus supplement for those securities.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common stock trades on The Nasdaq Stock Market LLC (“Nasdaq”) under the symbol “RCEL.” As of close of the Nasdaq on March 30, 2026, the sale price for our common stock was $3.63 per share. </w:t>
      </w:r>
    </w:p>
    <w:p>
      <w:pPr>
        <w:pStyle w:val="TextBody"/>
        <w:bidi w:val="0"/>
        <w:spacing w:before="180" w:after="283"/>
        <w:jc w:val="left"/>
        <w:rPr/>
      </w:pPr>
      <w:r>
        <w:rPr>
          <w:rFonts w:ascii="Times New Roman" w:hAnsi="Times New Roman"/>
          <w:b/>
          <w:color w:val="000000"/>
          <w:sz w:val="24"/>
        </w:rPr>
        <w:t>See “</w:t>
      </w:r>
      <w:hyperlink w:anchor="rf">
        <w:r>
          <w:rPr>
            <w:rStyle w:val="InternetLink"/>
            <w:rFonts w:ascii="Times New Roman" w:hAnsi="Times New Roman"/>
            <w:b/>
            <w:color w:val="0000FF"/>
            <w:sz w:val="24"/>
            <w:u w:val="single"/>
          </w:rPr>
          <w:t>Risk Factors</w:t>
        </w:r>
      </w:hyperlink>
      <w:r>
        <w:rPr>
          <w:rFonts w:ascii="Times New Roman" w:hAnsi="Times New Roman"/>
          <w:color w:val="000000"/>
          <w:sz w:val="20"/>
        </w:rPr>
        <w:t xml:space="preserve">” </w:t>
      </w:r>
      <w:r>
        <w:rPr>
          <w:rFonts w:ascii="Times New Roman" w:hAnsi="Times New Roman"/>
          <w:b/>
          <w:color w:val="000000"/>
          <w:sz w:val="24"/>
        </w:rPr>
        <w:t>beginning on page 2 of this prospectus, together with risk factors contained in any applicable prospectus supplement, for factors you should consider before buying any of our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color w:val="000000"/>
          <w:sz w:val="20"/>
        </w:rPr>
        <w:t>Neither the U.S.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bookmarkStart w:id="3" w:name="toc"/>
      <w:bookmarkEnd w:id="3"/>
      <w:r>
        <w:rPr>
          <w:rFonts w:ascii="Times New Roman" w:hAnsi="Times New Roman"/>
          <w:b/>
          <w:color w:val="000000"/>
          <w:sz w:val="20"/>
        </w:rPr>
        <w:t>The date of this Prospectus is , 2026.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6542" w:type="dxa"/>
        <w:jc w:val="left"/>
        <w:tblInd w:w="0" w:type="dxa"/>
        <w:tblLayout w:type="fixed"/>
        <w:tblCellMar>
          <w:top w:w="28" w:type="dxa"/>
          <w:left w:w="28" w:type="dxa"/>
          <w:bottom w:w="28" w:type="dxa"/>
          <w:right w:w="28" w:type="dxa"/>
        </w:tblCellMar>
      </w:tblPr>
      <w:tblGrid>
        <w:gridCol w:w="5821"/>
        <w:gridCol w:w="721"/>
      </w:tblGrid>
      <w:tr>
        <w:trPr/>
        <w:tc>
          <w:tcPr>
            <w:tcW w:w="582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16"/>
              </w:rPr>
            </w:pPr>
            <w:r>
              <w:rPr>
                <w:rFonts w:ascii="Times New Roman" w:hAnsi="Times New Roman"/>
                <w:color w:val="000000"/>
                <w:sz w:val="16"/>
              </w:rPr>
              <w:t>Page</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
              <w:r>
                <w:rPr>
                  <w:rStyle w:val="InternetLink"/>
                  <w:rFonts w:ascii="Times New Roman" w:hAnsi="Times New Roman"/>
                  <w:color w:val="0000FF"/>
                  <w:sz w:val="20"/>
                  <w:u w:val="single"/>
                </w:rPr>
                <w:t>ABOUT THIS PROSPECTUS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2">
              <w:r>
                <w:rPr>
                  <w:rStyle w:val="InternetLink"/>
                  <w:rFonts w:ascii="Times New Roman" w:hAnsi="Times New Roman"/>
                  <w:color w:val="0000FF"/>
                  <w:sz w:val="20"/>
                  <w:u w:val="single"/>
                </w:rPr>
                <w:t>FORWARD-LOOKING STATEMENTS</w:t>
              </w:r>
            </w:hyperlink>
            <w:hyperlink w:anchor="tx435307_2">
              <w:r>
                <w:rPr>
                  <w:rStyle w:val="InternetLink"/>
                  <w:rFonts w:ascii="Times New Roman" w:hAnsi="Times New Roman"/>
                  <w:color w:val="0000FF"/>
                  <w:sz w:val="20"/>
                </w:rPr>
                <w:t xml:space="preserve"> </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rf">
              <w:r>
                <w:rPr>
                  <w:rStyle w:val="InternetLink"/>
                  <w:rFonts w:ascii="Times New Roman" w:hAnsi="Times New Roman"/>
                  <w:color w:val="0000FF"/>
                  <w:sz w:val="20"/>
                  <w:u w:val="single"/>
                </w:rPr>
                <w:t>RISK FACTORS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5">
              <w:r>
                <w:rPr>
                  <w:rStyle w:val="InternetLink"/>
                  <w:rFonts w:ascii="Times New Roman" w:hAnsi="Times New Roman"/>
                  <w:color w:val="0000FF"/>
                  <w:sz w:val="20"/>
                  <w:u w:val="single"/>
                </w:rPr>
                <w:t>USE OF PROCEEDS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6">
              <w:r>
                <w:rPr>
                  <w:rStyle w:val="InternetLink"/>
                  <w:rFonts w:ascii="Times New Roman" w:hAnsi="Times New Roman"/>
                  <w:color w:val="0000FF"/>
                  <w:sz w:val="20"/>
                  <w:u w:val="single"/>
                </w:rPr>
                <w:t>DESCRIPTION OF COMMON STOCK WE MAY OFFER</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7">
              <w:r>
                <w:rPr>
                  <w:rStyle w:val="InternetLink"/>
                  <w:rFonts w:ascii="Times New Roman" w:hAnsi="Times New Roman"/>
                  <w:color w:val="0000FF"/>
                  <w:sz w:val="20"/>
                  <w:u w:val="single"/>
                </w:rPr>
                <w:t>Common Stock</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8">
              <w:r>
                <w:rPr>
                  <w:rStyle w:val="InternetLink"/>
                  <w:rFonts w:ascii="Times New Roman" w:hAnsi="Times New Roman"/>
                  <w:color w:val="0000FF"/>
                  <w:sz w:val="20"/>
                  <w:u w:val="single"/>
                </w:rPr>
                <w:t>Preferred Stock</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4</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0">
              <w:r>
                <w:rPr>
                  <w:rStyle w:val="InternetLink"/>
                  <w:rFonts w:ascii="Times New Roman" w:hAnsi="Times New Roman"/>
                  <w:color w:val="0000FF"/>
                  <w:sz w:val="20"/>
                  <w:u w:val="single"/>
                </w:rPr>
                <w:t>Limitation of Liability; Indemnification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1">
              <w:r>
                <w:rPr>
                  <w:rStyle w:val="InternetLink"/>
                  <w:rFonts w:ascii="Times New Roman" w:hAnsi="Times New Roman"/>
                  <w:color w:val="0000FF"/>
                  <w:sz w:val="20"/>
                  <w:u w:val="single"/>
                </w:rPr>
                <w:t>Securities Exchange Listings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2">
              <w:r>
                <w:rPr>
                  <w:rStyle w:val="InternetLink"/>
                  <w:rFonts w:ascii="Times New Roman" w:hAnsi="Times New Roman"/>
                  <w:color w:val="0000FF"/>
                  <w:sz w:val="20"/>
                  <w:u w:val="single"/>
                </w:rPr>
                <w:t>Transfer Agent and Registrar</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3">
              <w:r>
                <w:rPr>
                  <w:rStyle w:val="InternetLink"/>
                  <w:rFonts w:ascii="Times New Roman" w:hAnsi="Times New Roman"/>
                  <w:color w:val="0000FF"/>
                  <w:sz w:val="20"/>
                  <w:u w:val="single"/>
                </w:rPr>
                <w:t>DESCRIPTION OF WARRANTS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7</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4">
              <w:r>
                <w:rPr>
                  <w:rStyle w:val="InternetLink"/>
                  <w:rFonts w:ascii="Times New Roman" w:hAnsi="Times New Roman"/>
                  <w:color w:val="0000FF"/>
                  <w:sz w:val="20"/>
                  <w:u w:val="single"/>
                </w:rPr>
                <w:t>Exercise of Warrants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7</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5">
              <w:r>
                <w:rPr>
                  <w:rStyle w:val="InternetLink"/>
                  <w:rFonts w:ascii="Times New Roman" w:hAnsi="Times New Roman"/>
                  <w:color w:val="0000FF"/>
                  <w:sz w:val="20"/>
                  <w:u w:val="single"/>
                </w:rPr>
                <w:t>Modifications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7</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6">
              <w:r>
                <w:rPr>
                  <w:rStyle w:val="InternetLink"/>
                  <w:rFonts w:ascii="Times New Roman" w:hAnsi="Times New Roman"/>
                  <w:color w:val="0000FF"/>
                  <w:sz w:val="20"/>
                  <w:u w:val="single"/>
                </w:rPr>
                <w:t>Enforceability of Rights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7</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7">
              <w:r>
                <w:rPr>
                  <w:rStyle w:val="InternetLink"/>
                  <w:rFonts w:ascii="Times New Roman" w:hAnsi="Times New Roman"/>
                  <w:color w:val="0000FF"/>
                  <w:sz w:val="20"/>
                  <w:u w:val="single"/>
                </w:rPr>
                <w:t>DESCRIPTION OF UNITS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8</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23">
              <w:r>
                <w:rPr>
                  <w:rStyle w:val="InternetLink"/>
                  <w:rFonts w:ascii="Times New Roman" w:hAnsi="Times New Roman"/>
                  <w:color w:val="0000FF"/>
                  <w:sz w:val="20"/>
                  <w:u w:val="single"/>
                </w:rPr>
                <w:t>CHESS DEPOSITARY INTERESTS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8</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8">
              <w:r>
                <w:rPr>
                  <w:rStyle w:val="InternetLink"/>
                  <w:rFonts w:ascii="Times New Roman" w:hAnsi="Times New Roman"/>
                  <w:color w:val="0000FF"/>
                  <w:sz w:val="20"/>
                  <w:u w:val="single"/>
                </w:rPr>
                <w:t>PLAN OF DISTRIBUTION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8</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19">
              <w:r>
                <w:rPr>
                  <w:rStyle w:val="InternetLink"/>
                  <w:rFonts w:ascii="Times New Roman" w:hAnsi="Times New Roman"/>
                  <w:color w:val="0000FF"/>
                  <w:sz w:val="20"/>
                  <w:u w:val="single"/>
                </w:rPr>
                <w:t>LEGAL MATTERS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20">
              <w:r>
                <w:rPr>
                  <w:rStyle w:val="InternetLink"/>
                  <w:rFonts w:ascii="Times New Roman" w:hAnsi="Times New Roman"/>
                  <w:color w:val="0000FF"/>
                  <w:sz w:val="20"/>
                  <w:u w:val="single"/>
                </w:rPr>
                <w:t>EXPERTS</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21">
              <w:r>
                <w:rPr>
                  <w:rStyle w:val="InternetLink"/>
                  <w:rFonts w:ascii="Times New Roman" w:hAnsi="Times New Roman"/>
                  <w:color w:val="0000FF"/>
                  <w:sz w:val="20"/>
                  <w:u w:val="single"/>
                </w:rPr>
                <w:t>WHERE YOU CAN FIND MORE INFORMATION</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821" w:type="dxa"/>
            <w:tcBorders/>
            <w:tcMar>
              <w:top w:w="0" w:type="dxa"/>
              <w:left w:w="0" w:type="dxa"/>
              <w:bottom w:w="0" w:type="dxa"/>
              <w:right w:w="0" w:type="dxa"/>
            </w:tcMar>
            <w:vAlign w:val="center"/>
          </w:tcPr>
          <w:p>
            <w:pPr>
              <w:pStyle w:val="TableContents"/>
              <w:bidi w:val="0"/>
              <w:spacing w:before="0" w:after="283"/>
              <w:ind w:left="0" w:right="0" w:firstLine="60"/>
              <w:jc w:val="left"/>
              <w:rPr/>
            </w:pPr>
            <w:hyperlink w:anchor="tx435307_22">
              <w:r>
                <w:rPr>
                  <w:rStyle w:val="InternetLink"/>
                  <w:rFonts w:ascii="Times New Roman" w:hAnsi="Times New Roman"/>
                  <w:color w:val="0000FF"/>
                  <w:sz w:val="20"/>
                  <w:u w:val="single"/>
                </w:rPr>
                <w:t>INCORPORATION OF CERTAIN INFORMATION BY REFERENCE</w:t>
              </w:r>
            </w:hyperlink>
            <w:hyperlink w:anchor="tx435307_22">
              <w:r>
                <w:rPr>
                  <w:rStyle w:val="InternetLink"/>
                  <w:rFonts w:ascii="Times New Roman" w:hAnsi="Times New Roman"/>
                  <w:color w:val="0000FF"/>
                  <w:sz w:val="20"/>
                </w:rPr>
                <w:t xml:space="preserve"> </w:t>
              </w:r>
            </w:hyperlink>
          </w:p>
        </w:tc>
        <w:tc>
          <w:tcPr>
            <w:tcW w:w="721" w:type="dxa"/>
            <w:tcBorders/>
            <w:tcMar>
              <w:top w:w="0" w:type="dxa"/>
              <w:left w:w="0" w:type="dxa"/>
              <w:bottom w:w="0" w:type="dxa"/>
              <w:right w:w="0" w:type="dxa"/>
            </w:tcMar>
            <w:vAlign w:val="center"/>
          </w:tcPr>
          <w:p>
            <w:pPr>
              <w:pStyle w:val="TableContents"/>
              <w:bidi w:val="0"/>
              <w:spacing w:before="0" w:after="283"/>
              <w:ind w:left="0" w:right="0" w:firstLine="60"/>
              <w:jc w:val="left"/>
              <w:rPr>
                <w:rFonts w:ascii="Times New Roman" w:hAnsi="Times New Roman"/>
                <w:color w:val="000000"/>
                <w:sz w:val="20"/>
              </w:rPr>
            </w:pPr>
            <w:r>
              <w:rPr>
                <w:rFonts w:ascii="Times New Roman" w:hAnsi="Times New Roman"/>
                <w:color w:val="000000"/>
                <w:sz w:val="20"/>
              </w:rPr>
              <w:t>10</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tx435307_1"/>
      <w:bookmarkEnd w:id="4"/>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requires otherwise or unless otherwise noted, all references in this prospectus or any prospectus supplement to “AVITA Medical” and to the “Company,” “we,” “us” or “our” are to AVITA Medical, Inc.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is part of a registration statement on Form S-3 that we filed with the U.S. Securities and Exchange Commission,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the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283"/>
        <w:jc w:val="center"/>
        <w:rPr>
          <w:rFonts w:ascii="Times New Roman" w:hAnsi="Times New Roman"/>
          <w:sz w:val="20"/>
        </w:rPr>
      </w:pPr>
      <w:bookmarkStart w:id="5" w:name="tx435307_2"/>
      <w:bookmarkEnd w:id="5"/>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Forward-looking statements give expectations or forecasts of future events. Forward-looking statements can sometimes, but not always, be identified by words such as “anticipate,” “believe,” “contemplate,” “continue,” “estimate,” “expect,” “forecast,” “goal,” “guidance,” “intend,” “look forward,” “may,” “outlook,” “plan,” “potential,” “predict,” “project,” “should,” “target,” “will,” “would” and similar expressions to future periods. Forward-looking statements are not based on historical facts but rather represent current expectations and assumptions. We undertake no obligation to publicly update or revise any forward-looking statement, except as required by law.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of our forward-looking information is subject to risks and uncertainties that could cause actual results to differ materially from the results stated as expected. Although it is not possible to identify all of these factors, such risks and uncertainties include the risk factors and the timing of any of those risk factors described in our Annual Report on Form 10-K for the year ended December 31, 2025 as filed with the SEC on February 12, 2026. These documents are available through the SEC’s Electronic Data Gathering and Analysis Retrieval System at </w:t>
      </w:r>
      <w:r>
        <w:rPr>
          <w:rFonts w:ascii="Times New Roman" w:hAnsi="Times New Roman"/>
          <w:color w:val="000000"/>
          <w:sz w:val="20"/>
          <w:u w:val="single"/>
        </w:rPr>
        <w:t>http://www.sec.gov</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THE COMPANY</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AVITA Medical, Inc. and its subsidiaries (collectively, “</w:t>
      </w:r>
      <w:r>
        <w:rPr>
          <w:rFonts w:ascii="Times New Roman" w:hAnsi="Times New Roman"/>
          <w:b/>
          <w:color w:val="000000"/>
          <w:sz w:val="20"/>
        </w:rPr>
        <w:t>AVITA Medical,</w:t>
      </w:r>
      <w:r>
        <w:rPr>
          <w:rFonts w:ascii="Times New Roman" w:hAnsi="Times New Roman"/>
          <w:color w:val="000000"/>
          <w:sz w:val="20"/>
        </w:rPr>
        <w:t>” “</w:t>
      </w:r>
      <w:r>
        <w:rPr>
          <w:rFonts w:ascii="Times New Roman" w:hAnsi="Times New Roman"/>
          <w:b/>
          <w:color w:val="000000"/>
          <w:sz w:val="20"/>
        </w:rPr>
        <w:t>we,</w:t>
      </w:r>
      <w:r>
        <w:rPr>
          <w:rFonts w:ascii="Times New Roman" w:hAnsi="Times New Roman"/>
          <w:color w:val="000000"/>
          <w:sz w:val="20"/>
        </w:rPr>
        <w:t>” “</w:t>
      </w:r>
      <w:r>
        <w:rPr>
          <w:rFonts w:ascii="Times New Roman" w:hAnsi="Times New Roman"/>
          <w:b/>
          <w:color w:val="000000"/>
          <w:sz w:val="20"/>
        </w:rPr>
        <w:t>our,</w:t>
      </w:r>
      <w:r>
        <w:rPr>
          <w:rFonts w:ascii="Times New Roman" w:hAnsi="Times New Roman"/>
          <w:color w:val="000000"/>
          <w:sz w:val="20"/>
        </w:rPr>
        <w:t>” “</w:t>
      </w:r>
      <w:r>
        <w:rPr>
          <w:rFonts w:ascii="Times New Roman" w:hAnsi="Times New Roman"/>
          <w:b/>
          <w:color w:val="000000"/>
          <w:sz w:val="20"/>
        </w:rPr>
        <w:t>us,</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is a leading therapeutic acute wound care company delivering transformative solutions designed to optimize wound healing, accelerate patient recovery, and improve clinical and economic outcomes across the continuum of acute wound management. Our technologies address critical healing needs arising from burns, traumatic injuries, and surgical repairs through a portfolio of proprietary and complementary products that support wound bed preparation, definitive closure, and recovery.</w:t>
      </w:r>
    </w:p>
    <w:p>
      <w:pPr>
        <w:pStyle w:val="TextBody"/>
        <w:bidi w:val="0"/>
        <w:jc w:val="left"/>
        <w:rPr>
          <w:rFonts w:ascii="Times New Roman" w:hAnsi="Times New Roman"/>
          <w:sz w:val="20"/>
        </w:rPr>
      </w:pPr>
      <w:r>
        <w:rPr>
          <w:rFonts w:ascii="Times New Roman" w:hAnsi="Times New Roman"/>
          <w:color w:val="000000"/>
          <w:sz w:val="20"/>
        </w:rPr>
        <w:t>Our current commercial portfolio includes RECELL</w:t>
      </w:r>
      <w:r>
        <w:rPr>
          <w:rFonts w:ascii="Times New Roman" w:hAnsi="Times New Roman"/>
          <w:color w:val="000000"/>
          <w:sz w:val="13"/>
        </w:rPr>
        <w:t>®</w:t>
      </w:r>
      <w:r>
        <w:rPr>
          <w:rFonts w:ascii="Times New Roman" w:hAnsi="Times New Roman"/>
          <w:color w:val="000000"/>
          <w:sz w:val="20"/>
        </w:rPr>
        <w:t xml:space="preserve"> (“RECELL”), and two complementary wound care products, PermeaDerm</w:t>
      </w:r>
      <w:r>
        <w:rPr>
          <w:rFonts w:ascii="Times New Roman" w:hAnsi="Times New Roman"/>
          <w:color w:val="000000"/>
          <w:sz w:val="13"/>
        </w:rPr>
        <w:t>®</w:t>
      </w:r>
      <w:r>
        <w:rPr>
          <w:rFonts w:ascii="Times New Roman" w:hAnsi="Times New Roman"/>
          <w:color w:val="000000"/>
          <w:sz w:val="20"/>
        </w:rPr>
        <w:t xml:space="preserve"> and Cohealyx</w:t>
      </w:r>
      <w:r>
        <w:rPr>
          <w:rFonts w:ascii="Times New Roman" w:hAnsi="Times New Roman"/>
          <w:color w:val="000000"/>
          <w:sz w:val="13"/>
        </w:rPr>
        <w:t></w:t>
      </w:r>
      <w:r>
        <w:rPr>
          <w:rFonts w:ascii="Times New Roman" w:hAnsi="Times New Roman"/>
          <w:color w:val="000000"/>
          <w:sz w:val="20"/>
        </w:rPr>
        <w:t xml:space="preserve">, which together support a comprehensive standard of care for acute wounds.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forefront of our portfolio is RECELL, approved by the United States Food &amp; Drug Administration (the “FDA”) for the treatment of thermal burn wounds and full-thickness skin defects. </w:t>
      </w:r>
    </w:p>
    <w:p>
      <w:pPr>
        <w:pStyle w:val="TextBody"/>
        <w:bidi w:val="0"/>
        <w:jc w:val="left"/>
        <w:rPr>
          <w:rFonts w:ascii="Times New Roman" w:hAnsi="Times New Roman"/>
          <w:color w:val="000000"/>
          <w:sz w:val="20"/>
        </w:rPr>
      </w:pPr>
      <w:r>
        <w:rPr>
          <w:rFonts w:ascii="Times New Roman" w:hAnsi="Times New Roman"/>
          <w:color w:val="000000"/>
          <w:sz w:val="20"/>
        </w:rPr>
        <w:t>In 2024 and 2025, we expanded our product offerings to address additional acute wound care needs. In January 2024, we entered into an exclusive multi-year distribution agreement with Stedical Scientific, Inc. (“Stedical”) to market, sell, and distribute PermeaDerm, a biosynthetic wound matrix in the United States (“U.S.”). In March 2025, we entered into a multi-year agreement to also manufacture PermeaDerm. In July 2024, we entered into an exclusive multi-year development and distribution agreement with Collagen Matrix, LLC d/b/a as Regenity Biosciences (“Regenity”), granting us exclusive rights to market, sell, and distribute Cohealyx, an AVITA-medical branded collagen-based dermal matrix, in the U.S., with potential expansion into the European Union (“E.U.”), Australia, and Japan. Cohealyx was commercially launched in the U.S. in April 2025. For more information, see the information under the heading “Business” incorporated herein by reference from our Annual Report on Form 10-K for the fiscal year ended December 31, 2025 as filed with the SEC on February 12,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pStyle w:val="TextBody"/>
        <w:bidi w:val="0"/>
        <w:spacing w:before="240" w:after="283"/>
        <w:jc w:val="center"/>
        <w:rPr>
          <w:rFonts w:ascii="Times New Roman" w:hAnsi="Times New Roman"/>
          <w:sz w:val="20"/>
        </w:rPr>
      </w:pPr>
      <w:bookmarkStart w:id="6" w:name="rf"/>
      <w:bookmarkEnd w:id="6"/>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the securities involves a high degree of risk. You should carefully consider the risk factors described in our Annual Report on Form 10-K for our most recent fiscal year as filed with the SEC on February 12, 2026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prospectus supplement applicable to each type or series of the securities may contain a discussion of risks applicable to such securities. Prior to making a decision about investing in the securities, you should carefully consider the specific factors discussed under the caption “Risk Factors” in the applicable prospectus supplement, together with all of the other information contained in the prospectus supplement, or appearing or incorporated by reference therein. These risks could materially affect our business, results of operations, or financial condition and cause the value of the securities to decline. You could lose all or part of your investment.</w:t>
      </w:r>
    </w:p>
    <w:p>
      <w:pPr>
        <w:pStyle w:val="TextBody"/>
        <w:bidi w:val="0"/>
        <w:spacing w:before="240" w:after="283"/>
        <w:jc w:val="center"/>
        <w:rPr>
          <w:rFonts w:ascii="Times New Roman" w:hAnsi="Times New Roman"/>
          <w:sz w:val="20"/>
        </w:rPr>
      </w:pPr>
      <w:bookmarkStart w:id="7" w:name="tx435307_5"/>
      <w:bookmarkEnd w:id="7"/>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specified otherwise in the applicable prospectus supplement, we expect to use the net proceeds we receive from the sale of the securities offered by this prospectus for general corporate purposes, which may include, among other things capital expenditures, working capital, and any other purpose we describe in the applicable prospectus supplement.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precise amount and timing of the application of such proceeds will depend upon our funding requirements, as well as the availability and cost of other capital. Pending any specific application, we may initially invest funds in short-term marketable securities or apply them to the reduction of short-term indebtedness.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8" w:name="tx435307_6"/>
      <w:bookmarkEnd w:id="8"/>
      <w:r>
        <w:rPr>
          <w:rFonts w:ascii="Times New Roman" w:hAnsi="Times New Roman"/>
          <w:b/>
          <w:color w:val="000000"/>
          <w:sz w:val="20"/>
        </w:rPr>
        <w:t>DESCRIPTION OF COMMON STOCK WE MAY OFFER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Delaware corporation. The rights of our stockholders are governed by the Delaware General Corporation Law (the “DGCL”), and our amended certificate of incorporation (the “Certificate”) together with our amended and restated bylaws (the “Bylaws”). The following summary of some of the material terms, rights and preferences of our capital stock is not complete. You should read our Certificate and our Bylaws for more complete information. In addition, you should be aware that the summary below does not give full effect to provisions of statutory or common law which may affect your rights as a stockholder. </w:t>
      </w:r>
    </w:p>
    <w:p>
      <w:pPr>
        <w:pStyle w:val="TextBody"/>
        <w:bidi w:val="0"/>
        <w:spacing w:before="180" w:after="283"/>
        <w:jc w:val="left"/>
        <w:rPr>
          <w:rFonts w:ascii="Times New Roman" w:hAnsi="Times New Roman"/>
          <w:sz w:val="20"/>
        </w:rPr>
      </w:pPr>
      <w:bookmarkStart w:id="9" w:name="tx435307_7"/>
      <w:bookmarkEnd w:id="9"/>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 </w:t>
      </w:r>
    </w:p>
    <w:p>
      <w:pPr>
        <w:pStyle w:val="TextBody"/>
        <w:bidi w:val="0"/>
        <w:spacing w:before="18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 </w:t>
      </w:r>
    </w:p>
    <w:p>
      <w:pPr>
        <w:pStyle w:val="TextBody"/>
        <w:bidi w:val="0"/>
        <w:spacing w:before="18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 be dependent upon our financial condition, operations, cash requirements and availability, capital expenditure needs, debt repayment obligations, restrictions in our debt instruments, industry trends, the provisions of Delaware law affecting the payment of distributions to stockholders, and any other factors our Board of Directors may consider relevant. </w:t>
      </w:r>
    </w:p>
    <w:p>
      <w:pPr>
        <w:pStyle w:val="TextBody"/>
        <w:bidi w:val="0"/>
        <w:spacing w:before="180" w:after="283"/>
        <w:jc w:val="left"/>
        <w:rPr>
          <w:rFonts w:ascii="Times New Roman" w:hAnsi="Times New Roman"/>
          <w:sz w:val="20"/>
        </w:rPr>
      </w:pPr>
      <w:r>
        <w:rPr>
          <w:rFonts w:ascii="Times New Roman" w:hAnsi="Times New Roman"/>
          <w:b/>
          <w:i/>
          <w:color w:val="000000"/>
          <w:sz w:val="20"/>
        </w:rPr>
        <w:t>Liquidation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before="180" w:after="283"/>
        <w:jc w:val="left"/>
        <w:rPr>
          <w:rFonts w:ascii="Times New Roman" w:hAnsi="Times New Roman"/>
          <w:sz w:val="20"/>
        </w:rPr>
      </w:pPr>
      <w:r>
        <w:rPr>
          <w:rFonts w:ascii="Times New Roman" w:hAnsi="Times New Roman"/>
          <w:b/>
          <w:i/>
          <w:color w:val="000000"/>
          <w:sz w:val="20"/>
        </w:rPr>
        <w:t>Rights and Preferences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preferred stock that we may designate in the future. </w:t>
      </w:r>
    </w:p>
    <w:p>
      <w:pPr>
        <w:pStyle w:val="TextBody"/>
        <w:bidi w:val="0"/>
        <w:spacing w:before="180" w:after="283"/>
        <w:jc w:val="left"/>
        <w:rPr>
          <w:rFonts w:ascii="Times New Roman" w:hAnsi="Times New Roman"/>
          <w:sz w:val="20"/>
        </w:rPr>
      </w:pPr>
      <w:r>
        <w:rPr>
          <w:rFonts w:ascii="Times New Roman" w:hAnsi="Times New Roman"/>
          <w:b/>
          <w:i/>
          <w:color w:val="000000"/>
          <w:sz w:val="20"/>
        </w:rPr>
        <w:t>Fully Paid and Non-assessable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outstanding shares of our common stock are fully paid and non-assessable. </w:t>
      </w:r>
    </w:p>
    <w:p>
      <w:pPr>
        <w:pStyle w:val="TextBody"/>
        <w:bidi w:val="0"/>
        <w:spacing w:before="180" w:after="283"/>
        <w:jc w:val="left"/>
        <w:rPr>
          <w:rFonts w:ascii="Times New Roman" w:hAnsi="Times New Roman"/>
          <w:sz w:val="20"/>
        </w:rPr>
      </w:pPr>
      <w:r>
        <w:rPr>
          <w:rFonts w:ascii="Times New Roman" w:hAnsi="Times New Roman"/>
          <w:b/>
          <w:i/>
          <w:color w:val="000000"/>
          <w:sz w:val="20"/>
        </w:rPr>
        <w:t>Annual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and Bylaws provide that annual stockholder meetings will be held at a date, place (if any), and time as exclusively selected by our Board of Directors. To the extent permitted under applicable law, we may, but are not obligated, to conduct our annual stockholder meetings by remote communications, including by webcast.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tx435307_8"/>
      <w:bookmarkEnd w:id="10"/>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the authority to issue up to 10,000,000 shares of preferred stock, par value $0.0001 per share, in one or more series, each of which will have such distinctive designation or title as shall be determined by our Board of Directors prior to any such issuance.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as well as the likelihood that such holders will receive dividend payments or payments upon liquidation. In addition, the issuance of preferred stock could have the effect of delaying, deferring or preventing change in our control or other corporate action. No shares of our preferred stock are currently issued and outstanding. </w:t>
      </w:r>
    </w:p>
    <w:p>
      <w:pPr>
        <w:pStyle w:val="TextBody"/>
        <w:bidi w:val="0"/>
        <w:spacing w:before="180" w:after="283"/>
        <w:jc w:val="left"/>
        <w:rPr>
          <w:rFonts w:ascii="Times New Roman" w:hAnsi="Times New Roman"/>
          <w:sz w:val="20"/>
        </w:rPr>
      </w:pPr>
      <w:r>
        <w:rPr>
          <w:rFonts w:ascii="Times New Roman" w:hAnsi="Times New Roman"/>
          <w:b/>
          <w:i/>
          <w:color w:val="000000"/>
          <w:sz w:val="20"/>
        </w:rPr>
        <w:t>Description of Certain Provisions of the DGCL, and our Certificate of Incorporation and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under the laws of the State of Delaware pursuant to the DGCL. The following is a description of certain provisions of the DGCL, our certificate of incorporation and our bylaws. The following is not a complete description of the DGCL, nor of our certificate of incorporation or our bylaws. Copies of our certificate of incorporation and bylaws are filed with the SEC as exhibits to the registration statement of which this prospectus is part.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Anti-Takeover Statute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Section 203 of the DGCL, which may have an anti-takeover effect with respect to transactions not approved in advance by our Board of Directors, including discouraging takeover attempts that might result in a premium over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203 of the DGCL prohibits an “interested stockholder” from engaging in a “business combination” with us for three years following the date such person becomes an “interested stockholder” unless: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time such person became an “interested stockholder,” our Board of Directors approved either the transaction which resulted in such person becoming an “interested stockholder” or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consummation of the transaction by which such person became an “interested stockholder,” such “interested stockholder” owned at least 85% of our voting stock outstanding at the time of the commencement of such transaction (excluding certain shares held by certain persons),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or subsequent to such time, the “business combination” is approved by our Board of Directors and authorized by the affirmative vote of our stockholders holding at least 66.67% of the outstanding voting stock not owned by such “interested stockholder” at an annual or special meeting (not by consent in lieu of a meeting).</w:t>
      </w:r>
    </w:p>
    <w:p>
      <w:pPr>
        <w:pStyle w:val="TextBody"/>
        <w:bidi w:val="0"/>
        <w:jc w:val="left"/>
        <w:rPr>
          <w:rFonts w:ascii="Times New Roman" w:hAnsi="Times New Roman"/>
          <w:color w:val="000000"/>
          <w:sz w:val="20"/>
        </w:rPr>
      </w:pPr>
      <w:r>
        <w:rPr>
          <w:rFonts w:ascii="Times New Roman" w:hAnsi="Times New Roman"/>
          <w:color w:val="000000"/>
          <w:sz w:val="20"/>
        </w:rPr>
        <w:t xml:space="preserve">Generally, an “interested stockholder” is a person who, together with affiliates and associates, owns, or within three years prior to the determination of interested stockholder status, did own, 15% or more of a corporation’s outstanding voting stock; and a “business combination” includes (i) a merger or consolidation of the corporation (or any direct or indirect, majority-owned subsidiary) with the “interested stockholder” or with any other entity that is created by the “interested stockholder,” (ii) a sale, transfer, or other disposition of assets of the corporation (or any direct or indirect, majority-owned subsidiary of the corporation) having an aggregate market value equal to 10% or more of either the aggregate market value of all assets of the corporation on a consolidated basis or the aggregate market value of the outstanding stock of the corporation to, or with, the “interested stockholder” (other than proportionately as a stockholder of the corporation), (iii) a transaction resulting in the issuance or transfer by the corporation (or any direct or indirect, majority-owned subsidiary of such corporation) of stock of the corporation (or such subsidiary) to the “interested stockholder,” subject to certain exceptions, (iv) a transaction involving the corporation (or any direct or indirect, majority-owned subsidiary of such corporation) which has the effect of increasing the proportionate share of any class or series, or securities convertible into the stock of any class or series, of the corporation (or such subsidiary) which is owned by the “interested stockholder,” subject to certain exceptions, and (v) the receipt by the “interested stockholder” of a direct or indirect benefit (except proportionately as a stockholder of the corporation) of any loans, advances guarantees, pledges, or other financial benefits provided by or through the corporation (or any direct or indirect, majority-owned subsidiary of such corporation), subject to certain exceptions. </w:t>
      </w:r>
    </w:p>
    <w:p>
      <w:pPr>
        <w:pStyle w:val="TextBody"/>
        <w:bidi w:val="0"/>
        <w:spacing w:before="120" w:after="283"/>
        <w:jc w:val="left"/>
        <w:rPr>
          <w:rFonts w:ascii="Times New Roman" w:hAnsi="Times New Roman"/>
          <w:sz w:val="20"/>
        </w:rPr>
      </w:pPr>
      <w:r>
        <w:rPr>
          <w:rFonts w:ascii="Times New Roman" w:hAnsi="Times New Roman"/>
          <w:i/>
          <w:color w:val="000000"/>
          <w:sz w:val="20"/>
        </w:rPr>
        <w:t>Special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a special meeting of stockholders (i) may be called at any time by the order of a majority of our entire Board of Directors, the Chairman of the Board, the Chief Executive Officer or the President (in the absence of a chief executive officer), and (ii) are required to be called by the Secretary upon the written request of the holders of record of at least twenty-five percent (25%) of the outstanding shares of our common stock, subject to, and in compliance with, the request, timing, information, and other requirements of our bylaws.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Requirements for Advance Notification of Stockholder Nominations and Proposals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establish advance notice procedures with respect to stockholder nominations of candidates for election as directors, and the proposal of other business to be considered by our stockholders at an annual meeting. </w:t>
      </w:r>
    </w:p>
    <w:p>
      <w:pPr>
        <w:pStyle w:val="TextBody"/>
        <w:bidi w:val="0"/>
        <w:spacing w:before="120" w:after="283"/>
        <w:jc w:val="left"/>
        <w:rPr>
          <w:rFonts w:ascii="Times New Roman" w:hAnsi="Times New Roman"/>
          <w:sz w:val="20"/>
        </w:rPr>
      </w:pPr>
      <w:r>
        <w:rPr>
          <w:rFonts w:ascii="Times New Roman" w:hAnsi="Times New Roman"/>
          <w:i/>
          <w:color w:val="000000"/>
          <w:sz w:val="20"/>
        </w:rPr>
        <w:t>Composition of our Board of Directors; Election and Removal of Directors; Filling Vacancies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our directors be elected annually and that the number of directors constituting our Board of Directors is determined exclusively by resolution adopted by a majority of the Board of Directors. At a meeting of our stockholders at which a quorum is present, a plurality of the votes cast is sufficient to elect a nominee for election as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DGCL, any or all of the directors of our Board of Directors may be removed, with or without cause, by the holders of a majority of our shares then entitled to vote at the election of directors held at our annual stockholder meeting. Our certificate of incorporation provides that any vacancies and newly-created directorships on our Board of Directors may be filled only by a vote of a majority of the directors then in office, even if less than a quorum or by a sole remaining director. </w:t>
      </w:r>
    </w:p>
    <w:p>
      <w:pPr>
        <w:pStyle w:val="TextBody"/>
        <w:bidi w:val="0"/>
        <w:spacing w:before="120" w:after="283"/>
        <w:jc w:val="left"/>
        <w:rPr>
          <w:rFonts w:ascii="Times New Roman" w:hAnsi="Times New Roman"/>
          <w:sz w:val="20"/>
        </w:rPr>
      </w:pPr>
      <w:r>
        <w:rPr>
          <w:rFonts w:ascii="Times New Roman" w:hAnsi="Times New Roman"/>
          <w:i/>
          <w:color w:val="000000"/>
          <w:sz w:val="20"/>
        </w:rPr>
        <w:t>Amendment of the Certificate of Incorporation and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may be amended in any manner permitted by the DGCL. Our certificate of incorporation confers upon our Board of Directors the power to adopt, amend, or repeal our bylaws and requires the affirmative vote of the holder of at least 66.67% of the voting power of all the then outstanding shares entitled to vote generally in the election of directors, voting together as a single class, for any amendment to our bylaws by our stockholders. </w:t>
      </w:r>
    </w:p>
    <w:p>
      <w:pPr>
        <w:pStyle w:val="TextBody"/>
        <w:bidi w:val="0"/>
        <w:spacing w:before="120" w:after="283"/>
        <w:jc w:val="left"/>
        <w:rPr>
          <w:rFonts w:ascii="Times New Roman" w:hAnsi="Times New Roman"/>
          <w:sz w:val="20"/>
        </w:rPr>
      </w:pPr>
      <w:bookmarkStart w:id="11" w:name="tx435307_10"/>
      <w:bookmarkEnd w:id="11"/>
      <w:r>
        <w:rPr>
          <w:rFonts w:ascii="Times New Roman" w:hAnsi="Times New Roman"/>
          <w:i/>
          <w:color w:val="000000"/>
          <w:sz w:val="20"/>
        </w:rPr>
        <w:t>Limitations of Liability and Indemnification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exculpates our directors for duty of care violations. Our certificate of incorporation also requires us to indemnify (and advance expenses to) our directors and officers to the fullest extent permitted by Delaware law, except (unless otherwise provided in our bylaws) with respect to a proceeding (or part thereof) commenced by a director or officer without authorization in the specific case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also require us to indemnify our directors and officers to the fullest extent permitted by applicable law, except, subject to the exceptions provided in our bylaws, with respect to a proceeding (or part thereof) commenced by a director or officer without authorization in the specific case by our Board of Directors. Our bylaws also require us to advance expenses (including attorneys’ fees) covered by our directors and officers in defending a proceeding in advance of its disposition, subject to, if required by applicable law, the provision of an undertaking to repay all amounts advanced if it is ultimately determined that such person is not intended to be indemnified under our bylaws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or entity against such expense, liability or loss under the DGCL.</w:t>
      </w:r>
    </w:p>
    <w:p>
      <w:pPr>
        <w:pStyle w:val="TextBody"/>
        <w:bidi w:val="0"/>
        <w:spacing w:before="180" w:after="283"/>
        <w:jc w:val="left"/>
        <w:rPr>
          <w:rFonts w:ascii="Times New Roman" w:hAnsi="Times New Roman"/>
          <w:sz w:val="20"/>
        </w:rPr>
      </w:pPr>
      <w:bookmarkStart w:id="12" w:name="tx435307_11"/>
      <w:bookmarkEnd w:id="12"/>
      <w:r>
        <w:rPr>
          <w:rFonts w:ascii="Times New Roman" w:hAnsi="Times New Roman"/>
          <w:b/>
          <w:i/>
          <w:color w:val="000000"/>
          <w:sz w:val="20"/>
        </w:rPr>
        <w:t>Securities Exchange Listings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our common stock are listed on The Nasdaq Stock Market LLC under the symbol “RCEL.” Our CHESS Depositary Interests (“CDIs”) are quoted on the Australian Securities Exchange (“ASX”) under the ticker code, “AVH.” One share of common stock on Nasdaq is represented by five CDIs on the ASX. </w:t>
      </w:r>
    </w:p>
    <w:p>
      <w:pPr>
        <w:pStyle w:val="TextBody"/>
        <w:bidi w:val="0"/>
        <w:spacing w:before="180" w:after="283"/>
        <w:jc w:val="left"/>
        <w:rPr>
          <w:rFonts w:ascii="Times New Roman" w:hAnsi="Times New Roman"/>
          <w:sz w:val="20"/>
        </w:rPr>
      </w:pPr>
      <w:bookmarkStart w:id="13" w:name="tx435307_12"/>
      <w:bookmarkEnd w:id="13"/>
      <w:r>
        <w:rPr>
          <w:rFonts w:ascii="Times New Roman" w:hAnsi="Times New Roman"/>
          <w:b/>
          <w:i/>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transfer agent and registrar for our common stock is Computershare Trust Company, N.A, and its address is 250 Royall St., Canton, Massachusetts 02021.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DESCRIPTION OF PREFERRED STOCK WE MAY OFFER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offer shares of our preferred stock from time to time, in one or more series of preferred stock. Pursuant to our Certificate, we have the authority to issue 10,000,000 shares of preferred stock, $0.0001 par value. As of March 30, 2026, we had no shares of preferred stock outstanding. Our Board of Directors may, without action by stockholders, issue one or more series of preferred stock. The Board of Directors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or payments upon liquidation. The issuance could decrease the market price of our common stock. The issuance of preferred stock also could delay, deter, or prevent a change of control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and you should read such certificate of designation for provisions that may be important to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certificate of designation and prospectus supplement relating to any series of preferred stock we are offering will include specific terms relating to the offering. These terms may include some, or all,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title of the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maximum number of shares of the series of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dividend rate, if any, or the method of calculating and paying the dividend, the date from which dividends will accrue and whether dividends will be cumulative;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liquidation preference;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optional redemption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sinking fund or other provisions that would obligate us to redeem or purchase the preferred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terms for the conversion or exchange of the preferred stock for other securities of us or any other entity;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voting rights;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other preferences and relative, participating, optional or other special rights or any qualifications, limitations, or restrictions on the rights of the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shares of preferred stock we issue will, at the time of issuance, be fully paid and non-assessable.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tx435307_13"/>
      <w:bookmarkEnd w:id="14"/>
      <w:r>
        <w:rPr>
          <w:rFonts w:ascii="Times New Roman" w:hAnsi="Times New Roman"/>
          <w:b/>
          <w:color w:val="000000"/>
          <w:sz w:val="20"/>
        </w:rPr>
        <w:t>DESCRIPTION OF WARRANTS WE MAY OFFER</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prospectus supplement relating to any warrants that we are offering will include specific terms which will include some or all of the following: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title of the warrants;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aggregate number of warrants offered;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designation, number, and terms of the common stock or preferred stock purchasable upon exercise of the warrants, and procedures by which those numbers may be adjusted;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exercise price of the warrants;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dates or periods during which the warrants are exercisable;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the designation and terms of any securities with which the warrants are issued;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if the warrants are issued as a unit with another security, the date on and after which the warrants and the other security will be separately transferable;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if the exercise price is not payable in U.S. dollars, the foreign currency, currency unit or composite currency in which the exercise price is denominated;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any minimum or maximum amount of warrants that may be exercised at any one time; and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any terms, procedures, and limitations relating to the transferability, exchange or exercise of the warrants. </w:t>
      </w:r>
    </w:p>
    <w:p>
      <w:pPr>
        <w:pStyle w:val="TextBody"/>
        <w:bidi w:val="0"/>
        <w:spacing w:before="180" w:after="283"/>
        <w:jc w:val="left"/>
        <w:rPr>
          <w:rFonts w:ascii="Times New Roman" w:hAnsi="Times New Roman"/>
          <w:sz w:val="20"/>
        </w:rPr>
      </w:pPr>
      <w:bookmarkStart w:id="15" w:name="tx435307_14"/>
      <w:bookmarkEnd w:id="15"/>
      <w:r>
        <w:rPr>
          <w:rFonts w:ascii="Times New Roman" w:hAnsi="Times New Roman"/>
          <w:b/>
          <w:color w:val="000000"/>
          <w:sz w:val="20"/>
        </w:rPr>
        <w:t>Exercise of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may exercise warrants at any time up to the close of business on the expiration date provided in the applicable prospectus supplement. After the close of business on the expiration date, unexercised warrants are void.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exercise of their warrants, holders of warrants will not have any of the rights of holders of the securities subject to the warrants. </w:t>
      </w:r>
    </w:p>
    <w:p>
      <w:pPr>
        <w:pStyle w:val="TextBody"/>
        <w:bidi w:val="0"/>
        <w:spacing w:before="180" w:after="283"/>
        <w:jc w:val="left"/>
        <w:rPr>
          <w:rFonts w:ascii="Times New Roman" w:hAnsi="Times New Roman"/>
          <w:sz w:val="20"/>
        </w:rPr>
      </w:pPr>
      <w:bookmarkStart w:id="16" w:name="tx435307_15"/>
      <w:bookmarkEnd w:id="16"/>
      <w:r>
        <w:rPr>
          <w:rFonts w:ascii="Times New Roman" w:hAnsi="Times New Roman"/>
          <w:b/>
          <w:color w:val="000000"/>
          <w:sz w:val="20"/>
        </w:rPr>
        <w:t>Modifications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shorten the period of time during which the warrants may be exercised; or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 otherwise materially and adversely affect the exercise rights of the holders of the warrants. </w:t>
      </w:r>
    </w:p>
    <w:p>
      <w:pPr>
        <w:pStyle w:val="TextBody"/>
        <w:bidi w:val="0"/>
        <w:spacing w:before="180" w:after="283"/>
        <w:jc w:val="left"/>
        <w:rPr>
          <w:rFonts w:ascii="Times New Roman" w:hAnsi="Times New Roman"/>
          <w:sz w:val="20"/>
        </w:rPr>
      </w:pPr>
      <w:bookmarkStart w:id="17" w:name="tx435307_16"/>
      <w:bookmarkEnd w:id="17"/>
      <w:r>
        <w:rPr>
          <w:rFonts w:ascii="Times New Roman" w:hAnsi="Times New Roman"/>
          <w:b/>
          <w:color w:val="000000"/>
          <w:sz w:val="20"/>
        </w:rPr>
        <w:t>Enforceability of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warrant agent, as described in the prospectus supplement, will act solely as our agent in connection with the warrants and will not assume any relationship of agency or trust, or any obligations,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tx435307_17"/>
      <w:bookmarkEnd w:id="18"/>
      <w:r>
        <w:rPr>
          <w:rFonts w:ascii="Times New Roman" w:hAnsi="Times New Roman"/>
          <w:b/>
          <w:color w:val="000000"/>
          <w:sz w:val="20"/>
        </w:rPr>
        <w:t>DESCRIPTION OF UNITS WE MAY OFFER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prospectus supplement relating to any units we are offering will include specific terms relating to the offering. These terms will include some or all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designation and terms of the units and the securities comprising the units, including whether, and under what circumstances, those securities may be held or transferred separately;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provisions for the issuance, payment, settlement, transfer or exchange of the units or of the securities comprising the units;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whether such units will be issued in fully registered or global form. </w:t>
      </w:r>
    </w:p>
    <w:p>
      <w:pPr>
        <w:pStyle w:val="TextBody"/>
        <w:bidi w:val="0"/>
        <w:spacing w:before="240" w:after="283"/>
        <w:jc w:val="center"/>
        <w:rPr>
          <w:rFonts w:ascii="Times New Roman" w:hAnsi="Times New Roman"/>
          <w:sz w:val="20"/>
        </w:rPr>
      </w:pPr>
      <w:bookmarkStart w:id="19" w:name="tx435307_23"/>
      <w:bookmarkEnd w:id="19"/>
      <w:r>
        <w:rPr>
          <w:rFonts w:ascii="Times New Roman" w:hAnsi="Times New Roman"/>
          <w:b/>
          <w:color w:val="000000"/>
          <w:sz w:val="20"/>
        </w:rPr>
        <w:t>CHESS DEPOSITARY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CDIs are quoted on the ASX under the ticker code, “AVH.” One share of common stock on Nasdaq is represented by five CDIs on the ASX. </w:t>
      </w:r>
    </w:p>
    <w:p>
      <w:pPr>
        <w:pStyle w:val="TextBody"/>
        <w:bidi w:val="0"/>
        <w:spacing w:before="240" w:after="283"/>
        <w:jc w:val="center"/>
        <w:rPr>
          <w:rFonts w:ascii="Times New Roman" w:hAnsi="Times New Roman"/>
          <w:sz w:val="20"/>
        </w:rPr>
      </w:pPr>
      <w:bookmarkStart w:id="20" w:name="tx435307_18"/>
      <w:bookmarkEnd w:id="20"/>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from time to time offer and sell, separately or together, some or all of the securities covered by this prospectus. Registration of the securities covered by this prospectus does not mean, however, that the securities will be offered or sold.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securities covered by this prospectus may be sold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transactions on Nasdaq or the ASX in accordance with each exchange's respective rules, or on any other organized market where the securities may be traded;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 the over-the-counter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 privately negotiated transactions, including block trades or block sales within the meaning of Rule 10b-18(a)(50)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through broker-dealers, who may act as agents or principals;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through one or more underwriters on a firm commitment or best-efforts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 “at-the-market offerings” within the meaning of Rule 415 of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 a block trade in which a broker-dealer will attempt to sell a block of securities as agent but may position and resell a portion of the block as principal to facilitate the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through offerings of securities exchangeable, convertible or exercisable for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directly to one or more purchasers;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through agents;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through any combination of the above.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any time a particular offer of securities covered by this prospectus is made, a revised prospectus or prospectus supplement, if required, will be distributed which will set forth: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name or names of any underwriters, broker-dealers or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purchase price of the securities and the proceeds to be received by us from the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discounts, commissions, concessions, and other items constituting underwriters’ or agents’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public offering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discounts, commissions or concessions allowed or re-allowed, or paid to dealers;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additional risk factors applicable to the securities that we propose to sell;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securities exchange on which the securities may be listed.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required prospectus supplement of which this prospectus is a part will be filed with the SEC to reflect the disclosure of additional information with respect to the distribution of the securities covered by this prospectus. </w:t>
      </w:r>
    </w:p>
    <w:p>
      <w:pPr>
        <w:pStyle w:val="TextBody"/>
        <w:bidi w:val="0"/>
        <w:jc w:val="left"/>
        <w:rPr>
          <w:rFonts w:ascii="Times New Roman" w:hAnsi="Times New Roman"/>
          <w:color w:val="000000"/>
          <w:sz w:val="20"/>
        </w:rPr>
      </w:pPr>
      <w:r>
        <w:rPr>
          <w:rFonts w:ascii="Times New Roman" w:hAnsi="Times New Roman"/>
          <w:color w:val="000000"/>
          <w:sz w:val="20"/>
        </w:rPr>
        <w:t xml:space="preserve">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concessions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the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series of the securities will be a new issue of securities and will have no established trading market other than our common stock which is listed on Nasdaq, and our CDIs which are listed on the ASX. Any common stock sold will be listed on Nasdaq upon official notice of issuance. Any CDIs sold will be listed on the ASX in accordance with that exchange’s rules and regulations.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 </w:t>
      </w:r>
    </w:p>
    <w:p>
      <w:pPr>
        <w:pStyle w:val="TextBody"/>
        <w:bidi w:val="0"/>
        <w:spacing w:before="240" w:after="283"/>
        <w:jc w:val="center"/>
        <w:rPr>
          <w:rFonts w:ascii="Times New Roman" w:hAnsi="Times New Roman"/>
          <w:sz w:val="20"/>
        </w:rPr>
      </w:pPr>
      <w:bookmarkStart w:id="21" w:name="tx435307_19"/>
      <w:bookmarkEnd w:id="21"/>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validity of the issuance of the shares of common stock, preferred stock, warrants, or units, as applicable, offered hereby will be passed upon for us by K&amp;L Gates LLP, 300 South Tryon Street, Suite 1000, Charlotte, NC 28202. Additional legal matters may be passed on for us, or any underwriters, dealers or agents, by counsel whom we will name in the applicable prospectus supplement. </w:t>
      </w:r>
    </w:p>
    <w:p>
      <w:pPr>
        <w:pStyle w:val="TextBody"/>
        <w:bidi w:val="0"/>
        <w:spacing w:before="240" w:after="283"/>
        <w:jc w:val="center"/>
        <w:rPr>
          <w:rFonts w:ascii="Times New Roman" w:hAnsi="Times New Roman"/>
          <w:sz w:val="20"/>
        </w:rPr>
      </w:pPr>
      <w:bookmarkStart w:id="22" w:name="tx435307_20"/>
      <w:bookmarkEnd w:id="22"/>
      <w:r>
        <w:rPr>
          <w:rFonts w:ascii="Times New Roman" w:hAnsi="Times New Roman"/>
          <w:b/>
          <w:color w:val="000000"/>
          <w:sz w:val="20"/>
        </w:rPr>
        <w:t>EXPERTS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financial statements incorporated by reference in this prospectus and elsewhere in the registration statement have been so incorporated by reference in reliance upon the report of Grant Thornton LLP, our independent registered public accountants, upon the authority of said firm as experts in accounting and auditing. </w:t>
      </w:r>
    </w:p>
    <w:p>
      <w:pPr>
        <w:pStyle w:val="TextBody"/>
        <w:bidi w:val="0"/>
        <w:spacing w:before="240" w:after="283"/>
        <w:jc w:val="center"/>
        <w:rPr>
          <w:rFonts w:ascii="Times New Roman" w:hAnsi="Times New Roman"/>
          <w:sz w:val="20"/>
        </w:rPr>
      </w:pPr>
      <w:bookmarkStart w:id="23" w:name="tx435307_21"/>
      <w:bookmarkEnd w:id="23"/>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time the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we file annual, quarterly and current reports, proxy statements and other information with the SEC under the Exchange Act. You can read our SEC filings, including the registration statement, at the SEC’s website at </w:t>
      </w:r>
      <w:r>
        <w:rPr>
          <w:rFonts w:ascii="Times New Roman" w:hAnsi="Times New Roman"/>
          <w:color w:val="000000"/>
          <w:sz w:val="20"/>
          <w:u w:val="single"/>
        </w:rPr>
        <w:t>www.sec.gov</w:t>
      </w:r>
      <w:r>
        <w:rPr>
          <w:rFonts w:ascii="Times New Roman" w:hAnsi="Times New Roman"/>
          <w:color w:val="000000"/>
          <w:sz w:val="20"/>
        </w:rPr>
        <w:t xml:space="preserve">, which contains reports, proxy and information statements and other information regarding issuers that file electronically with the SEC. </w:t>
      </w:r>
    </w:p>
    <w:p>
      <w:pPr>
        <w:pStyle w:val="TextBody"/>
        <w:bidi w:val="0"/>
        <w:spacing w:before="240" w:after="283"/>
        <w:jc w:val="center"/>
        <w:rPr>
          <w:rFonts w:ascii="Times New Roman" w:hAnsi="Times New Roman"/>
          <w:sz w:val="20"/>
        </w:rPr>
      </w:pPr>
      <w:bookmarkStart w:id="24" w:name="tx435307_22"/>
      <w:bookmarkEnd w:id="24"/>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 allows us to “incorporate by reference” the information that we file,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incorporate by reference the filed documents listed below, except as superseded, supplemented or modified by this prospectus, and any future filings we will make with the SEC under Sections 13(a), 13(c), 14 or 15(d) of the Exchange Act: </w:t>
      </w:r>
    </w:p>
    <w:p>
      <w:pPr>
        <w:pStyle w:val="TextBody"/>
        <w:bidi w:val="0"/>
        <w:spacing w:before="120" w:after="283"/>
        <w:jc w:val="left"/>
        <w:rPr/>
      </w:pPr>
      <w:r>
        <w:rPr>
          <w:rFonts w:ascii="Times New Roman" w:hAnsi="Times New Roman"/>
          <w:color w:val="000000"/>
          <w:sz w:val="20"/>
        </w:rPr>
        <w:t xml:space="preserve"> Our Annual Report on </w:t>
      </w:r>
      <w:hyperlink r:id="rId4">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as filed with the SEC on February 12, 2026; </w:t>
      </w:r>
    </w:p>
    <w:p>
      <w:pPr>
        <w:pStyle w:val="TextBody"/>
        <w:bidi w:val="0"/>
        <w:spacing w:before="120" w:after="283"/>
        <w:jc w:val="left"/>
        <w:rPr/>
      </w:pPr>
      <w:r>
        <w:rPr>
          <w:rFonts w:ascii="Times New Roman" w:hAnsi="Times New Roman"/>
          <w:color w:val="000000"/>
          <w:sz w:val="20"/>
        </w:rPr>
        <w:t xml:space="preserve"> A description of our common stock contained in </w:t>
      </w:r>
      <w:hyperlink r:id="rId5">
        <w:r>
          <w:rPr>
            <w:rStyle w:val="InternetLink"/>
            <w:rFonts w:ascii="Times New Roman" w:hAnsi="Times New Roman"/>
            <w:color w:val="0000FF"/>
            <w:sz w:val="20"/>
            <w:u w:val="single"/>
          </w:rPr>
          <w:t>Exhibit 4.1</w:t>
        </w:r>
      </w:hyperlink>
      <w:r>
        <w:rPr>
          <w:rFonts w:ascii="Times New Roman" w:hAnsi="Times New Roman"/>
          <w:color w:val="000000"/>
          <w:sz w:val="20"/>
        </w:rPr>
        <w:t xml:space="preserve"> to our Annual Report on Form 10-K as filed with the SEC on February 12, 2026, including any Amendment or reports filed for the purpose of updating this description;</w:t>
      </w:r>
    </w:p>
    <w:p>
      <w:pPr>
        <w:pStyle w:val="TextBody"/>
        <w:bidi w:val="0"/>
        <w:spacing w:before="120" w:after="283"/>
        <w:jc w:val="left"/>
        <w:rPr/>
      </w:pPr>
      <w:r>
        <w:rPr>
          <w:rFonts w:ascii="Times New Roman" w:hAnsi="Times New Roman"/>
          <w:color w:val="000000"/>
          <w:sz w:val="20"/>
        </w:rPr>
        <w:t xml:space="preserve"> Our Current Reports on Form 8-K dated </w:t>
      </w:r>
      <w:hyperlink r:id="rId6">
        <w:r>
          <w:rPr>
            <w:rStyle w:val="InternetLink"/>
            <w:rFonts w:ascii="Times New Roman" w:hAnsi="Times New Roman"/>
            <w:color w:val="0000FF"/>
            <w:sz w:val="20"/>
            <w:u w:val="single"/>
          </w:rPr>
          <w:t>January 5, 2026</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January 13, 2026</w:t>
        </w:r>
      </w:hyperlink>
      <w:r>
        <w:rPr>
          <w:rFonts w:ascii="Times New Roman" w:hAnsi="Times New Roman"/>
          <w:color w:val="000000"/>
          <w:sz w:val="20"/>
        </w:rPr>
        <w:t xml:space="preserv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request and obtain a copy of any or all of the documents that are incorporated by reference in this prospectus but not delivered with the prospectus, including exhibits that are specifically incorporated by reference in such documents, at no cost, by writing or telephoning us at the following address or phone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AVITA Medical, Inc.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28159 Avenue Stanford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Suite 220 </w:t>
      </w:r>
    </w:p>
    <w:p>
      <w:pPr>
        <w:pStyle w:val="TextBody"/>
        <w:bidi w:val="0"/>
        <w:jc w:val="center"/>
        <w:rPr>
          <w:rFonts w:ascii="Times New Roman" w:hAnsi="Times New Roman"/>
          <w:color w:val="000000"/>
          <w:sz w:val="20"/>
        </w:rPr>
      </w:pPr>
      <w:r>
        <w:rPr>
          <w:rFonts w:ascii="Times New Roman" w:hAnsi="Times New Roman"/>
          <w:color w:val="000000"/>
          <w:sz w:val="20"/>
        </w:rPr>
        <w:t xml:space="preserve">Valencia, CA 91355 </w:t>
      </w:r>
    </w:p>
    <w:p>
      <w:pPr>
        <w:pStyle w:val="TextBody"/>
        <w:bidi w:val="0"/>
        <w:jc w:val="center"/>
        <w:rPr>
          <w:rFonts w:ascii="Times New Roman" w:hAnsi="Times New Roman"/>
          <w:color w:val="000000"/>
          <w:sz w:val="20"/>
        </w:rPr>
      </w:pPr>
      <w:r>
        <w:rPr>
          <w:rFonts w:ascii="Times New Roman" w:hAnsi="Times New Roman"/>
          <w:color w:val="000000"/>
          <w:sz w:val="20"/>
        </w:rPr>
        <w:t xml:space="preserve">(661) 367-9170 </w:t>
      </w:r>
    </w:p>
    <w:p>
      <w:pPr>
        <w:pStyle w:val="TextBody"/>
        <w:bidi w:val="0"/>
        <w:jc w:val="center"/>
        <w:rPr>
          <w:rFonts w:ascii="Times New Roman" w:hAnsi="Times New Roman"/>
          <w:color w:val="000000"/>
          <w:sz w:val="20"/>
        </w:rPr>
      </w:pPr>
      <w:r>
        <w:rPr>
          <w:rFonts w:ascii="Times New Roman" w:hAnsi="Times New Roman"/>
          <w:color w:val="000000"/>
          <w:sz w:val="20"/>
        </w:rPr>
        <w:t>Attn: Nicole Kelsey, Chief Legal and Compliance Officer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INFORMATION NOT REQUIRED IN PROSPECTUS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20"/>
        </w:rPr>
        <w:t>Item 14. Other Expenses of Issuance and Distribution.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an estimate of the fees and expenses relating to the issuance and distribution of the securities being registered hereby, other than underwriting discounts and commissions, all of which shall be borne by the Company. All such fees and expenses, except for the SEC Registration Fee, are estimated: </w:t>
      </w:r>
    </w:p>
    <w:tbl>
      <w:tblPr>
        <w:tblW w:w="4625" w:type="dxa"/>
        <w:jc w:val="left"/>
        <w:tblInd w:w="0" w:type="dxa"/>
        <w:tblLayout w:type="fixed"/>
        <w:tblCellMar>
          <w:top w:w="28" w:type="dxa"/>
          <w:left w:w="28" w:type="dxa"/>
          <w:bottom w:w="28" w:type="dxa"/>
          <w:right w:w="28" w:type="dxa"/>
        </w:tblCellMar>
      </w:tblPr>
      <w:tblGrid>
        <w:gridCol w:w="3664"/>
        <w:gridCol w:w="961"/>
      </w:tblGrid>
      <w:tr>
        <w:trPr/>
        <w:tc>
          <w:tcPr>
            <w:tcW w:w="366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664"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SEC registration fee</w:t>
            </w:r>
          </w:p>
        </w:tc>
        <w:tc>
          <w:tcPr>
            <w:tcW w:w="9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$1,084</w:t>
            </w:r>
          </w:p>
        </w:tc>
      </w:tr>
      <w:tr>
        <w:trPr/>
        <w:tc>
          <w:tcPr>
            <w:tcW w:w="366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Legal and accounting fees and expenses</w:t>
            </w:r>
          </w:p>
        </w:tc>
        <w:tc>
          <w:tcPr>
            <w:tcW w:w="96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w:t>
            </w:r>
          </w:p>
        </w:tc>
      </w:tr>
      <w:tr>
        <w:trPr/>
        <w:tc>
          <w:tcPr>
            <w:tcW w:w="3664"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Miscellaneous</w:t>
            </w:r>
          </w:p>
        </w:tc>
        <w:tc>
          <w:tcPr>
            <w:tcW w:w="961"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color w:val="000000"/>
              </w:rPr>
            </w:pPr>
            <w:r>
              <w:rPr>
                <w:color w:val="000000"/>
              </w:rPr>
              <w:t> </w:t>
            </w:r>
            <w:r>
              <w:rPr>
                <w:rFonts w:ascii="Times New Roman" w:hAnsi="Times New Roman"/>
                <w:color w:val="000000"/>
                <w:sz w:val="20"/>
              </w:rPr>
              <w:t>*</w:t>
            </w:r>
          </w:p>
        </w:tc>
      </w:tr>
      <w:tr>
        <w:trPr/>
        <w:tc>
          <w:tcPr>
            <w:tcW w:w="3664" w:type="dxa"/>
            <w:tcBorders/>
            <w:tcMar>
              <w:top w:w="0" w:type="dxa"/>
              <w:left w:w="0" w:type="dxa"/>
              <w:bottom w:w="0" w:type="dxa"/>
              <w:right w:w="0" w:type="dxa"/>
            </w:tcMar>
            <w:vAlign w:val="center"/>
          </w:tcPr>
          <w:p>
            <w:pPr>
              <w:pStyle w:val="TableContents"/>
              <w:bidi w:val="0"/>
              <w:spacing w:before="0" w:after="283"/>
              <w:ind w:left="0" w:right="0" w:firstLine="288"/>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66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Total</w:t>
            </w:r>
          </w:p>
        </w:tc>
        <w:tc>
          <w:tcPr>
            <w:tcW w:w="961" w:type="dxa"/>
            <w:tcBorders/>
            <w:tcMar>
              <w:top w:w="0" w:type="dxa"/>
              <w:left w:w="0" w:type="dxa"/>
              <w:bottom w:w="0" w:type="dxa"/>
              <w:right w:w="0" w:type="dxa"/>
            </w:tcMar>
            <w:vAlign w:val="center"/>
          </w:tcPr>
          <w:p>
            <w:pPr>
              <w:pStyle w:val="TableContents"/>
              <w:bidi w:val="0"/>
              <w:spacing w:before="0" w:after="283"/>
              <w:ind w:left="0" w:right="0" w:firstLine="288"/>
              <w:jc w:val="left"/>
              <w:rPr>
                <w:color w:val="000000"/>
              </w:rPr>
            </w:pPr>
            <w:r>
              <w:rPr>
                <w:color w:val="000000"/>
              </w:rPr>
              <w:t> </w:t>
            </w: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These fees are calculated based on the number of issuances and the amount of securities offered and accordingly cannot be estimated at this time. </w:t>
      </w:r>
    </w:p>
    <w:p>
      <w:pPr>
        <w:pStyle w:val="TextBody"/>
        <w:bidi w:val="0"/>
        <w:spacing w:before="180" w:after="283"/>
        <w:jc w:val="left"/>
        <w:rPr>
          <w:rFonts w:ascii="Times New Roman" w:hAnsi="Times New Roman"/>
          <w:sz w:val="20"/>
        </w:rPr>
      </w:pPr>
      <w:r>
        <w:rPr>
          <w:rFonts w:ascii="Times New Roman" w:hAnsi="Times New Roman"/>
          <w:b/>
          <w:color w:val="000000"/>
          <w:sz w:val="20"/>
        </w:rPr>
        <w:t>Item 15. Indemnification of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requires us to indemnify (and advance expenses to) our directors and officers to the fullest extent permitted by Delaware law, except (unless otherwise provided in our bylaws), with respect to a proceeding (or part thereof) commenced by a director or officer without authorization in the specific case by our Board of Directors. Our bylaws also require us to indemnify our directors and officers to the fullest extent permitted by applicable law, except, subject to the exceptions provided in our bylaws, with respect to a proceeding (or part thereof) commenced by a director or officer without authorization in the specific case by our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officers’ and directors’ liability insurance for its officers and directors.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Item 16.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82"/>
        <w:gridCol w:w="9323"/>
      </w:tblGrid>
      <w:tr>
        <w:trPr/>
        <w:tc>
          <w:tcPr>
            <w:tcW w:w="882" w:type="dxa"/>
            <w:tcBorders/>
            <w:shd w:fill="FFFFFF" w:val="clear"/>
            <w:vAlign w:val="center"/>
          </w:tcPr>
          <w:p>
            <w:pPr>
              <w:pStyle w:val="TableContents"/>
              <w:bidi w:val="0"/>
              <w:spacing w:before="0" w:after="283"/>
              <w:jc w:val="left"/>
              <w:rPr>
                <w:sz w:val="4"/>
                <w:szCs w:val="4"/>
              </w:rPr>
            </w:pPr>
            <w:r>
              <w:rPr>
                <w:sz w:val="4"/>
                <w:szCs w:val="4"/>
              </w:rPr>
            </w:r>
          </w:p>
        </w:tc>
        <w:tc>
          <w:tcPr>
            <w:tcW w:w="9323" w:type="dxa"/>
            <w:tcBorders/>
            <w:shd w:fill="FFFFFF" w:val="clear"/>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93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1.1</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Form of Underwriting Agreement **</w:t>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3.1</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r:id="rId8">
              <w:r>
                <w:rPr>
                  <w:rStyle w:val="InternetLink"/>
                  <w:rFonts w:ascii="Times New Roman" w:hAnsi="Times New Roman"/>
                  <w:color w:val="0000FF"/>
                  <w:sz w:val="20"/>
                  <w:u w:val="single"/>
                </w:rPr>
                <w:t>Certificate of Incorporation of the Company (Incorporated by reference to Exhibit 3.1 of the Form 8-K12G of the Company filed June 30, 2020.)</w:t>
              </w:r>
            </w:hyperlink>
            <w:hyperlink r:id="rId9">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3.2</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r:id="rId10">
              <w:r>
                <w:rPr>
                  <w:rStyle w:val="InternetLink"/>
                  <w:rFonts w:ascii="Times New Roman" w:hAnsi="Times New Roman"/>
                  <w:color w:val="0000FF"/>
                  <w:sz w:val="20"/>
                  <w:u w:val="single"/>
                </w:rPr>
                <w:t>Certificate of Amendment of Certificate of Incorporation (incorporated by reference to Exhibit 3.2 of the Form 10-KT filed on February 28, 2022)</w:t>
              </w:r>
            </w:hyperlink>
            <w:hyperlink r:id="rId11">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3.3</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r:id="rId12">
              <w:r>
                <w:rPr>
                  <w:rStyle w:val="InternetLink"/>
                  <w:rFonts w:ascii="Times New Roman" w:hAnsi="Times New Roman"/>
                  <w:color w:val="0000FF"/>
                  <w:sz w:val="20"/>
                  <w:u w:val="single"/>
                </w:rPr>
                <w:t>Amended and Restated Bylaws (incorporated by reference to Exhibit 3.1 of the registrant’s Form 8-K filed on May 15, 2025)</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3.4</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Certificate of Designation of Preferred Stock **</w:t>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4.1</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Form of Preferred Stock Certificate **</w:t>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4.2</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Form of Warrant Agreement (including form of Warrant Certificate) **</w:t>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4.3</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Form of Unit Agreement (including form of Unit Certificate) **</w:t>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5.1</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w:anchor="rcel-ex5_1.htm">
              <w:r>
                <w:rPr>
                  <w:rStyle w:val="InternetLink"/>
                  <w:rFonts w:ascii="Times New Roman" w:hAnsi="Times New Roman"/>
                  <w:color w:val="0000FF"/>
                  <w:sz w:val="20"/>
                  <w:u w:val="single"/>
                </w:rPr>
                <w:t>Opinion of K&amp;L Gates LLP as to the legality of the securities being issued*</w:t>
              </w:r>
            </w:hyperlink>
            <w:hyperlink w:anchor="rcel-ex5_1.htm">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23.1</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w:anchor="rcel-ex23_1.htm">
              <w:r>
                <w:rPr>
                  <w:rStyle w:val="InternetLink"/>
                  <w:rFonts w:ascii="Times New Roman" w:hAnsi="Times New Roman"/>
                  <w:color w:val="0000FF"/>
                  <w:sz w:val="20"/>
                  <w:u w:val="single"/>
                </w:rPr>
                <w:t>Consent of Grant Thornton LLP*</w:t>
              </w:r>
            </w:hyperlink>
            <w:hyperlink w:anchor="rcel-ex23_1.htm">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23.2</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w:anchor="rcel-ex5_1.htm">
              <w:r>
                <w:rPr>
                  <w:rStyle w:val="InternetLink"/>
                  <w:rFonts w:ascii="Times New Roman" w:hAnsi="Times New Roman"/>
                  <w:color w:val="0000FF"/>
                  <w:sz w:val="20"/>
                  <w:u w:val="single"/>
                </w:rPr>
                <w:t>Consent of K&amp;L Gates LLP (included within Exhibit 5.1)*</w:t>
              </w:r>
            </w:hyperlink>
            <w:hyperlink w:anchor="rcel-ex5_1.htm">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color w:val="000000"/>
              </w:rPr>
            </w:pPr>
            <w:r>
              <w:rPr>
                <w:color w:val="000000"/>
              </w:rPr>
              <w:t> </w:t>
            </w:r>
            <w:r>
              <w:rPr>
                <w:rFonts w:ascii="Times New Roman" w:hAnsi="Times New Roman"/>
                <w:color w:val="000000"/>
                <w:sz w:val="20"/>
              </w:rPr>
              <w:t>24</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w:anchor="sig">
              <w:r>
                <w:rPr>
                  <w:rStyle w:val="InternetLink"/>
                  <w:rFonts w:ascii="Times New Roman" w:hAnsi="Times New Roman"/>
                  <w:color w:val="0000FF"/>
                  <w:sz w:val="20"/>
                  <w:u w:val="single"/>
                </w:rPr>
                <w:t>Power of Attorney (included in the signature page hereto)</w:t>
              </w:r>
            </w:hyperlink>
            <w:hyperlink w:anchor="sig">
              <w:r>
                <w:rPr>
                  <w:rStyle w:val="InternetLink"/>
                  <w:rFonts w:ascii="Times New Roman" w:hAnsi="Times New Roman"/>
                  <w:color w:val="0000FF"/>
                  <w:sz w:val="20"/>
                </w:rPr>
                <w:t xml:space="preserve"> </w:t>
              </w:r>
            </w:hyperlink>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ind w:left="0" w:right="0" w:firstLine="162"/>
              <w:jc w:val="left"/>
              <w:rPr>
                <w:rFonts w:ascii="Times New Roman" w:hAnsi="Times New Roman"/>
                <w:color w:val="000000"/>
                <w:sz w:val="20"/>
              </w:rPr>
            </w:pPr>
            <w:r>
              <w:rPr>
                <w:rFonts w:ascii="Times New Roman" w:hAnsi="Times New Roman"/>
                <w:color w:val="000000"/>
                <w:sz w:val="20"/>
              </w:rPr>
              <w:t>107</w:t>
            </w:r>
          </w:p>
        </w:tc>
        <w:tc>
          <w:tcPr>
            <w:tcW w:w="9323" w:type="dxa"/>
            <w:tcBorders/>
            <w:tcMar>
              <w:top w:w="0" w:type="dxa"/>
              <w:left w:w="0" w:type="dxa"/>
              <w:bottom w:w="0" w:type="dxa"/>
              <w:right w:w="0" w:type="dxa"/>
            </w:tcMar>
            <w:vAlign w:val="center"/>
          </w:tcPr>
          <w:p>
            <w:pPr>
              <w:pStyle w:val="TableContents"/>
              <w:bidi w:val="0"/>
              <w:spacing w:before="0" w:after="283"/>
              <w:ind w:left="0" w:right="0" w:firstLine="162"/>
              <w:jc w:val="left"/>
              <w:rPr/>
            </w:pPr>
            <w:hyperlink w:anchor="rcel_exfilingfees.htm">
              <w:r>
                <w:rPr>
                  <w:rStyle w:val="InternetLink"/>
                  <w:rFonts w:ascii="Times New Roman" w:hAnsi="Times New Roman"/>
                  <w:color w:val="0000FF"/>
                  <w:sz w:val="20"/>
                  <w:u w:val="single"/>
                </w:rPr>
                <w:t>Filing Fee Table*</w:t>
              </w:r>
            </w:hyperlink>
            <w:hyperlink w:anchor="rcel_exfilingfees.htm">
              <w:r>
                <w:rPr>
                  <w:rStyle w:val="InternetLink"/>
                  <w:rFonts w:ascii="Times New Roman" w:hAnsi="Times New Roman"/>
                  <w:color w:val="0000FF"/>
                  <w:sz w:val="20"/>
                </w:rPr>
                <w:t xml:space="preserve"> </w:t>
              </w:r>
            </w:hyperlink>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To be filed by amendment or as an exhibit to a document to be incorporated by reference herein in connection with the issuance of the securities.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17. Undertakings.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undersigned registrant hereby undertakes: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To file, during any period in which offers or sales are being made, a post-effective amendment to this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of 1933,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subparagraphs (i), (ii) and (iii) above do not apply if the information required to be included in a post-effective amendment by these subparagraphs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That, for the purpose of determining liability under the Securities Act to any purchaser if the registrant is relying on Rule 430B: (A) 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That, for the purpose of determining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any preliminary prospectus or prospectus of the undersigned registrant relating to the offering required to be filed pursuant to Rule 424; </w:t>
      </w:r>
    </w:p>
    <w:p>
      <w:pPr>
        <w:pStyle w:val="TextBody"/>
        <w:bidi w:val="0"/>
        <w:jc w:val="left"/>
        <w:rPr>
          <w:rFonts w:ascii="Times New Roman" w:hAnsi="Times New Roman"/>
          <w:color w:val="000000"/>
          <w:sz w:val="20"/>
        </w:rPr>
      </w:pPr>
      <w:r>
        <w:rPr>
          <w:rFonts w:ascii="Times New Roman" w:hAnsi="Times New Roman"/>
          <w:color w:val="000000"/>
          <w:sz w:val="20"/>
        </w:rPr>
        <w:t xml:space="preserve">(ii) any free writing prospectus relating to the offering prepared by or on behalf of the undersigned registrant or used or referred to by the undersigned registrant;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(iv) any other communication that is an offer in the offering made by the undersigned registrant to the purchaser.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sig"/>
      <w:bookmarkEnd w:id="2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Valencia, California, on March 31, 2026. </w:t>
      </w:r>
    </w:p>
    <w:tbl>
      <w:tblPr>
        <w:tblW w:w="2923" w:type="dxa"/>
        <w:jc w:val="left"/>
        <w:tblInd w:w="0" w:type="dxa"/>
        <w:tblLayout w:type="fixed"/>
        <w:tblCellMar>
          <w:top w:w="28" w:type="dxa"/>
          <w:left w:w="28" w:type="dxa"/>
          <w:bottom w:w="28" w:type="dxa"/>
          <w:right w:w="28" w:type="dxa"/>
        </w:tblCellMar>
      </w:tblPr>
      <w:tblGrid>
        <w:gridCol w:w="223"/>
        <w:gridCol w:w="253"/>
        <w:gridCol w:w="2447"/>
      </w:tblGrid>
      <w:tr>
        <w:trPr/>
        <w:tc>
          <w:tcPr>
            <w:tcW w:w="2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AVITA MEDICAL, INC.</w:t>
            </w:r>
          </w:p>
        </w:tc>
      </w:tr>
      <w:tr>
        <w:trPr/>
        <w:tc>
          <w:tcPr>
            <w:tcW w:w="47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individual whose signature appears below constitutes and appoints Cary Vance and David O'Toole,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this Registration Statement has been signed below by the following persons in the capacities indicated on March 31, 2026. </w:t>
      </w:r>
    </w:p>
    <w:tbl>
      <w:tblPr>
        <w:tblW w:w="8327" w:type="dxa"/>
        <w:jc w:val="left"/>
        <w:tblInd w:w="0" w:type="dxa"/>
        <w:tblLayout w:type="fixed"/>
        <w:tblCellMar>
          <w:top w:w="28" w:type="dxa"/>
          <w:left w:w="28" w:type="dxa"/>
          <w:bottom w:w="28" w:type="dxa"/>
          <w:right w:w="28" w:type="dxa"/>
        </w:tblCellMar>
      </w:tblPr>
      <w:tblGrid>
        <w:gridCol w:w="2401"/>
        <w:gridCol w:w="5926"/>
      </w:tblGrid>
      <w:tr>
        <w:trPr/>
        <w:tc>
          <w:tcPr>
            <w:tcW w:w="240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Cary Vance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Cary Vance</w:t>
            </w:r>
          </w:p>
        </w:tc>
        <w:tc>
          <w:tcPr>
            <w:tcW w:w="5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Executive Officer and Chairman of the Board of Directors</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David O'Toole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c>
          <w:tcPr>
            <w:tcW w:w="5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Jan Stern Reed</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Jan Stern Reed</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Jeremy Curnock Cook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Jeremy Curnock Cook</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Professor Suzanne Crowe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Suzanne Crowe</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Robert McNamara</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Robert McNamara</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Dr. Michael Tarnoff</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Michael Tarnoff</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Joe Woody</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Joe Woody</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cel-ex5_1.htm"/>
      <w:bookmarkStart w:id="27" w:name="ksrcelex5_1"/>
      <w:bookmarkEnd w:id="26"/>
      <w:bookmarkEnd w:id="27"/>
      <w:r>
        <w:rPr/>
        <w:drawing>
          <wp:inline distT="0" distB="0" distL="0" distR="0">
            <wp:extent cx="1409700" cy="1209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409700" cy="1209675"/>
                    </a:xfrm>
                    <a:prstGeom prst="rect">
                      <a:avLst/>
                    </a:prstGeom>
                  </pic:spPr>
                </pic:pic>
              </a:graphicData>
            </a:graphic>
          </wp:inline>
        </w:drawing>
      </w:r>
      <w:r>
        <w:rPr>
          <w:color w:val="000000"/>
        </w:rPr>
        <w:t xml:space="preserve"> </w:t>
      </w:r>
      <w:r>
        <w:br w:type="page"/>
      </w:r>
    </w:p>
    <w:p>
      <w:pPr>
        <w:pStyle w:val="TextBody"/>
        <w:bidi w:val="0"/>
        <w:spacing w:before="0" w:after="240"/>
        <w:jc w:val="right"/>
        <w:rPr>
          <w:rFonts w:ascii="Arial" w:hAnsi="Arial"/>
          <w:b/>
          <w:color w:val="000000"/>
          <w:sz w:val="22"/>
        </w:rPr>
      </w:pPr>
      <w:r>
        <w:rPr>
          <w:rFonts w:ascii="Arial" w:hAnsi="Arial"/>
          <w:b/>
          <w:color w:val="000000"/>
          <w:sz w:val="22"/>
        </w:rPr>
        <w:t>Exhibit 5.1</w:t>
      </w:r>
    </w:p>
    <w:p>
      <w:pPr>
        <w:pStyle w:val="TextBody"/>
        <w:bidi w:val="0"/>
        <w:spacing w:before="0" w:after="240"/>
        <w:jc w:val="center"/>
        <w:rPr>
          <w:rFonts w:ascii="Arial" w:hAnsi="Arial"/>
          <w:color w:val="000000"/>
          <w:sz w:val="22"/>
        </w:rPr>
      </w:pPr>
      <w:r>
        <w:rPr>
          <w:rFonts w:ascii="Arial" w:hAnsi="Arial"/>
          <w:color w:val="000000"/>
          <w:sz w:val="22"/>
        </w:rPr>
        <w:t>March 31, 2026</w:t>
      </w:r>
    </w:p>
    <w:p>
      <w:pPr>
        <w:pStyle w:val="TextBody"/>
        <w:bidi w:val="0"/>
        <w:jc w:val="both"/>
        <w:rPr>
          <w:rFonts w:ascii="Arial" w:hAnsi="Arial"/>
          <w:color w:val="000000"/>
          <w:sz w:val="22"/>
        </w:rPr>
      </w:pPr>
      <w:r>
        <w:rPr>
          <w:rFonts w:ascii="Arial" w:hAnsi="Arial"/>
          <w:color w:val="000000"/>
          <w:sz w:val="22"/>
        </w:rPr>
        <w:t>AVITA Medical, Inc.</w:t>
      </w:r>
    </w:p>
    <w:p>
      <w:pPr>
        <w:pStyle w:val="TextBody"/>
        <w:bidi w:val="0"/>
        <w:jc w:val="both"/>
        <w:rPr>
          <w:rFonts w:ascii="Arial" w:hAnsi="Arial"/>
          <w:color w:val="000000"/>
          <w:sz w:val="22"/>
        </w:rPr>
      </w:pPr>
      <w:r>
        <w:rPr>
          <w:rFonts w:ascii="Arial" w:hAnsi="Arial"/>
          <w:color w:val="000000"/>
          <w:sz w:val="22"/>
        </w:rPr>
        <w:t>28159 Avenue Stanford</w:t>
      </w:r>
    </w:p>
    <w:p>
      <w:pPr>
        <w:pStyle w:val="TextBody"/>
        <w:bidi w:val="0"/>
        <w:jc w:val="both"/>
        <w:rPr>
          <w:rFonts w:ascii="Arial" w:hAnsi="Arial"/>
          <w:color w:val="000000"/>
          <w:sz w:val="22"/>
        </w:rPr>
      </w:pPr>
      <w:r>
        <w:rPr>
          <w:rFonts w:ascii="Arial" w:hAnsi="Arial"/>
          <w:color w:val="000000"/>
          <w:sz w:val="22"/>
        </w:rPr>
        <w:t>Suite 220</w:t>
      </w:r>
    </w:p>
    <w:p>
      <w:pPr>
        <w:pStyle w:val="TextBody"/>
        <w:bidi w:val="0"/>
        <w:spacing w:before="0" w:after="240"/>
        <w:jc w:val="both"/>
        <w:rPr>
          <w:rFonts w:ascii="Arial" w:hAnsi="Arial"/>
          <w:color w:val="000000"/>
          <w:sz w:val="22"/>
        </w:rPr>
      </w:pPr>
      <w:r>
        <w:rPr>
          <w:rFonts w:ascii="Arial" w:hAnsi="Arial"/>
          <w:color w:val="000000"/>
          <w:sz w:val="22"/>
        </w:rPr>
        <w:t>Valencia, CA 91355</w:t>
      </w:r>
    </w:p>
    <w:p>
      <w:pPr>
        <w:pStyle w:val="TextBody"/>
        <w:bidi w:val="0"/>
        <w:spacing w:before="0" w:after="240"/>
        <w:jc w:val="both"/>
        <w:rPr>
          <w:rFonts w:ascii="Times New Roman" w:hAnsi="Times New Roman"/>
          <w:sz w:val="20"/>
        </w:rPr>
      </w:pPr>
      <w:r>
        <w:rPr>
          <w:rFonts w:ascii="Arial" w:hAnsi="Arial"/>
          <w:color w:val="000000"/>
          <w:sz w:val="22"/>
        </w:rPr>
        <w:t>Ladies and Gentlemen: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2"/>
        </w:rPr>
        <w:t>We have acted as counsel to AVITA Medical, Inc., a Delaware corporation (the “</w:t>
      </w:r>
      <w:r>
        <w:rPr>
          <w:rFonts w:ascii="Arial" w:hAnsi="Arial"/>
          <w:color w:val="000000"/>
          <w:sz w:val="22"/>
          <w:u w:val="single"/>
        </w:rPr>
        <w:t>Company</w:t>
      </w:r>
      <w:r>
        <w:rPr>
          <w:rFonts w:ascii="Times New Roman" w:hAnsi="Times New Roman"/>
          <w:color w:val="000000"/>
          <w:sz w:val="20"/>
        </w:rPr>
        <w:t>”</w:t>
      </w:r>
      <w:r>
        <w:rPr>
          <w:rFonts w:ascii="Arial" w:hAnsi="Arial"/>
          <w:color w:val="000000"/>
          <w:sz w:val="22"/>
        </w:rPr>
        <w:t>), in connection with the Registration Statement on Form S-3 (the “</w:t>
      </w:r>
      <w:r>
        <w:rPr>
          <w:rFonts w:ascii="Arial" w:hAnsi="Arial"/>
          <w:color w:val="000000"/>
          <w:sz w:val="22"/>
          <w:u w:val="single"/>
        </w:rPr>
        <w:t>Registration Statement</w:t>
      </w:r>
      <w:r>
        <w:rPr>
          <w:rFonts w:ascii="Times New Roman" w:hAnsi="Times New Roman"/>
          <w:color w:val="000000"/>
          <w:sz w:val="20"/>
        </w:rPr>
        <w:t>”</w:t>
      </w:r>
      <w:r>
        <w:rPr>
          <w:rFonts w:ascii="Arial" w:hAnsi="Arial"/>
          <w:color w:val="000000"/>
          <w:sz w:val="22"/>
        </w:rPr>
        <w:t>) filed on the date hereof by the Company with the Securities and Exchange Commission (the “</w:t>
      </w:r>
      <w:r>
        <w:rPr>
          <w:rFonts w:ascii="Arial" w:hAnsi="Arial"/>
          <w:color w:val="000000"/>
          <w:sz w:val="22"/>
          <w:u w:val="single"/>
        </w:rPr>
        <w:t>Commission</w:t>
      </w:r>
      <w:r>
        <w:rPr>
          <w:rFonts w:ascii="Times New Roman" w:hAnsi="Times New Roman"/>
          <w:color w:val="000000"/>
          <w:sz w:val="20"/>
        </w:rPr>
        <w:t>”</w:t>
      </w:r>
      <w:r>
        <w:rPr>
          <w:rFonts w:ascii="Arial" w:hAnsi="Arial"/>
          <w:color w:val="000000"/>
          <w:sz w:val="22"/>
        </w:rPr>
        <w:t>) under the Securities Act of 1933, as amended (the “</w:t>
      </w:r>
      <w:r>
        <w:rPr>
          <w:rFonts w:ascii="Arial" w:hAnsi="Arial"/>
          <w:color w:val="000000"/>
          <w:sz w:val="22"/>
          <w:u w:val="single"/>
        </w:rPr>
        <w:t>Securities Act</w:t>
      </w:r>
      <w:r>
        <w:rPr>
          <w:rFonts w:ascii="Times New Roman" w:hAnsi="Times New Roman"/>
          <w:color w:val="000000"/>
          <w:sz w:val="20"/>
        </w:rPr>
        <w:t>”</w:t>
      </w:r>
      <w:r>
        <w:rPr>
          <w:rFonts w:ascii="Arial" w:hAnsi="Arial"/>
          <w:color w:val="000000"/>
          <w:sz w:val="22"/>
        </w:rPr>
        <w:t>). The Registration Statement relates to, among other things, the issuance and sale from time to time pursuant to Rule 415 promulgated under the Securities Act of up to $200 million of the following securities:</w:t>
      </w:r>
    </w:p>
    <w:p>
      <w:pPr>
        <w:pStyle w:val="TextBody"/>
        <w:bidi w:val="0"/>
        <w:spacing w:before="0" w:after="240"/>
        <w:jc w:val="both"/>
        <w:rPr>
          <w:rFonts w:ascii="Times New Roman" w:hAnsi="Times New Roman"/>
          <w:sz w:val="20"/>
        </w:rPr>
      </w:pPr>
      <w:r>
        <w:rPr>
          <w:rFonts w:ascii="Arial" w:hAnsi="Arial"/>
          <w:color w:val="000000"/>
          <w:sz w:val="22"/>
        </w:rPr>
        <w:t>(i) shares of common stock, par value $0.0001 per share, of the Company (“</w:t>
      </w:r>
      <w:r>
        <w:rPr>
          <w:rFonts w:ascii="Arial" w:hAnsi="Arial"/>
          <w:color w:val="000000"/>
          <w:sz w:val="22"/>
          <w:u w:val="single"/>
        </w:rPr>
        <w:t>Common Stock</w:t>
      </w:r>
      <w:r>
        <w:rPr>
          <w:rFonts w:ascii="Times New Roman" w:hAnsi="Times New Roman"/>
          <w:color w:val="000000"/>
          <w:sz w:val="20"/>
        </w:rPr>
        <w:t>”</w:t>
      </w:r>
      <w:r>
        <w:rPr>
          <w:rFonts w:ascii="Arial" w:hAnsi="Arial"/>
          <w:color w:val="000000"/>
          <w:sz w:val="22"/>
        </w:rPr>
        <w:t>);</w:t>
      </w:r>
    </w:p>
    <w:p>
      <w:pPr>
        <w:pStyle w:val="TextBody"/>
        <w:bidi w:val="0"/>
        <w:spacing w:before="0" w:after="240"/>
        <w:jc w:val="both"/>
        <w:rPr>
          <w:rFonts w:ascii="Times New Roman" w:hAnsi="Times New Roman"/>
          <w:sz w:val="20"/>
        </w:rPr>
      </w:pPr>
      <w:r>
        <w:rPr>
          <w:rFonts w:ascii="Arial" w:hAnsi="Arial"/>
          <w:color w:val="000000"/>
          <w:sz w:val="22"/>
        </w:rPr>
        <w:t>(ii) shares of one or more series of preferred stock, par value $0.0001 per share, of the Company (“</w:t>
      </w:r>
      <w:r>
        <w:rPr>
          <w:rFonts w:ascii="Arial" w:hAnsi="Arial"/>
          <w:color w:val="000000"/>
          <w:sz w:val="22"/>
          <w:u w:val="single"/>
        </w:rPr>
        <w:t>Preferred Stock</w:t>
      </w:r>
      <w:r>
        <w:rPr>
          <w:rFonts w:ascii="Times New Roman" w:hAnsi="Times New Roman"/>
          <w:color w:val="000000"/>
          <w:sz w:val="20"/>
        </w:rPr>
        <w:t>”</w:t>
      </w:r>
      <w:r>
        <w:rPr>
          <w:rFonts w:ascii="Arial" w:hAnsi="Arial"/>
          <w:color w:val="000000"/>
          <w:sz w:val="22"/>
        </w:rPr>
        <w:t>);</w:t>
      </w:r>
    </w:p>
    <w:p>
      <w:pPr>
        <w:pStyle w:val="TextBody"/>
        <w:bidi w:val="0"/>
        <w:spacing w:before="0" w:after="240"/>
        <w:jc w:val="both"/>
        <w:rPr>
          <w:rFonts w:ascii="Times New Roman" w:hAnsi="Times New Roman"/>
          <w:sz w:val="20"/>
        </w:rPr>
      </w:pPr>
      <w:r>
        <w:rPr>
          <w:rFonts w:ascii="Arial" w:hAnsi="Arial"/>
          <w:color w:val="000000"/>
          <w:sz w:val="22"/>
        </w:rPr>
        <w:t>(iii) warrants to purchase shares of Common Stock or shares of Preferred Stock, (collectively, the “</w:t>
      </w:r>
      <w:r>
        <w:rPr>
          <w:rFonts w:ascii="Arial" w:hAnsi="Arial"/>
          <w:color w:val="000000"/>
          <w:sz w:val="22"/>
          <w:u w:val="single"/>
        </w:rPr>
        <w:t>Warrants</w:t>
      </w:r>
      <w:r>
        <w:rPr>
          <w:rFonts w:ascii="Times New Roman" w:hAnsi="Times New Roman"/>
          <w:color w:val="000000"/>
          <w:sz w:val="20"/>
        </w:rPr>
        <w:t xml:space="preserve">” </w:t>
      </w:r>
      <w:r>
        <w:rPr>
          <w:rFonts w:ascii="Arial" w:hAnsi="Arial"/>
          <w:color w:val="000000"/>
          <w:sz w:val="22"/>
        </w:rPr>
        <w:t>and each, a “</w:t>
      </w:r>
      <w:r>
        <w:rPr>
          <w:rFonts w:ascii="Arial" w:hAnsi="Arial"/>
          <w:color w:val="000000"/>
          <w:sz w:val="22"/>
          <w:u w:val="single"/>
        </w:rPr>
        <w:t>Warrant</w:t>
      </w:r>
      <w:r>
        <w:rPr>
          <w:rFonts w:ascii="Times New Roman" w:hAnsi="Times New Roman"/>
          <w:color w:val="000000"/>
          <w:sz w:val="20"/>
        </w:rPr>
        <w:t>”</w:t>
      </w:r>
      <w:r>
        <w:rPr>
          <w:rFonts w:ascii="Arial" w:hAnsi="Arial"/>
          <w:color w:val="000000"/>
          <w:sz w:val="22"/>
        </w:rPr>
        <w:t>); and</w:t>
      </w:r>
    </w:p>
    <w:p>
      <w:pPr>
        <w:pStyle w:val="TextBody"/>
        <w:bidi w:val="0"/>
        <w:spacing w:before="0" w:after="240"/>
        <w:jc w:val="both"/>
        <w:rPr>
          <w:rFonts w:ascii="Times New Roman" w:hAnsi="Times New Roman"/>
          <w:sz w:val="20"/>
        </w:rPr>
      </w:pPr>
      <w:r>
        <w:rPr>
          <w:rFonts w:ascii="Arial" w:hAnsi="Arial"/>
          <w:color w:val="000000"/>
          <w:sz w:val="22"/>
        </w:rPr>
        <w:t>(iv) units comprised of shares of Common Stock, shares of Preferred Stock, and/or Warrants in any combination (collectively, the “</w:t>
      </w:r>
      <w:r>
        <w:rPr>
          <w:rFonts w:ascii="Arial" w:hAnsi="Arial"/>
          <w:color w:val="000000"/>
          <w:sz w:val="22"/>
          <w:u w:val="single"/>
        </w:rPr>
        <w:t>Units</w:t>
      </w:r>
      <w:r>
        <w:rPr>
          <w:rFonts w:ascii="Times New Roman" w:hAnsi="Times New Roman"/>
          <w:color w:val="000000"/>
          <w:sz w:val="20"/>
        </w:rPr>
        <w:t xml:space="preserve">” </w:t>
      </w:r>
      <w:r>
        <w:rPr>
          <w:rFonts w:ascii="Arial" w:hAnsi="Arial"/>
          <w:color w:val="000000"/>
          <w:sz w:val="22"/>
        </w:rPr>
        <w:t>and each, a “</w:t>
      </w:r>
      <w:r>
        <w:rPr>
          <w:rFonts w:ascii="Arial" w:hAnsi="Arial"/>
          <w:color w:val="000000"/>
          <w:sz w:val="22"/>
          <w:u w:val="single"/>
        </w:rPr>
        <w:t>Unit</w:t>
      </w:r>
      <w:r>
        <w:rPr>
          <w:rFonts w:ascii="Times New Roman" w:hAnsi="Times New Roman"/>
          <w:color w:val="000000"/>
          <w:sz w:val="20"/>
        </w:rPr>
        <w:t xml:space="preserve">” </w:t>
      </w:r>
      <w:r>
        <w:rPr>
          <w:rFonts w:ascii="Arial" w:hAnsi="Arial"/>
          <w:color w:val="000000"/>
          <w:sz w:val="22"/>
        </w:rPr>
        <w:t>and the Units, together with the shares of Common Stock, shares of Preferred Stock, and Warrants, collectively, the “</w:t>
      </w:r>
      <w:r>
        <w:rPr>
          <w:rFonts w:ascii="Arial" w:hAnsi="Arial"/>
          <w:color w:val="000000"/>
          <w:sz w:val="22"/>
          <w:u w:val="single"/>
        </w:rPr>
        <w:t>Securities</w:t>
      </w:r>
      <w:r>
        <w:rPr>
          <w:rFonts w:ascii="Times New Roman" w:hAnsi="Times New Roman"/>
          <w:color w:val="000000"/>
          <w:sz w:val="20"/>
        </w:rPr>
        <w:t xml:space="preserve">” </w:t>
      </w:r>
      <w:r>
        <w:rPr>
          <w:rFonts w:ascii="Arial" w:hAnsi="Arial"/>
          <w:color w:val="000000"/>
          <w:sz w:val="22"/>
        </w:rPr>
        <w:t>and each, a “</w:t>
      </w:r>
      <w:r>
        <w:rPr>
          <w:rFonts w:ascii="Arial" w:hAnsi="Arial"/>
          <w:color w:val="000000"/>
          <w:sz w:val="22"/>
          <w:u w:val="single"/>
        </w:rPr>
        <w:t>Security</w:t>
      </w:r>
      <w:r>
        <w:rPr>
          <w:rFonts w:ascii="Times New Roman" w:hAnsi="Times New Roman"/>
          <w:color w:val="000000"/>
          <w:sz w:val="20"/>
        </w:rPr>
        <w:t>”</w:t>
      </w:r>
      <w:r>
        <w:rPr>
          <w:rFonts w:ascii="Arial" w:hAnsi="Arial"/>
          <w:color w:val="000000"/>
          <w:sz w:val="22"/>
        </w:rPr>
        <w:t>).</w:t>
      </w:r>
      <w:r>
        <w:rPr>
          <w:rFonts w:ascii="Times New Roman" w:hAnsi="Times New Roman"/>
          <w:color w:val="000000"/>
          <w:sz w:val="20"/>
        </w:rPr>
        <w:t xml:space="preserve"> </w:t>
      </w:r>
    </w:p>
    <w:p>
      <w:pPr>
        <w:pStyle w:val="TextBody"/>
        <w:bidi w:val="0"/>
        <w:spacing w:before="0" w:after="240"/>
        <w:jc w:val="both"/>
        <w:rPr>
          <w:rFonts w:ascii="Arial" w:hAnsi="Arial"/>
          <w:color w:val="000000"/>
          <w:sz w:val="22"/>
        </w:rPr>
      </w:pPr>
      <w:r>
        <w:rPr>
          <w:rFonts w:ascii="Arial" w:hAnsi="Arial"/>
          <w:color w:val="000000"/>
          <w:sz w:val="22"/>
        </w:rPr>
        <w:t>This opinion letter is being delivered in accordance with the requirements of Paragraph 29 of Schedule A of the Securities Act and Item 601(b)(5)(i) of Regulation S-K.</w:t>
      </w:r>
    </w:p>
    <w:p>
      <w:pPr>
        <w:pStyle w:val="TextBody"/>
        <w:bidi w:val="0"/>
        <w:spacing w:before="0" w:after="240"/>
        <w:jc w:val="both"/>
        <w:rPr>
          <w:rFonts w:ascii="Times New Roman" w:hAnsi="Times New Roman"/>
          <w:sz w:val="20"/>
        </w:rPr>
      </w:pPr>
      <w:r>
        <w:rPr>
          <w:rFonts w:ascii="Arial" w:hAnsi="Arial"/>
          <w:color w:val="000000"/>
          <w:sz w:val="22"/>
        </w:rPr>
        <w:t>In connection with rendering the opinions set forth below, we have reviewed the following (collectively, the “</w:t>
      </w:r>
      <w:r>
        <w:rPr>
          <w:rFonts w:ascii="Arial" w:hAnsi="Arial"/>
          <w:color w:val="000000"/>
          <w:sz w:val="22"/>
          <w:u w:val="single"/>
        </w:rPr>
        <w:t>Documents</w:t>
      </w:r>
      <w:r>
        <w:rPr>
          <w:rFonts w:ascii="Times New Roman" w:hAnsi="Times New Roman"/>
          <w:color w:val="000000"/>
          <w:sz w:val="20"/>
        </w:rPr>
        <w:t xml:space="preserve">” </w:t>
      </w:r>
      <w:r>
        <w:rPr>
          <w:rFonts w:ascii="Arial" w:hAnsi="Arial"/>
          <w:color w:val="000000"/>
          <w:sz w:val="22"/>
        </w:rPr>
        <w:t>and each, a “</w:t>
      </w:r>
      <w:r>
        <w:rPr>
          <w:rFonts w:ascii="Arial" w:hAnsi="Arial"/>
          <w:color w:val="000000"/>
          <w:sz w:val="22"/>
          <w:u w:val="single"/>
        </w:rPr>
        <w:t>Document</w:t>
      </w:r>
      <w:r>
        <w:rPr>
          <w:rFonts w:ascii="Times New Roman" w:hAnsi="Times New Roman"/>
          <w:color w:val="000000"/>
          <w:sz w:val="20"/>
        </w:rPr>
        <w:t>”</w:t>
      </w:r>
      <w:r>
        <w:rPr>
          <w:rFonts w:ascii="Arial" w:hAnsi="Arial"/>
          <w:color w:val="000000"/>
          <w:sz w:val="22"/>
        </w:rPr>
        <w:t>): (i) the Registration Statement, including the exhibits filed therewith; (ii) the prospectus included in the Registration Statement relating to the Securities; (iii) the Certificate of Incorporation of the Company as filed with the Secretary of State of the State of Delaware (the “</w:t>
      </w:r>
      <w:r>
        <w:rPr>
          <w:rFonts w:ascii="Arial" w:hAnsi="Arial"/>
          <w:color w:val="000000"/>
          <w:sz w:val="22"/>
          <w:u w:val="single"/>
        </w:rPr>
        <w:t>Secretary of State</w:t>
      </w:r>
      <w:r>
        <w:rPr>
          <w:rFonts w:ascii="Times New Roman" w:hAnsi="Times New Roman"/>
          <w:color w:val="000000"/>
          <w:sz w:val="20"/>
        </w:rPr>
        <w:t>”</w:t>
      </w:r>
      <w:r>
        <w:rPr>
          <w:rFonts w:ascii="Arial" w:hAnsi="Arial"/>
          <w:color w:val="000000"/>
          <w:sz w:val="22"/>
        </w:rPr>
        <w:t>) on April 17, 2020, as amended by the Certificate of Amendment of Certificate of Incorporation of the Company as filed with the Secretary of State on December 2, 2020 (the “</w:t>
      </w:r>
      <w:r>
        <w:rPr>
          <w:rFonts w:ascii="Arial" w:hAnsi="Arial"/>
          <w:color w:val="000000"/>
          <w:sz w:val="22"/>
          <w:u w:val="single"/>
        </w:rPr>
        <w:t>Certificate of Incorporation</w:t>
      </w:r>
      <w:r>
        <w:rPr>
          <w:rFonts w:ascii="Times New Roman" w:hAnsi="Times New Roman"/>
          <w:color w:val="000000"/>
          <w:sz w:val="20"/>
        </w:rPr>
        <w:t>”</w:t>
      </w:r>
      <w:r>
        <w:rPr>
          <w:rFonts w:ascii="Arial" w:hAnsi="Arial"/>
          <w:color w:val="000000"/>
          <w:sz w:val="22"/>
        </w:rPr>
        <w:t>); (iv) the Amended and Restated Bylaws of the Company, effective as of May 15, 2025 (the “</w:t>
      </w:r>
      <w:r>
        <w:rPr>
          <w:rFonts w:ascii="Arial" w:hAnsi="Arial"/>
          <w:color w:val="000000"/>
          <w:sz w:val="22"/>
          <w:u w:val="single"/>
        </w:rPr>
        <w:t>Bylaws</w:t>
      </w:r>
      <w:r>
        <w:rPr>
          <w:rFonts w:ascii="Times New Roman" w:hAnsi="Times New Roman"/>
          <w:color w:val="000000"/>
          <w:sz w:val="20"/>
        </w:rPr>
        <w:t xml:space="preserve">” </w:t>
      </w:r>
      <w:r>
        <w:rPr>
          <w:rFonts w:ascii="Arial" w:hAnsi="Arial"/>
          <w:color w:val="000000"/>
          <w:sz w:val="22"/>
        </w:rPr>
        <w:t>and, together with the Certificate of Incorporation, the “</w:t>
      </w:r>
      <w:r>
        <w:rPr>
          <w:rFonts w:ascii="Arial" w:hAnsi="Arial"/>
          <w:color w:val="000000"/>
          <w:sz w:val="22"/>
          <w:u w:val="single"/>
        </w:rPr>
        <w:t>Organizational Documents</w:t>
      </w:r>
      <w:r>
        <w:rPr>
          <w:rFonts w:ascii="Times New Roman" w:hAnsi="Times New Roman"/>
          <w:color w:val="000000"/>
          <w:sz w:val="20"/>
        </w:rPr>
        <w:t>”</w:t>
      </w:r>
      <w:r>
        <w:rPr>
          <w:rFonts w:ascii="Arial" w:hAnsi="Arial"/>
          <w:color w:val="000000"/>
          <w:sz w:val="22"/>
        </w:rPr>
        <w:t>); (v) the resolutions unanimously adopted by the Board of Directors of the Company (the “</w:t>
      </w:r>
      <w:r>
        <w:rPr>
          <w:rFonts w:ascii="Arial" w:hAnsi="Arial"/>
          <w:color w:val="000000"/>
          <w:sz w:val="22"/>
          <w:u w:val="single"/>
        </w:rPr>
        <w:t>Board of Directors</w:t>
      </w:r>
      <w:r>
        <w:rPr>
          <w:rFonts w:ascii="Times New Roman" w:hAnsi="Times New Roman"/>
          <w:color w:val="000000"/>
          <w:sz w:val="20"/>
        </w:rPr>
        <w:t>”</w:t>
      </w:r>
      <w:r>
        <w:rPr>
          <w:rFonts w:ascii="Arial" w:hAnsi="Arial"/>
          <w:color w:val="000000"/>
          <w:sz w:val="22"/>
        </w:rPr>
        <w:t>) by the Unanimous</w:t>
      </w:r>
      <w:r>
        <w:rPr>
          <w:rFonts w:ascii="Times New Roman" w:hAnsi="Times New Roman"/>
          <w:color w:val="000000"/>
          <w:sz w:val="20"/>
        </w:rPr>
        <w:t xml:space="preserve"> </w:t>
      </w:r>
    </w:p>
    <w:p>
      <w:pPr>
        <w:pStyle w:val="TextBody"/>
        <w:bidi w:val="0"/>
        <w:spacing w:before="360" w:after="283"/>
        <w:jc w:val="left"/>
        <w:rPr>
          <w:rFonts w:ascii="Arial Narrow;sans-serif" w:hAnsi="Arial Narrow;sans-serif"/>
          <w:caps/>
          <w:color w:val="000000"/>
          <w:sz w:val="17"/>
        </w:rPr>
      </w:pPr>
      <w:r>
        <w:rPr>
          <w:rFonts w:ascii="Arial Narrow;sans-serif" w:hAnsi="Arial Narrow;sans-serif"/>
          <w:caps/>
          <w:color w:val="000000"/>
          <w:sz w:val="17"/>
        </w:rPr>
        <w:t>K&amp;L Gates LLP</w:t>
      </w:r>
    </w:p>
    <w:p>
      <w:pPr>
        <w:pStyle w:val="TextBody"/>
        <w:bidi w:val="0"/>
        <w:jc w:val="left"/>
        <w:rPr>
          <w:rFonts w:ascii="Arial" w:hAnsi="Arial"/>
          <w:caps/>
          <w:color w:val="000000"/>
          <w:sz w:val="15"/>
        </w:rPr>
      </w:pPr>
      <w:r>
        <w:rPr>
          <w:rFonts w:ascii="Arial" w:hAnsi="Arial"/>
          <w:caps/>
          <w:color w:val="000000"/>
          <w:sz w:val="15"/>
        </w:rPr>
        <w:t>300 South Tryon Street, Suite 1000 Charlotte NC 28202</w:t>
      </w:r>
    </w:p>
    <w:p>
      <w:pPr>
        <w:pStyle w:val="TextBody"/>
        <w:bidi w:val="0"/>
        <w:jc w:val="left"/>
        <w:rPr>
          <w:rFonts w:ascii="Arial" w:hAnsi="Arial"/>
          <w:color w:val="000000"/>
          <w:sz w:val="15"/>
        </w:rPr>
      </w:pPr>
      <w:r>
        <w:rPr>
          <w:rFonts w:ascii="Arial" w:hAnsi="Arial"/>
          <w:color w:val="000000"/>
          <w:sz w:val="15"/>
        </w:rPr>
        <w:t>T +1 704 331 7400 F +1 704 331 7598 klgates.com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2</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Consent of the Board of Directors of the Company effective as of March 31, 2026; and (vi) a fact certificated executed by an officer of the Company.</w:t>
      </w:r>
    </w:p>
    <w:p>
      <w:pPr>
        <w:pStyle w:val="TextBody"/>
        <w:bidi w:val="0"/>
        <w:spacing w:before="0" w:after="240"/>
        <w:jc w:val="both"/>
        <w:rPr>
          <w:rFonts w:ascii="Arial" w:hAnsi="Arial"/>
          <w:color w:val="000000"/>
          <w:sz w:val="22"/>
        </w:rPr>
      </w:pPr>
      <w:r>
        <w:rPr>
          <w:rFonts w:ascii="Arial" w:hAnsi="Arial"/>
          <w:color w:val="000000"/>
          <w:sz w:val="22"/>
        </w:rPr>
        <w:t>For purposes of rendering our opinions below, we have not reviewed any document other than the Documents and assume that there exists no provision in any document relating to the matters covered by our opinions below that we have not reviewed that is inconsistent with the Documents or our opinions below. We have conducted no independent factual investigation of our own but rather have relied on the Documents, the statements and information set forth therein and the additional matters recited or assumed herein, all of which we assume to be true, complete, and accurate in all respects.</w:t>
      </w:r>
    </w:p>
    <w:p>
      <w:pPr>
        <w:pStyle w:val="TextBody"/>
        <w:bidi w:val="0"/>
        <w:spacing w:before="0" w:after="240"/>
        <w:jc w:val="both"/>
        <w:rPr>
          <w:rFonts w:ascii="Times New Roman" w:hAnsi="Times New Roman"/>
          <w:sz w:val="20"/>
        </w:rPr>
      </w:pPr>
      <w:r>
        <w:rPr>
          <w:rFonts w:ascii="Arial" w:hAnsi="Arial"/>
          <w:color w:val="000000"/>
          <w:sz w:val="22"/>
        </w:rPr>
        <w:t>For the purposes of this opinion letter, we have assumed, without investigation, that: (i) each Document is accurate and complete; (ii) each Document that is an original is authentic; (iii) each Document that is a copy conforms to an authentic original; and (iv) all signatures on each Document are genuine. We have further assumed: (i) the legal capacity and competency of natural persons; (ii) that each party to the Documents is duly organized, validly existing, and in good standing under the laws of its jurisdiction of organization; (iii) that each party to the Documents (A) has the legal capacity, power, and authority to execute, deliver, and perform its obligations under the Documents to which it is a party, (B) has taken all action necessary to duly authorize the execution, delivery, and filing (if applicable) of, and the performance of its obligations under, the Documents to which it is a party, and (C) has duly executed and delivered the Documents to which it is a party; and (iv) that each Document constitutes the legal, valid, and binding obligation of each party thereto, enforceable against each such party in accordance with its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2"/>
        </w:rPr>
        <w:t>In addition, for the purposes of this opinion letter, we have assumed, without investigation, that: (i) the Company has and will have all necessary power and authority (corporate or otherwise) to authorize, execute, and deliver any definitive purchase, underwriting, or similar agreement with respect to the issuance and sale of the Securities (each, a “</w:t>
      </w:r>
      <w:r>
        <w:rPr>
          <w:rFonts w:ascii="Arial" w:hAnsi="Arial"/>
          <w:color w:val="000000"/>
          <w:sz w:val="22"/>
          <w:u w:val="single"/>
        </w:rPr>
        <w:t>Purchase Agreement</w:t>
      </w:r>
      <w:r>
        <w:rPr>
          <w:rFonts w:ascii="Times New Roman" w:hAnsi="Times New Roman"/>
          <w:color w:val="000000"/>
          <w:sz w:val="20"/>
        </w:rPr>
        <w:t>”</w:t>
      </w:r>
      <w:r>
        <w:rPr>
          <w:rFonts w:ascii="Arial" w:hAnsi="Arial"/>
          <w:color w:val="000000"/>
          <w:sz w:val="22"/>
        </w:rPr>
        <w:t>), each warrant agreement or instrument setting forth the terms of each Warrant (each, a “</w:t>
      </w:r>
      <w:r>
        <w:rPr>
          <w:rFonts w:ascii="Arial" w:hAnsi="Arial"/>
          <w:color w:val="000000"/>
          <w:sz w:val="22"/>
          <w:u w:val="single"/>
        </w:rPr>
        <w:t>Warrant Agreement</w:t>
      </w:r>
      <w:r>
        <w:rPr>
          <w:rFonts w:ascii="Times New Roman" w:hAnsi="Times New Roman"/>
          <w:color w:val="000000"/>
          <w:sz w:val="20"/>
        </w:rPr>
        <w:t>”</w:t>
      </w:r>
      <w:r>
        <w:rPr>
          <w:rFonts w:ascii="Arial" w:hAnsi="Arial"/>
          <w:color w:val="000000"/>
          <w:sz w:val="22"/>
        </w:rPr>
        <w:t>), each unit agreement or instrument setting forth the terms of each Unit (each, a “</w:t>
      </w:r>
      <w:r>
        <w:rPr>
          <w:rFonts w:ascii="Arial" w:hAnsi="Arial"/>
          <w:color w:val="000000"/>
          <w:sz w:val="22"/>
          <w:u w:val="single"/>
        </w:rPr>
        <w:t>Unit Agreement</w:t>
      </w:r>
      <w:r>
        <w:rPr>
          <w:rFonts w:ascii="Times New Roman" w:hAnsi="Times New Roman"/>
          <w:color w:val="000000"/>
          <w:sz w:val="20"/>
        </w:rPr>
        <w:t>”</w:t>
      </w:r>
      <w:r>
        <w:rPr>
          <w:rFonts w:ascii="Arial" w:hAnsi="Arial"/>
          <w:color w:val="000000"/>
          <w:sz w:val="22"/>
        </w:rPr>
        <w:t>), and each agreement or instrument setting forth the terms of any Security that is issuable upon settlement, exercise, conversion, or exchange of any other Security (each, an “</w:t>
      </w:r>
      <w:r>
        <w:rPr>
          <w:rFonts w:ascii="Arial" w:hAnsi="Arial"/>
          <w:color w:val="000000"/>
          <w:sz w:val="22"/>
          <w:u w:val="single"/>
        </w:rPr>
        <w:t>Issuable Securities Agreement</w:t>
      </w:r>
      <w:r>
        <w:rPr>
          <w:rFonts w:ascii="Times New Roman" w:hAnsi="Times New Roman"/>
          <w:color w:val="000000"/>
          <w:sz w:val="20"/>
        </w:rPr>
        <w:t>”</w:t>
      </w:r>
      <w:r>
        <w:rPr>
          <w:rFonts w:ascii="Arial" w:hAnsi="Arial"/>
          <w:color w:val="000000"/>
          <w:sz w:val="22"/>
        </w:rPr>
        <w:t>) with respect to any Securities offered, issued, or sold as contemplated by the Registration Statement, including the prospectus included in the Registration Statement relating to the Securities, any required post-effective amendment thereto, and the applicable prospectus supplement; (ii) each Purchase Agreement, each Warrant Agreement, each Unit Agreement, and each Issuable Securities Agreement, and the Company’s execution, delivery, and performance thereof, will be duly authorized and approved by all necessary action of the Board of Directors and/or a duly authorized committee thereof in accordance with the Delaware General Corporation Law (the “DGCL”) and the Organizational Documents, in a manner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(iii) each Purchase Agreement, each Warrant Agreement, each Unit Agreement, and each Issuable Securities Agreement will be validly executed and delivered by the Company and each other party thereto; (iv) the Company shall remain at all times a corporation duly incorporated, validly existing, and in good standing under the laws of the State of Delaware; (v) the Company will have sufficient authorized, unissued, and unreserved shares of Common Stock and/or Preferred Stock, as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3</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applicable, to offer, issue, and sell (A) shares of Common Stock and/or shares of Preferred Stock, (B) shares of Preferred Stock that are convertible into shares of Common Stock, or (C) Warrants or Units that are convertible, exchangeable, exercisable, or settled for, or comprised of, shares of Common Stock and/or Preferred Stock; (vi) the contractual provisions of the Warrants, each Warrant Agreement, the Units, each Unit Agreement, each Issuable Security (as defined below), and each Issuable Securities Agreement, in each case, are governed by New York law; and (vii) the issuance of the Securities will not increase the proportionate share of Common Stock or Preferred Stock or securities convertible into shares of Common Stock or Preferred Stock held by an “interested stockholder” (within the meaning of Section 203(c) of the DGCL). We have not verified any of the foregoing assumptions.</w:t>
      </w:r>
    </w:p>
    <w:p>
      <w:pPr>
        <w:pStyle w:val="TextBody"/>
        <w:bidi w:val="0"/>
        <w:spacing w:before="0" w:after="240"/>
        <w:jc w:val="both"/>
        <w:rPr>
          <w:rFonts w:ascii="Arial" w:hAnsi="Arial"/>
          <w:color w:val="000000"/>
          <w:sz w:val="22"/>
        </w:rPr>
      </w:pPr>
      <w:r>
        <w:rPr>
          <w:rFonts w:ascii="Arial" w:hAnsi="Arial"/>
          <w:color w:val="000000"/>
          <w:sz w:val="22"/>
        </w:rPr>
        <w:t>Our opinions set forth below are limited to: (i) solely in connection with the opinions set forth in numbered paragraphs 1 and 2, below, the DGCL; and (ii) solely in connection with the opinions set forth in numbered paragraphs 3, 4, and 5 below, the laws of the State of New York. We are not opining on, and we assume no responsibility for, the applicability to, or effect on, any of the matters covered herein of: (i) any other laws; (ii) the laws of any other jurisdiction; or (iii) the law of any county, municipality, or other political subdivision or local governmental agency or authority.</w:t>
      </w:r>
    </w:p>
    <w:p>
      <w:pPr>
        <w:pStyle w:val="TextBody"/>
        <w:bidi w:val="0"/>
        <w:spacing w:before="0" w:after="240"/>
        <w:jc w:val="both"/>
        <w:rPr>
          <w:rFonts w:ascii="Arial" w:hAnsi="Arial"/>
          <w:color w:val="000000"/>
          <w:sz w:val="22"/>
        </w:rPr>
      </w:pPr>
      <w:r>
        <w:rPr>
          <w:rFonts w:ascii="Arial" w:hAnsi="Arial"/>
          <w:color w:val="000000"/>
          <w:sz w:val="22"/>
        </w:rPr>
        <w:t>Based on and subject to the foregoing, and assuming that: (i) the Registration Statement, including the prospectus included in the Registration Statement relating to the Securities, and any required post-effective amendment thereto, will be effective and will comply with all applicable laws at the time the relevant Securities are offered or issued as contemplated by the Registration Statement, including the prospectus included in the Registration Statement relating to the Securities, and any such post-effective amendment; (ii) a prospectus supplement will have been prepared and filed with the Commission describing the Securities offered thereby and will comply with all applicable laws; (iii) all Securities will be offered, issued, and sold in compliance with applicable federal and state securities laws and in the manner stated in the Registration Statement, including the prospectus included in the Registration Statement relating to the Securities, any required post-effective amendment thereto, and the applicable prospectus supplement; and (iv) additional qualifications and other matters set forth below, it is our opinion that:</w:t>
      </w:r>
    </w:p>
    <w:p>
      <w:pPr>
        <w:pStyle w:val="TextBody"/>
        <w:bidi w:val="0"/>
        <w:spacing w:before="0" w:after="240"/>
        <w:jc w:val="both"/>
        <w:rPr>
          <w:rFonts w:ascii="Times New Roman" w:hAnsi="Times New Roman"/>
          <w:sz w:val="20"/>
        </w:rPr>
      </w:pPr>
      <w:r>
        <w:rPr>
          <w:rFonts w:ascii="Arial" w:hAnsi="Arial"/>
          <w:color w:val="000000"/>
          <w:sz w:val="22"/>
        </w:rPr>
        <w:t>1. With respect to a share of Common Stock, when: (i) the terms of the offer, issuance, and sale of such share of Common Stock (including the number of shares of Common Stock to be issued, the time period during which shares of Common Stock may be issued, and the consideration for which such shares of Common Stock may be acquired from the Company) have been duly determined, authorized, and approved by all necessary action of the Board of Directors and/or a duly authorized, committee thereof in accordance with the DGCL and the Organizational Documents, in a manner so as not to violate any applicable law, rule, or regulation, or result in a default under, or a breach of, any agreement or instrument binding upon the Company, and so as to comply with any applicable requirement or restriction imposed by any court or governmental body having jurisdiction over the Company (which determination, authorization, and approval shall not have been rescinded or otherwise modified); (ii) the Company receives the consideration for such share of Common Stock as has been duly determined, authorized, and approved by all necessary action of the Board of Directors and/or a duly authorized committee thereof and that is at least equal to the par value of such share; (iii) either (A) upon the issuance of such share of Common Stock, such share is evidenced by a certificate duly executed and delivered, or (B) the Board of Directors and/or a duly authorized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4</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committee thereof has adopted a resolution providing that all shares of Common Stock shall be uncertificated in accordance with Section 158 of the DGCL prior to the issuance of such share of Common Stock, and, within a reasonable time after the issuance of such uncertificated share, the registered owner thereof shall be given notice in writing or by electronic transmission in compliance with Section 151(f) of the DGCL; and (iv) the issuance of such share of Common Stock is properly recorded in the stock ledger of the Company, such share of Common Stock will be validly issued, fully paid, and nonassessable.</w:t>
      </w:r>
    </w:p>
    <w:p>
      <w:pPr>
        <w:pStyle w:val="TextBody"/>
        <w:bidi w:val="0"/>
        <w:spacing w:before="0" w:after="240"/>
        <w:jc w:val="both"/>
        <w:rPr>
          <w:rFonts w:ascii="Arial" w:hAnsi="Arial"/>
          <w:color w:val="000000"/>
          <w:sz w:val="22"/>
        </w:rPr>
      </w:pPr>
      <w:r>
        <w:rPr>
          <w:rFonts w:ascii="Arial" w:hAnsi="Arial"/>
          <w:color w:val="000000"/>
          <w:sz w:val="22"/>
        </w:rPr>
        <w:t>2. With respect to a share of Preferred Stock, when: (i) either (A) the Board of Directors and/or a duly authorized committee thereof has duly adopted resolutions pursuant to the authority expressly vested in the Board of Directors by the “blank check” provisions of the Certificate of Incorporation setting forth the designations, powers, preferences, and relative, participating, optional, other, or special rights, if any, and the qualifications, limitations, or restrictions, if any, of the share of the relevant series of Preferred Stock, such resolutions adopted by the Board of Directors and/or a duly authorized committee thereof have been set forth in a certificate of designations including the number of shares of the relevant series of Preferred Stock as to which such resolutions apply, and such certificate of designations has been executed, acknowledged, and filed and become effective in accordance with Section 103 of the DGCL or (B) a certificate of amendment of the Certificate of Incorporation or an amended and restated certificate of incorporation, in either case, setting forth the designations, powers, preferences, and relative, participating, optional, other, or special rights, if any, and the qualifications, limitations, or restrictions, if any, of the shares of the relevant series of Preferred Stock has been duly authorized and approved by the Board of Directors and the stockholders of the Company in accordance with the DGCL and executed, acknowledged, and filed and become effective in accordance with Section 103 of the DGCL; (ii) the terms of the offer, issuance, and sale of such share of the relevant series of Preferred Stock (including the number of shares of the relevant series of Preferred Stock to be issued, the time period during which shares of the relevant series of Preferred Stock may be issued, and the consideration for which such shares of the relevant series of Preferred Stock may be acquired from the Company) have been duly determined, authorized, and approved by all necessary action of the Board of Directors and/or a duly authorized committee thereof in accordance with the DGCL and the Organizational Documents, as amended, in a manner so as not to violate any applicable law, rule, or regulation, or result in a default under, or a breach of, any agreement or instrument binding upon the Company, and so as to comply with any applicable requirement or restriction imposed by any court or governmental body having jurisdiction over the Company (which determination, authorization, and approval shall not have been rescinded or otherwise modified); (iii) the Company receives the consideration for such share of the relevant series of Preferred Stock as has been duly determined, authorized, and approved by all necessary action of the Board of Directors and/or a duly authorized committee thereof and that is at least equal to the par value of such share; (iv) either (A) upon the issuance of such share of the relevant series of Preferred Stock, such share is evidenced by a certificate duly executed and delivered, or (B) the Board of Directors and/or a duly authorized committee thereof has adopted a resolution providing that all shares of the relevant series of Preferred Stock shall be uncertificated in accordance with Section 158 of the DGCL prior to the issuance of such share of the relevant series of Preferred Stock, and, within a reasonable time after the issuance of such uncertificated share, the registered owner thereof shall be given notice in writing or by electronic transmission in compliance with Section 151(f) of the DGCL; and (v) the issuance of such share of the relevant series of Preferred Stock is properly recorded in the stock ledger of the Company, such share of the relevant series of Preferred Stock will be validly issued, fully paid, and nonassessable.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5</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3. With respect to a Warrant, when: (i) such Warrant has been created and terms of such Warrant (including, to the extent that such Warrant entitles the holder thereof to acquire from the Company shares of Common Stock and/or Preferred Stock, the number of shares of Common Stock and/or the relevant series of Preferred Stock issuable upon exercise of such Warrant, and the times or times at or within which and the consideration for which any such shares may be acquired from the Company upon the exercise of such Warrant) and the terms of the offer, issuance, and sale of such Warrant, have been duly determined, authorized, and approved by all necessary action of the Board of Directors and/or a duly authorized committee thereof in accordance with the DGCL and the Organizational Documents, in a manner so as not to violate any applicable law, rule, or regulation, or result in a default under, or a breach of, any agreement or instrument binding upon the Company, and so as to comply with any applicable requirement or restriction imposed by any court or governmental body having jurisdiction over the Company (which determination, authorization, and approval shall not have been rescinded or otherwise modified); (ii) the Company receives the consideration for such Warrant as has been duly determined, authorized, and approved by all necessary action of the Board of Directors and/or a duly authorized committee thereof; and (iii) the applicable Warrant has been duly executed, authenticated (if required), issued, and delivered as contemplated by the Registration Statement, including the prospectus included in the Registration Statement relating to the Securities, any required post-effective amendment thereto, and the prospectus supplement relating thereto and in accordance with the terms of the applicable Warrant Agreement and any other agreement or instrument binding upon the Company and enforceable against the parties thereto in accordance with its terms, upon payment of the consideration fixed therefor in accordance with the applicable Purchase Agreement, such Warrant and such Warrant Agreement will constitute valid and binding obligations of the Company, enforceable against the Company in accordance with its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pStyle w:val="TextBody"/>
        <w:bidi w:val="0"/>
        <w:spacing w:before="0" w:after="240"/>
        <w:jc w:val="both"/>
        <w:rPr>
          <w:rFonts w:ascii="Times New Roman" w:hAnsi="Times New Roman"/>
          <w:sz w:val="20"/>
        </w:rPr>
      </w:pPr>
      <w:r>
        <w:rPr>
          <w:rFonts w:ascii="Arial" w:hAnsi="Arial"/>
          <w:color w:val="000000"/>
          <w:sz w:val="22"/>
        </w:rPr>
        <w:t>4. With respect to a Unit, when: (i) such Unit has been created and the terms of such Unit (including, to the extent such Unit is comprised of shares of Common Stock and/or Preferred Stock, the number of shares of Common Stock and/or the relevant series of Preferred Stock that may be issued, the time period during which shares of Common Stock and/or the relevant series of Preferred Stock may be issued, and the consideration for which such shares of Common Stock and/or the relevant series of Preferred Stock may be acquired from the Company and, to the extent such Unit is comprised of Warrants entitling the holder thereof to acquire shares of Common Stock and/or Preferred Stock, the number of shares of Common Stock and/or the relevant series of Preferred Stock issuable upon exercise of the Warrants, and the time or times at or within which and the consideration for which any shares may be acquired upon the exercise of such Warrants) and the terms of the offer, issuance, and sale of such Unit, have been duly determined, authorized, and approved by all necessary action of the Board of Directors and/or a duly authorized committee thereof in accordance with the DGCL and the Organizational Documents, in a manner so as not to violate any applicable law, rule, or regulation, or result in a default under, or a breach of, any agreement or instrument binding upon the Company, and so as to comply with any applicable requirement or restriction imposed by any court or governmental body having jurisdiction over the Company (which determination, authorization, and approval shall not have been rescinded or otherwise modified); (ii) any share of Common Stock and/or Preferred Stock that forms a part of such Unit is validly issued, fully paid, and nonassessable, as contemplated in numbered paragraphs 1 and 2 above, respectively, as applicable; (iii) 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6</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Warrant that forms a part of such Unit and the applicable Warrant Agreement constitute binding obligations of the Company, as contemplated in numbered paragraph 3 above; (iv) the Company receives the consideration for such Unit as has been duly determined, authorized, and approved by all necessary action of the Board of Directors and/or a duly authorized committee thereof; and (v) the applicable Unit has been duly executed, authenticated (if required), issued, and delivered as contemplated by the Registration Statement, including the prospectus included in the Registration Statement relating to the Securities, any required post-effective amendments thereto, and the prospectus supplement relating thereto and in accordance with the terms of the applicable Unit Agreement, and any other agreement or instrument binding upon the Company and enforceable against the parties thereto in accordance with their terms, upon payment of the consideration fixed therefor in accordance with the applicable Purchase Agreement, such Unit and such Unit Agreement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pStyle w:val="TextBody"/>
        <w:bidi w:val="0"/>
        <w:spacing w:before="0" w:after="240"/>
        <w:jc w:val="both"/>
        <w:rPr>
          <w:rFonts w:ascii="Times New Roman" w:hAnsi="Times New Roman"/>
          <w:sz w:val="20"/>
        </w:rPr>
      </w:pPr>
      <w:r>
        <w:rPr>
          <w:rFonts w:ascii="Arial" w:hAnsi="Arial"/>
          <w:color w:val="000000"/>
          <w:sz w:val="22"/>
        </w:rPr>
        <w:t>5. If any Security is issuable (each, an “</w:t>
      </w:r>
      <w:r>
        <w:rPr>
          <w:rFonts w:ascii="Arial" w:hAnsi="Arial"/>
          <w:color w:val="000000"/>
          <w:sz w:val="22"/>
          <w:u w:val="single"/>
        </w:rPr>
        <w:t>Issuable Security</w:t>
      </w:r>
      <w:r>
        <w:rPr>
          <w:rFonts w:ascii="Times New Roman" w:hAnsi="Times New Roman"/>
          <w:color w:val="000000"/>
          <w:sz w:val="20"/>
        </w:rPr>
        <w:t>”</w:t>
      </w:r>
      <w:r>
        <w:rPr>
          <w:rFonts w:ascii="Arial" w:hAnsi="Arial"/>
          <w:color w:val="000000"/>
          <w:sz w:val="22"/>
        </w:rPr>
        <w:t>) upon settlement, exercise, conversion, or exchange of any other Security (each, an “</w:t>
      </w:r>
      <w:r>
        <w:rPr>
          <w:rFonts w:ascii="Arial" w:hAnsi="Arial"/>
          <w:color w:val="000000"/>
          <w:sz w:val="22"/>
          <w:u w:val="single"/>
        </w:rPr>
        <w:t>Initial Security</w:t>
      </w:r>
      <w:r>
        <w:rPr>
          <w:rFonts w:ascii="Times New Roman" w:hAnsi="Times New Roman"/>
          <w:color w:val="000000"/>
          <w:sz w:val="20"/>
        </w:rPr>
        <w:t>”</w:t>
      </w:r>
      <w:r>
        <w:rPr>
          <w:rFonts w:ascii="Arial" w:hAnsi="Arial"/>
          <w:color w:val="000000"/>
          <w:sz w:val="22"/>
        </w:rPr>
        <w:t>) pursuant to the terms of such Initial Security, when (i) such Issuable Security has been created and the terms of such Issuable Security (including, to the extent that such Issuable Security entitles the holder thereof to acquire from the Company shares of Common Stock, Preferred Stock, and/or Warrants, the number of shares of Common Stock, the relevant series of Preferred Stock, and/or Warrants issuable upon settlement, exercise, conversion, or exchange of such Issuable Security, and the time or times at or within which, and the consideration for which, such shares and/or Warrants may be acquired from the Company upon settlement, exercise, conversion, or exchange of such Issuable Security), have been duly determined, authorized, and approved by all necessary action of the Board of Directors and/or a duly authorized committee thereof in accordance with the DGCL and the Organizational Documents, in a manner so as not to violate any applicable law, rule, or regulation, or result in a default under, or a breach of, any agreement or instrument binding upon the Company, and so as to comply with any applicable requirement or restriction imposed by any court or governmental body having jurisdiction over the Company (which determination, authorization, and approval shall not have been rescinded or otherwise modified); (ii) any share of Common Stock and/or Preferred Stock that constitutes such Initial Security is validly issued, fully paid, and nonassessable, as contemplated in numbered paragraphs 1 and 2 above, respectively, as applicable; (iii) any Warrant that constitutes such Initial Security and the applicable Warrant Agreement constitute binding obligations of the Company, as contemplated in numbered paragraph 3 above; (iv) any Unit that constitutes such Initial Security and the applicable Unit Agreement constitute binding obligations of the Company as contemplated in numbered paragraph 4 above; (v) the terms of the offer, issuance, and sale of such Issuable Security have been duly determined, authorized, approved, and documented as provided in applicable numbered paragraphs 1 through 4 above; (vi) the Company receives the consideration for such Issuable Security as has been duly determined, authorized, and approved by all necessary action of the Board of Directors and/or a duly authorized committee thereof; and (vii) (A) such Initial Security has been duly executed, authenticated (if required), issued, and delivered and (B) such Initial Security been issued upon settlement, exercise, conversion, or exchange, as the case may be, of such Initial Security pursuant to the terms of the applicable Initial Security, in each case, as contemplated by the Registration Statement, including the prospectus included in the Registration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March 31, 2026</w:t>
      </w:r>
    </w:p>
    <w:p>
      <w:pPr>
        <w:pStyle w:val="TextBody"/>
        <w:bidi w:val="0"/>
        <w:jc w:val="left"/>
        <w:rPr>
          <w:rFonts w:ascii="Arial" w:hAnsi="Arial"/>
          <w:color w:val="000000"/>
          <w:sz w:val="22"/>
        </w:rPr>
      </w:pPr>
      <w:r>
        <w:rPr>
          <w:rFonts w:ascii="Arial" w:hAnsi="Arial"/>
          <w:color w:val="000000"/>
          <w:sz w:val="22"/>
        </w:rPr>
        <w:t>Page 7</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Statement related to the Securities, any required post-effective amendment thereto, and the prospectus supplement relating thereto, and in accordance with the applicable Issuable Securities Agreement and any other agreement or instrument binding upon the Company and enforceable against the parties thereto in accordance with its terms, upon payment of the consideration therefor fixed pursuant to the applicable Purchase Agreement, such Issuable Security and such Issuable Securities Agreement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pStyle w:val="TextBody"/>
        <w:bidi w:val="0"/>
        <w:spacing w:before="0" w:after="480"/>
        <w:jc w:val="both"/>
        <w:rPr>
          <w:rFonts w:ascii="Arial" w:hAnsi="Arial"/>
          <w:color w:val="000000"/>
          <w:sz w:val="22"/>
        </w:rPr>
      </w:pPr>
      <w:r>
        <w:rPr>
          <w:rFonts w:ascii="Arial" w:hAnsi="Arial"/>
          <w:color w:val="000000"/>
          <w:sz w:val="22"/>
        </w:rPr>
        <w:t>We hereby consent to the filing of this opinion letter with the Commission as Exhibit 5.1 to the Registration Statement and to the reference to this firm under the heading “Legal Matters” in the prospectus forming a part thereof. In giving this consent, we do not thereby admit that we are experts with respect to any part of the Registration Statement or the prospectus within the meaning of the term “expert” as used in Section 11 of the Securities Act, or the rules and regulations promulgated thereunder, by the Commission, nor do we admit that we are within the category of persons whose consent is required under Section 7 of the Securities Act or the rules and regulations of the Commission promulgated thereunder.</w:t>
      </w:r>
    </w:p>
    <w:p>
      <w:pPr>
        <w:pStyle w:val="TextBody"/>
        <w:bidi w:val="0"/>
        <w:spacing w:before="0" w:after="240"/>
        <w:jc w:val="both"/>
        <w:rPr>
          <w:rFonts w:ascii="Times New Roman" w:hAnsi="Times New Roman"/>
          <w:sz w:val="20"/>
        </w:rPr>
      </w:pPr>
      <w:r>
        <w:rPr>
          <w:rFonts w:ascii="Arial" w:hAnsi="Arial"/>
          <w:color w:val="000000"/>
          <w:sz w:val="22"/>
        </w:rPr>
        <w:t>Yours truly,</w:t>
      </w:r>
      <w:r>
        <w:rPr>
          <w:rFonts w:ascii="Times New Roman" w:hAnsi="Times New Roman"/>
          <w:color w:val="000000"/>
          <w:sz w:val="20"/>
        </w:rPr>
        <w:t xml:space="preserve"> </w:t>
      </w:r>
    </w:p>
    <w:p>
      <w:pPr>
        <w:pStyle w:val="TextBody"/>
        <w:bidi w:val="0"/>
        <w:spacing w:before="0" w:after="240"/>
        <w:jc w:val="both"/>
        <w:rPr>
          <w:rFonts w:ascii="Arial" w:hAnsi="Arial"/>
          <w:color w:val="000000"/>
          <w:sz w:val="22"/>
        </w:rPr>
      </w:pPr>
      <w:r>
        <w:rPr>
          <w:rFonts w:ascii="Arial" w:hAnsi="Arial"/>
          <w:color w:val="000000"/>
          <w:sz w:val="22"/>
        </w:rPr>
        <w:t>/s/ K&amp;L Gates LLP</w:t>
      </w:r>
    </w:p>
    <w:p>
      <w:pPr>
        <w:pStyle w:val="TextBody"/>
        <w:bidi w:val="0"/>
        <w:spacing w:before="0" w:after="240"/>
        <w:jc w:val="both"/>
        <w:rPr>
          <w:rFonts w:ascii="Arial" w:hAnsi="Arial"/>
          <w:color w:val="000000"/>
          <w:sz w:val="22"/>
        </w:rPr>
      </w:pPr>
      <w:r>
        <w:rPr>
          <w:rFonts w:ascii="Arial" w:hAnsi="Arial"/>
          <w:color w:val="000000"/>
          <w:sz w:val="22"/>
        </w:rPr>
        <w:t>K&amp;L Gates 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cel-ex23_1.htm"/>
      <w:bookmarkStart w:id="29" w:name="ksrcelex23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2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have issued our report dated February 12, 2026 with respect to the consolidated financial statements of AVITA Medical, Inc. included in the Annual Report on Form 10-K for the year ended December 31, 2025, which is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200" w:after="360"/>
        <w:jc w:val="left"/>
        <w:rPr>
          <w:rFonts w:ascii="Times New Roman" w:hAnsi="Times New Roman"/>
          <w:color w:val="000000"/>
          <w:sz w:val="20"/>
        </w:rPr>
      </w:pPr>
      <w:r>
        <w:rPr>
          <w:rFonts w:ascii="Times New Roman" w:hAnsi="Times New Roman"/>
          <w:color w:val="000000"/>
          <w:sz w:val="20"/>
        </w:rPr>
        <w:t>/s/ GRANT THORNTON LLP</w:t>
      </w:r>
    </w:p>
    <w:p>
      <w:pPr>
        <w:pStyle w:val="TextBody"/>
        <w:bidi w:val="0"/>
        <w:jc w:val="both"/>
        <w:rPr>
          <w:rFonts w:ascii="Times New Roman" w:hAnsi="Times New Roman"/>
          <w:color w:val="000000"/>
          <w:sz w:val="20"/>
        </w:rPr>
      </w:pPr>
      <w:r>
        <w:rPr>
          <w:rFonts w:ascii="Times New Roman" w:hAnsi="Times New Roman"/>
          <w:color w:val="000000"/>
          <w:sz w:val="20"/>
        </w:rPr>
        <w:t>Newport Beach, California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March 31, 2026</w:t>
      </w:r>
    </w:p>
    <w:p>
      <w:pPr>
        <w:pStyle w:val="TextBody"/>
        <w:bidi w:val="0"/>
        <w:jc w:val="left"/>
        <w:rPr/>
      </w:pPr>
      <w:r>
        <w:rPr/>
        <w:t> </w:t>
      </w:r>
    </w:p>
    <w:p>
      <w:pPr>
        <w:pStyle w:val="TextBody"/>
        <w:bidi w:val="0"/>
        <w:spacing w:before="0" w:after="12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cel_exfilingfees.htm"/>
      <w:bookmarkStart w:id="31" w:name="ksrcel_exfilingfees"/>
      <w:bookmarkEnd w:id="30"/>
      <w:bookmarkEnd w:id="31"/>
      <w:r>
        <w:rPr>
          <w:rFonts w:ascii="Times New Roman" w:hAnsi="Times New Roman"/>
          <w:b/>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p>
    <w:p>
      <w:pPr>
        <w:pStyle w:val="TextBody"/>
        <w:bidi w:val="0"/>
        <w:jc w:val="center"/>
        <w:rPr>
          <w:rFonts w:ascii="Times New Roman" w:hAnsi="Times New Roman"/>
          <w:b/>
          <w:color w:val="000000"/>
          <w:sz w:val="20"/>
        </w:rPr>
      </w:pPr>
      <w:r>
        <w:rPr>
          <w:rFonts w:ascii="Times New Roman" w:hAnsi="Times New Roman"/>
          <w:b/>
          <w:color w:val="000000"/>
          <w:sz w:val="20"/>
        </w:rPr>
        <w:t>FORM S-3</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Table 1: Newly Registered and Carry Forward Securities</w:t>
      </w:r>
    </w:p>
    <w:tbl>
      <w:tblPr>
        <w:tblW w:w="15762" w:type="dxa"/>
        <w:jc w:val="left"/>
        <w:tblInd w:w="0" w:type="dxa"/>
        <w:tblLayout w:type="fixed"/>
        <w:tblCellMar>
          <w:top w:w="28" w:type="dxa"/>
          <w:left w:w="28" w:type="dxa"/>
          <w:bottom w:w="28" w:type="dxa"/>
          <w:right w:w="28" w:type="dxa"/>
        </w:tblCellMar>
      </w:tblPr>
      <w:tblGrid>
        <w:gridCol w:w="946"/>
        <w:gridCol w:w="109"/>
        <w:gridCol w:w="1096"/>
        <w:gridCol w:w="109"/>
        <w:gridCol w:w="1096"/>
        <w:gridCol w:w="109"/>
        <w:gridCol w:w="109"/>
        <w:gridCol w:w="837"/>
        <w:gridCol w:w="109"/>
        <w:gridCol w:w="109"/>
        <w:gridCol w:w="345"/>
        <w:gridCol w:w="526"/>
        <w:gridCol w:w="146"/>
        <w:gridCol w:w="109"/>
        <w:gridCol w:w="333"/>
        <w:gridCol w:w="508"/>
        <w:gridCol w:w="146"/>
        <w:gridCol w:w="109"/>
        <w:gridCol w:w="211"/>
        <w:gridCol w:w="1501"/>
        <w:gridCol w:w="146"/>
        <w:gridCol w:w="109"/>
        <w:gridCol w:w="146"/>
        <w:gridCol w:w="991"/>
        <w:gridCol w:w="146"/>
        <w:gridCol w:w="109"/>
        <w:gridCol w:w="109"/>
        <w:gridCol w:w="211"/>
        <w:gridCol w:w="826"/>
        <w:gridCol w:w="109"/>
        <w:gridCol w:w="109"/>
        <w:gridCol w:w="215"/>
        <w:gridCol w:w="536"/>
        <w:gridCol w:w="109"/>
        <w:gridCol w:w="109"/>
        <w:gridCol w:w="109"/>
        <w:gridCol w:w="736"/>
        <w:gridCol w:w="109"/>
        <w:gridCol w:w="109"/>
        <w:gridCol w:w="109"/>
        <w:gridCol w:w="642"/>
        <w:gridCol w:w="109"/>
        <w:gridCol w:w="109"/>
        <w:gridCol w:w="211"/>
        <w:gridCol w:w="97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Security Type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Security Class 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Fee Calculation or Carry Forward Rule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 Registered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Proposed Maximum Offering Price Per Unit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Maximum Aggregate Offering Price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Fee 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 of Registration Fee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Carry Forward Form Type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Carry Forward File 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Carry Forward Initial effective date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Filing Fee Previously Paid In Connection with Unsold Securities to be Carried Forward</w:t>
            </w:r>
          </w:p>
        </w:tc>
      </w:tr>
      <w:tr>
        <w:trPr/>
        <w:tc>
          <w:tcPr>
            <w:tcW w:w="15762" w:type="dxa"/>
            <w:gridSpan w:val="45"/>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Newly Registered Securities</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Fees to Be Paid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Common</w:t>
            </w:r>
          </w:p>
          <w:p>
            <w:pPr>
              <w:pStyle w:val="TableContents"/>
              <w:bidi w:val="0"/>
              <w:jc w:val="center"/>
              <w:rPr>
                <w:rFonts w:ascii="Times New Roman" w:hAnsi="Times New Roman"/>
                <w:color w:val="000000"/>
                <w:sz w:val="20"/>
              </w:rPr>
            </w:pPr>
            <w:r>
              <w:rPr>
                <w:rFonts w:ascii="Times New Roman" w:hAnsi="Times New Roman"/>
                <w:color w:val="000000"/>
                <w:sz w:val="20"/>
              </w:rPr>
              <w:t>Stock, par</w:t>
            </w:r>
          </w:p>
          <w:p>
            <w:pPr>
              <w:pStyle w:val="TableContents"/>
              <w:bidi w:val="0"/>
              <w:jc w:val="center"/>
              <w:rPr>
                <w:rFonts w:ascii="Times New Roman" w:hAnsi="Times New Roman"/>
                <w:color w:val="000000"/>
                <w:sz w:val="20"/>
              </w:rPr>
            </w:pPr>
            <w:r>
              <w:rPr>
                <w:rFonts w:ascii="Times New Roman" w:hAnsi="Times New Roman"/>
                <w:color w:val="000000"/>
                <w:sz w:val="20"/>
              </w:rPr>
              <w:t>value</w:t>
            </w:r>
          </w:p>
          <w:p>
            <w:pPr>
              <w:pStyle w:val="TableContents"/>
              <w:bidi w:val="0"/>
              <w:jc w:val="center"/>
              <w:rPr>
                <w:rFonts w:ascii="Times New Roman" w:hAnsi="Times New Roman"/>
                <w:color w:val="000000"/>
                <w:sz w:val="20"/>
              </w:rPr>
            </w:pPr>
            <w:r>
              <w:rPr>
                <w:rFonts w:ascii="Times New Roman" w:hAnsi="Times New Roman"/>
                <w:color w:val="000000"/>
                <w:sz w:val="20"/>
              </w:rPr>
              <w:t>$0.0001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9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Preferred</w:t>
            </w:r>
          </w:p>
          <w:p>
            <w:pPr>
              <w:pStyle w:val="TableContents"/>
              <w:bidi w:val="0"/>
              <w:jc w:val="center"/>
              <w:rPr>
                <w:rFonts w:ascii="Times New Roman" w:hAnsi="Times New Roman"/>
                <w:color w:val="000000"/>
                <w:sz w:val="20"/>
              </w:rPr>
            </w:pPr>
            <w:r>
              <w:rPr>
                <w:rFonts w:ascii="Times New Roman" w:hAnsi="Times New Roman"/>
                <w:color w:val="000000"/>
                <w:sz w:val="20"/>
              </w:rPr>
              <w:t>Stock, par</w:t>
            </w:r>
          </w:p>
          <w:p>
            <w:pPr>
              <w:pStyle w:val="TableContents"/>
              <w:bidi w:val="0"/>
              <w:jc w:val="center"/>
              <w:rPr>
                <w:rFonts w:ascii="Times New Roman" w:hAnsi="Times New Roman"/>
                <w:color w:val="000000"/>
                <w:sz w:val="20"/>
              </w:rPr>
            </w:pPr>
            <w:r>
              <w:rPr>
                <w:rFonts w:ascii="Times New Roman" w:hAnsi="Times New Roman"/>
                <w:color w:val="000000"/>
                <w:sz w:val="20"/>
              </w:rPr>
              <w:t>value</w:t>
            </w:r>
          </w:p>
          <w:p>
            <w:pPr>
              <w:pStyle w:val="TableContents"/>
              <w:bidi w:val="0"/>
              <w:jc w:val="center"/>
              <w:rPr>
                <w:rFonts w:ascii="Times New Roman" w:hAnsi="Times New Roman"/>
                <w:color w:val="000000"/>
                <w:sz w:val="20"/>
              </w:rPr>
            </w:pPr>
            <w:r>
              <w:rPr>
                <w:rFonts w:ascii="Times New Roman" w:hAnsi="Times New Roman"/>
                <w:color w:val="000000"/>
                <w:sz w:val="20"/>
              </w:rPr>
              <w:t>$0.0001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 share</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457(o)</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9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Units (1)</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457(o)</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Unallocated (Universal) Shelf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Unallocated (Universal) Shelf (2)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7,846,018.09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0.0001381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5762" w:type="dxa"/>
            <w:gridSpan w:val="4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 Forward Securities</w:t>
            </w:r>
          </w:p>
        </w:tc>
      </w:tr>
      <w:tr>
        <w:trPr/>
        <w:tc>
          <w:tcPr>
            <w:tcW w:w="9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 Forward Securities</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 underlying warrants (3)</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Rule 415(a)(6)</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$4,500,003.19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S-3</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333-271276</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25, 2023</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Unallocated (Universal) Shelf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Unallocated (Universal) Shelf (4)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Rule 415(a)(6)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$192,153,981.91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333-271276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25,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21,175.37</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14"/>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 Offering Amounts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1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 Fees Previously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14"/>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 Fee Offsets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1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Net Fees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7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Consisting of some or all of the securities listed above, in any combination, including common stock, preferred stock, debt securities, warrants, and rights.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15" w:type="dxa"/>
            <w:tcBorders/>
            <w:tcMar>
              <w:top w:w="0" w:type="dxa"/>
              <w:left w:w="0" w:type="dxa"/>
              <w:bottom w:w="0" w:type="dxa"/>
              <w:right w:w="0" w:type="dxa"/>
            </w:tcMar>
            <w:vAlign w:val="center"/>
          </w:tcPr>
          <w:p>
            <w:pPr>
              <w:pStyle w:val="TableContents"/>
              <w:bidi w:val="0"/>
              <w:spacing w:before="0" w:after="283"/>
              <w:jc w:val="both"/>
              <w:rPr/>
            </w:pPr>
            <w:r>
              <w:rPr/>
              <w:t> </w:t>
            </w:r>
          </w:p>
        </w:tc>
        <w:tc>
          <w:tcPr>
            <w:tcW w:w="9729"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277"/>
        <w:gridCol w:w="9767"/>
      </w:tblGrid>
      <w:tr>
        <w:trPr/>
        <w:tc>
          <w:tcPr>
            <w:tcW w:w="1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6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7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registration statement covers such indeterminate number of shares of common stock and preferred stock, such indeterminate number of warrants to any of the securities registered hereunder, and such indeterminate number of units comprised of any of the securities registered hereunder, along with an indeterminate number of securities that may be issued upon exercise, settlement, exchange or conversion of or pursuant to anti-dilution rights under the securities registered hereunder, as have an aggregate initial offering price not to exceed $200,000,000. The securities registered hereunder are to be issued from time to time at prices to be determined. In addition, pursuant to Rule 416 under the Securities Act of 1933, as amended (the “Securities Act”), this registration statement shall be deemed to cover such additional number of securities as may be offered or issued in connection with any stock splits, stock dividends or similar transactions.</w:t>
            </w:r>
          </w:p>
        </w:tc>
      </w:tr>
    </w:tbl>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5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tcMar>
              <w:top w:w="0" w:type="dxa"/>
              <w:left w:w="0" w:type="dxa"/>
              <w:bottom w:w="0" w:type="dxa"/>
              <w:right w:w="0" w:type="dxa"/>
            </w:tcMar>
            <w:vAlign w:val="center"/>
          </w:tcPr>
          <w:p>
            <w:pPr>
              <w:pStyle w:val="TableContents"/>
              <w:bidi w:val="0"/>
              <w:spacing w:before="0" w:after="283"/>
              <w:jc w:val="both"/>
              <w:rPr/>
            </w:pPr>
            <w:r>
              <w:rPr/>
              <w:t> </w:t>
            </w:r>
          </w:p>
        </w:tc>
        <w:tc>
          <w:tcPr>
            <w:tcW w:w="97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Pursuant to Instruction 2.A.iii.b. of Item 16(b) of Form S-3, the proposed maximum aggregate offering price is not specified as to each class of securities to be registered. There is being registered hereby such indeterminate number of the securities of each identified class as may from time to time be issued at indeterminate prices. Securities registered hereby may be offered for U.S. dollars or the equivalent thereof in foreign currencies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tcMar>
              <w:top w:w="0" w:type="dxa"/>
              <w:left w:w="0" w:type="dxa"/>
              <w:bottom w:w="0" w:type="dxa"/>
              <w:right w:w="0" w:type="dxa"/>
            </w:tcMar>
            <w:vAlign w:val="center"/>
          </w:tcPr>
          <w:p>
            <w:pPr>
              <w:pStyle w:val="TableContents"/>
              <w:bidi w:val="0"/>
              <w:spacing w:before="0" w:after="283"/>
              <w:jc w:val="both"/>
              <w:rPr/>
            </w:pPr>
            <w:r>
              <w:rPr/>
              <w:t> </w:t>
            </w:r>
          </w:p>
        </w:tc>
        <w:tc>
          <w:tcPr>
            <w:tcW w:w="975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7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Represents the 409,661 shares of the Registrant’s common stock underlying the warrant issued on October 18, 2023 with an exercise price of $10.9847 per share.</w:t>
            </w:r>
          </w:p>
        </w:tc>
      </w:tr>
    </w:tbl>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 previously filed a Registration Statement Form S-3 (File No. 333-271276) filed on April 14, 2023 (the “Prior Registration Statement”), which was declared effective on April 25, 2023, that registered $200,000,000 of securities to be offered by the Registrant from time to time. Pursuant to Rule 415(a)(6) under the Securities Act, this Registration Statement includes 409,661 shares of common stock underlying unexercised warrants and $192,153,981.91 of unsold unallocated shelf securities (collectively, the “Unsold Securities”) that were previously registered on the Prior Registration Statement. In connection with the registration of the Unsold Securities on the Prior Registration Statement, the Registrant paid a filing fee of $21,671.27 (calculated based on the filing fee rate in effect at the time of the filing of the Prior Registration Statement). The Registrant is not required to pay any additional fee with respect to the Unsold Securities being included in this Registration Statement in reliance on Rule 415(a)(6), because such Unsold Securities (and associated fees) are being moved from the Prior Registration Statement to this Registration Statement. Accordingly, the Amount of Registration Fee in the table above reflects only the registration fee attributable to the $7,846,018.09 of new securities registered on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hyperlink" Target="https://www.sec.gov/ix?doc=/Archives/edgar/data/0001762303/000119312526049031/rcel-20251231.htm" TargetMode="External"/><Relationship Id="rId5" Type="http://schemas.openxmlformats.org/officeDocument/2006/relationships/hyperlink" Target="https://www.sec.gov/Archives/edgar/data/1762303/000156459023002302/rcel-ex41_1810.htm" TargetMode="External"/><Relationship Id="rId6" Type="http://schemas.openxmlformats.org/officeDocument/2006/relationships/hyperlink" Target="https://www.sec.gov/ix?doc=/Archives/edgar/data/0001762303/000119312526002418/rcel-20260101.htm" TargetMode="External"/><Relationship Id="rId7" Type="http://schemas.openxmlformats.org/officeDocument/2006/relationships/hyperlink" Target="https://www.sec.gov/ix?doc=/Archives/edgar/data/0001762303/000119312526011167/rcel-20260113.htm" TargetMode="External"/><Relationship Id="rId8" Type="http://schemas.openxmlformats.org/officeDocument/2006/relationships/hyperlink" Target="https://www.sec.gov/Archives/edgar/data/1762303/000119312520183429/d75062dex31.htm" TargetMode="External"/><Relationship Id="rId9" Type="http://schemas.openxmlformats.org/officeDocument/2006/relationships/hyperlink" Target="https://www.sec.gov/Archives/edgar/data/1762303/000119312520183429/d75062dex31.htm" TargetMode="External"/><Relationship Id="rId10" Type="http://schemas.openxmlformats.org/officeDocument/2006/relationships/hyperlink" Target="https://www.sec.gov/Archives/edgar/data/1762303/000156459022007617/rcel-ex32_14.htm" TargetMode="External"/><Relationship Id="rId11" Type="http://schemas.openxmlformats.org/officeDocument/2006/relationships/hyperlink" Target="https://www.sec.gov/Archives/edgar/data/1762303/000156459022007617/rcel-ex32_14.htm" TargetMode="External"/><Relationship Id="rId12" Type="http://schemas.openxmlformats.org/officeDocument/2006/relationships/hyperlink" Target="https://www.sec.gov/Archives/edgar/data/1762303/000095017025072746/rcel-ex3_1.htm" TargetMode="External"/><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14838</Words>
  <Characters>79450</Characters>
  <CharactersWithSpaces>94131</CharactersWithSpaces>
  <Paragraphs>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