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83"/>
        <w:spacing w:after="0"/>
        <w:rPr>
          <w:sz w:val="20"/>
          <w:szCs w:val="20"/>
          <w:color w:val="auto"/>
        </w:rPr>
      </w:pPr>
      <w:r>
        <w:rPr>
          <w:rFonts w:ascii="Arial" w:cs="Arial" w:eastAsia="Arial" w:hAnsi="Arial"/>
          <w:sz w:val="22"/>
          <w:szCs w:val="22"/>
          <w:b w:val="1"/>
          <w:bCs w:val="1"/>
          <w:color w:val="auto"/>
        </w:rPr>
        <w:t>Pursuant to Section 13 or 15(d)</w:t>
      </w:r>
    </w:p>
    <w:p>
      <w:pPr>
        <w:jc w:val="center"/>
        <w:ind w:right="-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83"/>
        <w:spacing w:after="0"/>
        <w:rPr>
          <w:sz w:val="20"/>
          <w:szCs w:val="20"/>
          <w:color w:val="auto"/>
        </w:rPr>
      </w:pPr>
      <w:r>
        <w:rPr>
          <w:rFonts w:ascii="Arial" w:cs="Arial" w:eastAsia="Arial" w:hAnsi="Arial"/>
          <w:sz w:val="22"/>
          <w:szCs w:val="22"/>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8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120"/>
          </w:cols>
          <w:pgMar w:left="436" w:top="368" w:right="51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4"/>
          <w:szCs w:val="14"/>
          <w:b w:val="1"/>
          <w:bCs w:val="1"/>
          <w:color w:val="auto"/>
        </w:rPr>
        <w:t>(IRS Employer</w:t>
      </w:r>
    </w:p>
    <w:p>
      <w:pPr>
        <w:jc w:val="center"/>
        <w:ind w:right="11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260"/>
          </w:cols>
          <w:pgMar w:left="436" w:top="368" w:right="51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00"/>
          </w:cols>
          <w:pgMar w:left="436" w:top="368" w:right="51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220"/>
          </w:cols>
          <w:pgMar w:left="436" w:top="368" w:right="519" w:bottom="1440" w:gutter="0" w:footer="0" w:header="0"/>
          <w:type w:val="continuous"/>
        </w:sectPr>
      </w:pPr>
    </w:p>
    <w:p>
      <w:pPr>
        <w:spacing w:after="0" w:line="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64"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8"/>
                <w:szCs w:val="18"/>
                <w:color w:val="auto"/>
                <w:w w:val="81"/>
              </w:rPr>
              <w:t>Common Stock,</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2"/>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0" w:type="dxa"/>
            <w:vAlign w:val="bottom"/>
            <w:vMerge w:val="continue"/>
          </w:tcPr>
          <w:p>
            <w:pPr>
              <w:spacing w:after="0"/>
              <w:rPr>
                <w:sz w:val="19"/>
                <w:szCs w:val="19"/>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par value $0.0001 per share</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RCEL</w:t>
            </w:r>
          </w:p>
        </w:tc>
        <w:tc>
          <w:tcPr>
            <w:tcW w:w="1720" w:type="dxa"/>
            <w:vAlign w:val="bottom"/>
            <w:vMerge w:val="continue"/>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June 15, 2021, Avita Medical, Inc. (the “Company”), issued a press release announcing preliminary unaudited results for the fourth quarter ended June 30, 2021 and certain other business updates (the “Business Update Press Release”). A copy of the press release is furnished herewith as Exhibit 99.1 to this report.</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information under this Item 2.02 and in Exhibit 99.1 is preliminary, has not been audited and is subject to change upon completion of the Company’s closing procedures. The information disclosed under this Item 2.02, including Exhibit 99.1 hereto,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AVITA Medical Announces Preliminary Fourth Quarter 2021 Financial Results</w:t>
              </w:r>
            </w:hyperlink>
          </w:p>
        </w:tc>
        <w:tc>
          <w:tcPr>
            <w:tcW w:w="0" w:type="dxa"/>
            <w:vAlign w:val="bottom"/>
          </w:tcPr>
          <w:p>
            <w:pPr>
              <w:spacing w:after="0"/>
              <w:rPr>
                <w:sz w:val="1"/>
                <w:szCs w:val="1"/>
                <w:color w:val="auto"/>
              </w:rPr>
            </w:pPr>
          </w:p>
        </w:tc>
      </w:tr>
    </w:tbl>
    <w:p>
      <w:pPr>
        <w:sectPr>
          <w:pgSz w:w="11900" w:h="16838" w:orient="portrait"/>
          <w:cols w:equalWidth="0" w:num="1">
            <w:col w:w="10700"/>
          </w:cols>
          <w:pgMar w:left="440" w:top="270" w:right="7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22555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55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Announces Preliminary Fourth Quarter 2021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VALENCIA, Calif., USA, June 15, 2021, and MELBOURNE, Australia, June 16, 2021 (GLOBE NEWSWIRE) — </w:t>
      </w:r>
      <w:r>
        <w:rPr>
          <w:rFonts w:ascii="Arial" w:cs="Arial" w:eastAsia="Arial" w:hAnsi="Arial"/>
          <w:sz w:val="18"/>
          <w:szCs w:val="18"/>
          <w:color w:val="auto"/>
        </w:rPr>
        <w:t>AVITA Medical,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RCEL, ASX: AVH), a regenerative medicine company that is developing and commercializing a technology platform that enables point-of-care autologous skin restoration for multiple unmet needs, today announced preliminary, unaudited financial results for the fiscal fourth quarter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quarter ending June 30, 2021, AVITA Medical has to date realized total revenue in excess of its fiscal fourth quarter guidance range of</w:t>
      </w:r>
    </w:p>
    <w:p>
      <w:pPr>
        <w:spacing w:after="0" w:line="4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$8.2 million to $8.6 million. Based on the strength of both RECELL</w:t>
      </w:r>
      <w:r>
        <w:rPr>
          <w:rFonts w:ascii="Arial" w:cs="Arial" w:eastAsia="Arial" w:hAnsi="Arial"/>
          <w:sz w:val="14"/>
          <w:szCs w:val="14"/>
          <w:color w:val="auto"/>
        </w:rPr>
        <w:t>®</w:t>
      </w:r>
      <w:r>
        <w:rPr>
          <w:rFonts w:ascii="Arial" w:cs="Arial" w:eastAsia="Arial" w:hAnsi="Arial"/>
          <w:sz w:val="17"/>
          <w:szCs w:val="17"/>
          <w:color w:val="auto"/>
        </w:rPr>
        <w:t xml:space="preserve"> commercial revenue and BARDA related revenue, the Company is raising fiscal Q4 guidance to be in the range of $9.5 - $9.7 million, consisting of $6.0 - $6.2 million of RECELL</w:t>
      </w:r>
      <w:r>
        <w:rPr>
          <w:rFonts w:ascii="Arial" w:cs="Arial" w:eastAsia="Arial" w:hAnsi="Arial"/>
          <w:sz w:val="14"/>
          <w:szCs w:val="14"/>
          <w:color w:val="auto"/>
        </w:rPr>
        <w:t>®</w:t>
      </w:r>
      <w:r>
        <w:rPr>
          <w:rFonts w:ascii="Arial" w:cs="Arial" w:eastAsia="Arial" w:hAnsi="Arial"/>
          <w:sz w:val="17"/>
          <w:szCs w:val="17"/>
          <w:color w:val="auto"/>
        </w:rPr>
        <w:t xml:space="preserve"> commercial revenue and $3.5 million of RECELL</w:t>
      </w:r>
      <w:r>
        <w:rPr>
          <w:rFonts w:ascii="Arial" w:cs="Arial" w:eastAsia="Arial" w:hAnsi="Arial"/>
          <w:sz w:val="14"/>
          <w:szCs w:val="14"/>
          <w:color w:val="auto"/>
        </w:rPr>
        <w:t>®</w:t>
      </w:r>
      <w:r>
        <w:rPr>
          <w:rFonts w:ascii="Arial" w:cs="Arial" w:eastAsia="Arial" w:hAnsi="Arial"/>
          <w:sz w:val="17"/>
          <w:szCs w:val="17"/>
          <w:color w:val="auto"/>
        </w:rPr>
        <w:t xml:space="preserve"> revenue associated with BARDA, the U.S. Department of Health and Human Services’ Biomedical Advanced Research and Development Authority within the Office of the Assistance Secretary for Preparedness and Response. RECELL</w:t>
      </w:r>
      <w:r>
        <w:rPr>
          <w:rFonts w:ascii="Arial" w:cs="Arial" w:eastAsia="Arial" w:hAnsi="Arial"/>
          <w:sz w:val="14"/>
          <w:szCs w:val="14"/>
          <w:color w:val="auto"/>
        </w:rPr>
        <w:t>®</w:t>
      </w:r>
      <w:r>
        <w:rPr>
          <w:rFonts w:ascii="Arial" w:cs="Arial" w:eastAsia="Arial" w:hAnsi="Arial"/>
          <w:sz w:val="17"/>
          <w:szCs w:val="17"/>
          <w:color w:val="auto"/>
        </w:rPr>
        <w:t xml:space="preserve"> commercial revenue as revised in the guidance reflects a 55% to 60% increase over the prior year period and 30% to 34% increase over the third quarter of 2021.</w:t>
      </w:r>
    </w:p>
    <w:p>
      <w:pPr>
        <w:spacing w:after="0" w:line="17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people begin to return to normal activities after the confines of the COVID-19 pandemic, we have seen an increase in burn accidents requiring treatment with the RECELL</w:t>
      </w:r>
      <w:r>
        <w:rPr>
          <w:rFonts w:ascii="Arial" w:cs="Arial" w:eastAsia="Arial" w:hAnsi="Arial"/>
          <w:sz w:val="13"/>
          <w:szCs w:val="13"/>
          <w:color w:val="auto"/>
        </w:rPr>
        <w:t>®</w:t>
      </w:r>
      <w:r>
        <w:rPr>
          <w:rFonts w:ascii="Arial" w:cs="Arial" w:eastAsia="Arial" w:hAnsi="Arial"/>
          <w:sz w:val="16"/>
          <w:szCs w:val="16"/>
          <w:color w:val="auto"/>
        </w:rPr>
        <w:t xml:space="preserve"> System in burn centers across the country,” said Dr. Mike Perry, AVITA Medical’s Chief Executive Officer.</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expects to announce fourth quarter financial and operating results on August 25, 2021. More details about the upcoming earnings announcement, including the time and webcast details, will be provided at a later date.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preliminary unaudited revenue results described in this press release are estimates only and subject to revision until we report our Q4 2021 financial results in our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the RECELL System, please visit </w:t>
      </w:r>
      <w:r>
        <w:rPr>
          <w:rFonts w:ascii="Arial" w:cs="Arial" w:eastAsia="Arial" w:hAnsi="Arial"/>
          <w:sz w:val="18"/>
          <w:szCs w:val="18"/>
          <w:u w:val="single" w:color="auto"/>
          <w:color w:val="auto"/>
        </w:rPr>
        <w:t>https://recellsystem.com/</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AVITA Medical’s first U.S. product, the RECELL</w:t>
      </w:r>
      <w:r>
        <w:rPr>
          <w:rFonts w:ascii="Arial" w:cs="Arial" w:eastAsia="Arial" w:hAnsi="Arial"/>
          <w:sz w:val="15"/>
          <w:szCs w:val="15"/>
          <w:color w:val="auto"/>
        </w:rPr>
        <w:t>®</w:t>
      </w:r>
      <w:r>
        <w:rPr>
          <w:rFonts w:ascii="Arial" w:cs="Arial" w:eastAsia="Arial" w:hAnsi="Arial"/>
          <w:sz w:val="18"/>
          <w:szCs w:val="18"/>
          <w:color w:val="auto"/>
        </w:rPr>
        <w:t xml:space="preserve"> System, was approved by the U.S. Food and Drug Administration (FDA) in September 2018. The RECELL System is indicated for use in the treatment 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acute thermal burns.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7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0980"/>
          </w:cols>
          <w:pgMar w:left="440" w:top="274" w:right="4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rudim@monsoon.com.au</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AVITA Medical Inc, 28159 Avenue Stanford, Valencia, CA 91355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980"/>
          </w:cols>
          <w:pgMar w:left="440" w:top="274" w:right="47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 20210610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2021-06-17T11:03:33Z</dcterms:created>
  <dcterms:modified xsi:type="dcterms:W3CDTF">2021-06-17T11:03:33Z</dcterms:modified>
</cp:coreProperties>
</file>