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O'Toole David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00"/>
        <w:spacing w:after="0" w:line="320" w:lineRule="auto"/>
        <w:rPr>
          <w:sz w:val="20"/>
          <w:szCs w:val="20"/>
          <w:color w:val="auto"/>
        </w:rPr>
      </w:pPr>
      <w:r>
        <w:rPr>
          <w:rFonts w:ascii="Times New Roman" w:cs="Times New Roman" w:eastAsia="Times New Roman" w:hAnsi="Times New Roman"/>
          <w:sz w:val="17"/>
          <w:szCs w:val="17"/>
          <w:color w:val="0000FF"/>
        </w:rPr>
        <w:t>28159 AVENUE STANFORD SUITE 220 - AVITA MEDICAL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AVITA Medical,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RCEL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11/29/2024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CFO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jc w:val="right"/>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500" w:type="dxa"/>
            <w:vAlign w:val="bottom"/>
            <w:gridSpan w:val="8"/>
          </w:tcPr>
          <w:p>
            <w:pPr>
              <w:ind w:left="1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VALENCIA</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91355</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0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11/29/2024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55"/>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785</w:t>
            </w:r>
            <w:r>
              <w:rPr>
                <w:rFonts w:ascii="Times New Roman" w:cs="Times New Roman" w:eastAsia="Times New Roman" w:hAnsi="Times New Roman"/>
                <w:sz w:val="11"/>
                <w:szCs w:val="11"/>
                <w:color w:val="008000"/>
                <w:w w:val="85"/>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22,759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20" w:type="dxa"/>
            <w:vAlign w:val="bottom"/>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12/05/2024</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0000FF"/>
              </w:rPr>
              <w:t>475</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12.53</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23,234</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20" w:type="dxa"/>
            <w:vAlign w:val="bottom"/>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12/05/2024</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0000FF"/>
              </w:rPr>
              <w:t>500</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12.4</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23,734</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9"/>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under the AVITA Medical, Inc. Employee Share Purchase Plan ("ESPP") for the ESPP purchase period which began on June 1, 2024 and which ended on November 30, 2024 in transactions that were exempt under both Rule 16b-3(d) and Rule 16b-3(c). In accordance with the terms of the ESPP, these shares were purchased at a price equal to 85% of the closing price of the Issuer's common stock on June 3, 2024 (the purchase date of the offering period).</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David O'Toole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12/05/2024</w:t>
            </w:r>
          </w:p>
        </w:tc>
      </w:tr>
      <w:tr>
        <w:trPr>
          <w:trHeight w:val="20"/>
        </w:trPr>
        <w:tc>
          <w:tcPr>
            <w:tcW w:w="10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1140"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2024-12-05T16:09:26Z</dcterms:created>
  <dcterms:modified xsi:type="dcterms:W3CDTF">2024-12-05T16:09:26Z</dcterms:modified>
</cp:coreProperties>
</file>