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Crowe Suzanne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4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8"/>
        </w:trPr>
        <w:tc>
          <w:tcPr>
            <w:tcW w:w="1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06/05/2024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9,200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36,426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RSUs, each representing a contingent right to be issued one share of Common Stock, that are subject to time-based vesting criteria. These RSUs vest on the date 12 months following the grant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20,560 of the Issuer's CDIs. The Reporting Person's 20,560 CDIs translate into 4,112 of the shares of Common Stock set forth above.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06/06/2024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6242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2024-06-06T18:37:19Z</dcterms:created>
  <dcterms:modified xsi:type="dcterms:W3CDTF">2024-06-06T18:37:19Z</dcterms:modified>
</cp:coreProperties>
</file>