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2" w:lineRule="exact"/>
        <w:rPr>
          <w:sz w:val="24"/>
          <w:szCs w:val="24"/>
          <w:color w:val="auto"/>
        </w:rPr>
      </w:pPr>
    </w:p>
    <w:p>
      <w:pPr>
        <w:jc w:val="center"/>
        <w:spacing w:after="0"/>
        <w:rPr>
          <w:sz w:val="20"/>
          <w:szCs w:val="20"/>
          <w:color w:val="auto"/>
        </w:rPr>
      </w:pPr>
      <w:r>
        <w:rPr>
          <w:rFonts w:ascii="Arial" w:cs="Arial" w:eastAsia="Arial" w:hAnsi="Arial"/>
          <w:sz w:val="7"/>
          <w:szCs w:val="7"/>
          <w:color w:val="auto"/>
        </w:rPr>
        <w: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30, 2021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540"/>
        <w:spacing w:after="0"/>
        <w:tabs>
          <w:tab w:leader="none" w:pos="61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3449320</wp:posOffset>
            </wp:positionH>
            <wp:positionV relativeFrom="paragraph">
              <wp:posOffset>-2540</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57785</wp:posOffset>
            </wp:positionV>
            <wp:extent cx="1525905"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AVITA MEDICAL,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6"/>
          </w:tcPr>
          <w:p>
            <w:pPr>
              <w:jc w:val="center"/>
              <w:ind w:left="48"/>
              <w:spacing w:after="0"/>
              <w:rPr>
                <w:sz w:val="20"/>
                <w:szCs w:val="20"/>
                <w:color w:val="auto"/>
              </w:rPr>
            </w:pPr>
            <w:r>
              <w:rPr>
                <w:rFonts w:ascii="Arial" w:cs="Arial" w:eastAsia="Arial" w:hAnsi="Arial"/>
                <w:sz w:val="14"/>
                <w:szCs w:val="14"/>
                <w:b w:val="1"/>
                <w:bCs w:val="1"/>
                <w:color w:val="auto"/>
                <w:w w:val="94"/>
              </w:rPr>
              <w:t>Delaware</w:t>
            </w:r>
          </w:p>
        </w:tc>
        <w:tc>
          <w:tcPr>
            <w:tcW w:w="560" w:type="dxa"/>
            <w:vAlign w:val="bottom"/>
          </w:tcPr>
          <w:p>
            <w:pPr>
              <w:spacing w:after="0"/>
              <w:rPr>
                <w:sz w:val="14"/>
                <w:szCs w:val="14"/>
                <w:color w:val="auto"/>
              </w:rPr>
            </w:pPr>
          </w:p>
        </w:tc>
        <w:tc>
          <w:tcPr>
            <w:tcW w:w="378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3"/>
              </w:rPr>
              <w:t>85-1021707</w:t>
            </w:r>
          </w:p>
        </w:tc>
        <w:tc>
          <w:tcPr>
            <w:tcW w:w="0" w:type="dxa"/>
            <w:vAlign w:val="bottom"/>
          </w:tcPr>
          <w:p>
            <w:pPr>
              <w:spacing w:after="0"/>
              <w:rPr>
                <w:sz w:val="1"/>
                <w:szCs w:val="1"/>
                <w:color w:val="auto"/>
              </w:rPr>
            </w:pPr>
          </w:p>
        </w:tc>
      </w:tr>
      <w:tr>
        <w:trPr>
          <w:trHeight w:val="148"/>
        </w:trPr>
        <w:tc>
          <w:tcPr>
            <w:tcW w:w="6900" w:type="dxa"/>
            <w:vAlign w:val="bottom"/>
            <w:gridSpan w:val="6"/>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6900" w:type="dxa"/>
            <w:vAlign w:val="bottom"/>
            <w:gridSpan w:val="6"/>
          </w:tcPr>
          <w:p>
            <w:pPr>
              <w:jc w:val="center"/>
              <w:ind w:left="68"/>
              <w:spacing w:after="0"/>
              <w:rPr>
                <w:sz w:val="20"/>
                <w:szCs w:val="20"/>
                <w:color w:val="auto"/>
              </w:rPr>
            </w:pPr>
            <w:r>
              <w:rPr>
                <w:rFonts w:ascii="Arial" w:cs="Arial" w:eastAsia="Arial" w:hAnsi="Arial"/>
                <w:sz w:val="14"/>
                <w:szCs w:val="14"/>
                <w:b w:val="1"/>
                <w:bCs w:val="1"/>
                <w:color w:val="auto"/>
                <w:w w:val="94"/>
              </w:rPr>
              <w:t>incorporation or organization)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28159 Avenue Stanford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Suite 220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Valencia, CA 91355</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7700" w:type="dxa"/>
            <w:vAlign w:val="bottom"/>
            <w:gridSpan w:val="9"/>
          </w:tcPr>
          <w:p>
            <w:pPr>
              <w:jc w:val="center"/>
              <w:ind w:right="3448"/>
              <w:spacing w:after="0"/>
              <w:rPr>
                <w:sz w:val="20"/>
                <w:szCs w:val="20"/>
                <w:color w:val="auto"/>
              </w:rPr>
            </w:pPr>
            <w:r>
              <w:rPr>
                <w:rFonts w:ascii="Arial" w:cs="Arial" w:eastAsia="Arial" w:hAnsi="Arial"/>
                <w:sz w:val="14"/>
                <w:szCs w:val="14"/>
                <w:b w:val="1"/>
                <w:bCs w:val="1"/>
                <w:color w:val="auto"/>
                <w:w w:val="92"/>
              </w:rPr>
              <w:t>Registrant’s telephone number, including area code: (661) 367-9170</w:t>
            </w:r>
          </w:p>
        </w:tc>
        <w:tc>
          <w:tcPr>
            <w:tcW w:w="0" w:type="dxa"/>
            <w:vAlign w:val="bottom"/>
          </w:tcPr>
          <w:p>
            <w:pPr>
              <w:spacing w:after="0"/>
              <w:rPr>
                <w:sz w:val="1"/>
                <w:szCs w:val="1"/>
                <w:color w:val="auto"/>
              </w:rPr>
            </w:pPr>
          </w:p>
        </w:tc>
      </w:tr>
      <w:tr>
        <w:trPr>
          <w:trHeight w:val="175"/>
        </w:trPr>
        <w:tc>
          <w:tcPr>
            <w:tcW w:w="3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5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gridSpan w:val="2"/>
          </w:tcPr>
          <w:p>
            <w:pPr>
              <w:ind w:left="1040"/>
              <w:spacing w:after="0" w:line="151" w:lineRule="exact"/>
              <w:rPr>
                <w:sz w:val="20"/>
                <w:szCs w:val="20"/>
                <w:color w:val="auto"/>
              </w:rPr>
            </w:pPr>
            <w:r>
              <w:rPr>
                <w:rFonts w:ascii="Arial" w:cs="Arial" w:eastAsia="Arial" w:hAnsi="Arial"/>
                <w:sz w:val="14"/>
                <w:szCs w:val="14"/>
                <w:b w:val="1"/>
                <w:bCs w:val="1"/>
                <w:color w:val="auto"/>
              </w:rPr>
              <w:t>Trading</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jc w:val="center"/>
              <w:ind w:left="68"/>
              <w:spacing w:after="0" w:line="151"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Symbol</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60"/>
        </w:trPr>
        <w:tc>
          <w:tcPr>
            <w:tcW w:w="3540" w:type="dxa"/>
            <w:vAlign w:val="bottom"/>
          </w:tcPr>
          <w:p>
            <w:pPr>
              <w:jc w:val="center"/>
              <w:ind w:left="148"/>
              <w:spacing w:after="0" w:line="160" w:lineRule="exact"/>
              <w:rPr>
                <w:sz w:val="20"/>
                <w:szCs w:val="20"/>
                <w:color w:val="auto"/>
              </w:rPr>
            </w:pPr>
            <w:r>
              <w:rPr>
                <w:rFonts w:ascii="Arial" w:cs="Arial" w:eastAsia="Arial" w:hAnsi="Arial"/>
                <w:sz w:val="14"/>
                <w:szCs w:val="14"/>
                <w:b w:val="1"/>
                <w:bCs w:val="1"/>
                <w:color w:val="auto"/>
                <w:w w:val="92"/>
              </w:rPr>
              <w:t>Common Stock, par value $0.0001 per share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gridSpan w:val="2"/>
          </w:tcPr>
          <w:p>
            <w:pPr>
              <w:ind w:left="1020"/>
              <w:spacing w:after="0" w:line="160" w:lineRule="exact"/>
              <w:rPr>
                <w:sz w:val="20"/>
                <w:szCs w:val="20"/>
                <w:color w:val="auto"/>
              </w:rPr>
            </w:pPr>
            <w:r>
              <w:rPr>
                <w:rFonts w:ascii="Arial" w:cs="Arial" w:eastAsia="Arial" w:hAnsi="Arial"/>
                <w:sz w:val="14"/>
                <w:szCs w:val="14"/>
                <w:b w:val="1"/>
                <w:bCs w:val="1"/>
                <w:color w:val="auto"/>
              </w:rPr>
              <w:t>RCEL</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ind w:left="720"/>
              <w:spacing w:after="0" w:line="160" w:lineRule="exact"/>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4"/>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00" w:type="dxa"/>
            <w:vAlign w:val="bottom"/>
            <w:gridSpan w:val="4"/>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780" w:type="dxa"/>
            <w:vAlign w:val="bottom"/>
            <w:gridSpan w:val="3"/>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3780" w:type="dxa"/>
            <w:vAlign w:val="bottom"/>
            <w:gridSpan w:val="3"/>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6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3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0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4"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6"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$396,652,975 on December 31, 2020, using the closing price on that day of $18.58.</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$0.0001 par value common stock outstanding as of August 18, 2021 was 24,895,864.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8"/>
          </w:tcPr>
          <w:p>
            <w:pPr>
              <w:ind w:left="3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r>
      <w:tr>
        <w:trPr>
          <w:trHeight w:val="607"/>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10"/>
        </w:trPr>
        <w:tc>
          <w:tcPr>
            <w:tcW w:w="107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5"/>
        </w:trPr>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1</w:t>
              </w:r>
            </w:hyperlink>
          </w:p>
        </w:tc>
        <w:tc>
          <w:tcPr>
            <w:tcW w:w="400" w:type="dxa"/>
            <w:vAlign w:val="bottom"/>
            <w:tcBorders>
              <w:top w:val="single" w:sz="8" w:color="0000EE"/>
            </w:tcBorders>
            <w:gridSpan w:val="4"/>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9"/>
        </w:trPr>
        <w:tc>
          <w:tcPr>
            <w:tcW w:w="9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60" w:type="dxa"/>
            <w:vAlign w:val="bottom"/>
            <w:gridSpan w:val="2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760" w:type="dxa"/>
            <w:vAlign w:val="bottom"/>
            <w:gridSpan w:val="11"/>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8460" w:type="dxa"/>
            <w:vAlign w:val="bottom"/>
            <w:gridSpan w:val="17"/>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9"/>
        </w:trPr>
        <w:tc>
          <w:tcPr>
            <w:tcW w:w="98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3"/>
          </w:tcPr>
          <w:p>
            <w:pPr>
              <w:spacing w:after="0"/>
              <w:rPr>
                <w:sz w:val="18"/>
                <w:szCs w:val="18"/>
                <w:color w:val="auto"/>
              </w:rPr>
            </w:pPr>
          </w:p>
        </w:tc>
        <w:tc>
          <w:tcPr>
            <w:tcW w:w="80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1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544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80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Changes in and Disagreements with Accountants on Accounting and Financial Disclosure</w:t>
              </w:r>
            </w:hyperlink>
          </w:p>
        </w:tc>
        <w:tc>
          <w:tcPr>
            <w:tcW w:w="332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80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804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25"/>
        </w:trPr>
        <w:tc>
          <w:tcPr>
            <w:tcW w:w="98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PART III</w:t>
              </w:r>
            </w:hyperlink>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320" w:type="dxa"/>
            <w:vAlign w:val="bottom"/>
            <w:gridSpan w:val="2"/>
          </w:tcPr>
          <w:p>
            <w:pPr>
              <w:spacing w:after="0"/>
              <w:rPr>
                <w:sz w:val="18"/>
                <w:szCs w:val="18"/>
                <w:color w:val="auto"/>
              </w:rPr>
            </w:pP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Directors, Executive Officers and Corporate Governance</w:t>
              </w:r>
            </w:hyperlink>
          </w:p>
        </w:tc>
        <w:tc>
          <w:tcPr>
            <w:tcW w:w="5700" w:type="dxa"/>
            <w:vAlign w:val="bottom"/>
            <w:gridSpan w:val="7"/>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80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Beneficial Owners and Management and Related Stockholder Matters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8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Certain Relationships and Related Party Transactions, and Director Independence</w:t>
              </w:r>
            </w:hyperlink>
          </w:p>
        </w:tc>
        <w:tc>
          <w:tcPr>
            <w:tcW w:w="140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800" w:type="dxa"/>
            <w:vAlign w:val="bottom"/>
            <w:gridSpan w:val="2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Principal Accounting Fees and Services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25"/>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PART IV</w:t>
              </w:r>
            </w:hyperlink>
          </w:p>
        </w:tc>
        <w:tc>
          <w:tcPr>
            <w:tcW w:w="3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 Financial Statement and Schedules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Form 10-K Summary</w:t>
              </w:r>
            </w:hyperlink>
          </w:p>
        </w:tc>
        <w:tc>
          <w:tcPr>
            <w:tcW w:w="660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980" w:type="dxa"/>
            <w:vAlign w:val="bottom"/>
            <w:gridSpan w:val="5"/>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826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10780" w:type="dxa"/>
            <w:vAlign w:val="bottom"/>
            <w:gridSpan w:val="2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This Annual Report on Form 10-K (this “Annual Report”) and our other public filings contain forward-looking statements within the meaning of the Private Securities Litigation Reform Act of 1995. Forward-looking statements give expectations or forecasts of future events. Forward-looking statements can sometimes, but not always, be identified by words such as “believe,” “expect,” “anticipate,” “estimate,” “project,” “plan,” “should,” “intend,” “may,” “will,” “would,” “potential” and similar expressions to future periods. Forward-looking statements are not based on historical facts but rather represent current expectations and assumptions. Forward-looking statements include statements we make about matters such as: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future employment and contributions of personnel; effects on the global economy of the COVID-19 virus; tax and interest rates; productivity, business process, rationalization, investment, acquisition and acquisition integrations, consulting, operational, tax, financial and capital projects and initiatives; changes in the legal or regulatory environment; and future working capital, costs, revenues, business opportunities, cash flows, margins, earnings and growth.</w:t>
      </w:r>
    </w:p>
    <w:p>
      <w:pPr>
        <w:spacing w:after="0" w:line="182"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i w:val="1"/>
          <w:iCs w:val="1"/>
          <w:color w:val="auto"/>
        </w:rPr>
        <w:t>Forward-looking statements relate to the future and are subject to many risks, assumptions and uncertainties, including those risks set forth in this Annual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highly regulated and rapidly changing and it is not possible for our management to predict all risks, as new risks emerge from time to time.</w:t>
      </w:r>
    </w:p>
    <w:p>
      <w:pPr>
        <w:spacing w:after="0" w:line="188"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Annual Report, all references to “dollars” or “$” are to the currency of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AVITA Medical, Inc. (</w:t>
      </w:r>
      <w:r>
        <w:rPr>
          <w:rFonts w:ascii="Arial" w:cs="Arial" w:eastAsia="Arial" w:hAnsi="Arial"/>
          <w:sz w:val="18"/>
          <w:szCs w:val="18"/>
          <w:b w:val="1"/>
          <w:bCs w:val="1"/>
          <w:color w:val="auto"/>
        </w:rPr>
        <w:t>“AVITA”</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and its subsidiaries, including AVITA Medical Pty Limited (“</w:t>
      </w:r>
      <w:r>
        <w:rPr>
          <w:rFonts w:ascii="Arial" w:cs="Arial" w:eastAsia="Arial" w:hAnsi="Arial"/>
          <w:sz w:val="18"/>
          <w:szCs w:val="18"/>
          <w:b w:val="1"/>
          <w:bCs w:val="1"/>
          <w:color w:val="auto"/>
        </w:rPr>
        <w:t>AVITA Medical</w:t>
      </w:r>
      <w:r>
        <w:rPr>
          <w:rFonts w:ascii="Arial" w:cs="Arial" w:eastAsia="Arial" w:hAnsi="Arial"/>
          <w:sz w:val="18"/>
          <w:szCs w:val="18"/>
          <w:color w:val="auto"/>
        </w:rPr>
        <w:t>”), the former parent company, (collectively, “</w:t>
      </w:r>
      <w:r>
        <w:rPr>
          <w:rFonts w:ascii="Arial" w:cs="Arial" w:eastAsia="Arial" w:hAnsi="Arial"/>
          <w:sz w:val="18"/>
          <w:szCs w:val="18"/>
          <w:b w:val="1"/>
          <w:bCs w:val="1"/>
          <w:color w:val="auto"/>
        </w:rPr>
        <w:t>AVITA Group</w:t>
      </w:r>
      <w:r>
        <w:rPr>
          <w:rFonts w:ascii="Arial" w:cs="Arial" w:eastAsia="Arial" w:hAnsi="Arial"/>
          <w:sz w:val="18"/>
          <w:szCs w:val="18"/>
          <w:color w:val="auto"/>
        </w:rPr>
        <w:t>” or “we”, “us”)) is a regenerative medicine company that is developing and commercializing a technology platform that enables point-of-care autologous skin restoration for multiple unmet needs. Our patented and proprietary platform technology provides innovative treatment solutions derived from the regenerative properties of a patient’s own skin. Our RECELL® Autologous Cell Harvesting System (</w:t>
      </w:r>
      <w:r>
        <w:rPr>
          <w:rFonts w:ascii="Arial" w:cs="Arial" w:eastAsia="Arial" w:hAnsi="Arial"/>
          <w:sz w:val="18"/>
          <w:szCs w:val="18"/>
          <w:b w:val="1"/>
          <w:bCs w:val="1"/>
          <w:color w:val="auto"/>
        </w:rPr>
        <w:t>“RECELL System” or “RECELL”</w:t>
      </w:r>
      <w:r>
        <w:rPr>
          <w:rFonts w:ascii="Arial" w:cs="Arial" w:eastAsia="Arial" w:hAnsi="Arial"/>
          <w:sz w:val="18"/>
          <w:szCs w:val="18"/>
          <w:color w:val="auto"/>
        </w:rPr>
        <w:t>) enables clinicians to prepare Spray-On Skin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Cells, an autologous skin cell suspension that is sprayed onto the patient to regenerate natural healthy skin.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AVITA Medical, the former parent company of the AVITA Group, began as a laboratory spin-off in the Australian State of Western Australia. AVITA Medical was formed under the laws of the Commonwealth of Australia in December 1992 and has operated as AVITA Medical since 2008. AVITA Medical’s ordinary shares originally began trading in Australia on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on August 9, 1993. AVITA Medical’s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traded over the counter on the OTCQX under the ticker symbol “AVMXY” from May 14, 2012 through September 30, 2019 and its ADSs began trading on the NASDAQ on October 1, 2019, under the ticker symbol “RCEL”.</w:t>
      </w:r>
    </w:p>
    <w:p>
      <w:pPr>
        <w:spacing w:after="0" w:line="17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right="280" w:firstLine="749"/>
        <w:spacing w:after="0" w:line="301" w:lineRule="auto"/>
        <w:rPr>
          <w:sz w:val="20"/>
          <w:szCs w:val="20"/>
          <w:color w:val="auto"/>
        </w:rPr>
      </w:pPr>
      <w:r>
        <w:rPr>
          <w:rFonts w:ascii="Arial" w:cs="Arial" w:eastAsia="Arial" w:hAnsi="Arial"/>
          <w:sz w:val="16"/>
          <w:szCs w:val="16"/>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 :</w:t>
      </w:r>
    </w:p>
    <w:p>
      <w:pPr>
        <w:spacing w:after="0" w:line="221" w:lineRule="exact"/>
        <w:rPr>
          <w:sz w:val="20"/>
          <w:szCs w:val="20"/>
          <w:color w:val="auto"/>
        </w:rPr>
      </w:pPr>
    </w:p>
    <w:p>
      <w:pPr>
        <w:ind w:left="1540" w:right="100" w:hanging="371"/>
        <w:spacing w:after="0" w:line="282"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 CHESS Depositary Interests (“</w:t>
      </w:r>
      <w:r>
        <w:rPr>
          <w:rFonts w:ascii="Arial" w:cs="Arial" w:eastAsia="Arial" w:hAnsi="Arial"/>
          <w:sz w:val="18"/>
          <w:szCs w:val="18"/>
          <w:b w:val="1"/>
          <w:bCs w:val="1"/>
          <w:color w:val="auto"/>
        </w:rPr>
        <w:t>CDIs</w:t>
      </w:r>
      <w:r>
        <w:rPr>
          <w:rFonts w:ascii="Arial" w:cs="Arial" w:eastAsia="Arial" w:hAnsi="Arial"/>
          <w:sz w:val="18"/>
          <w:szCs w:val="18"/>
          <w:color w:val="auto"/>
        </w:rPr>
        <w:t>”) in the Company for every 100 ordinary shares in AVITA Medical that were held by them; or</w:t>
      </w:r>
    </w:p>
    <w:p>
      <w:pPr>
        <w:spacing w:after="0" w:line="165" w:lineRule="exact"/>
        <w:rPr>
          <w:rFonts w:ascii="Arial" w:cs="Arial" w:eastAsia="Arial" w:hAnsi="Arial"/>
          <w:sz w:val="18"/>
          <w:szCs w:val="18"/>
          <w:color w:val="auto"/>
        </w:rPr>
      </w:pPr>
    </w:p>
    <w:p>
      <w:pPr>
        <w:ind w:left="1540" w:hanging="37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ADSs in AVITA Medical that were held by them.</w:t>
      </w:r>
    </w:p>
    <w:p>
      <w:pPr>
        <w:spacing w:after="0" w:line="252"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Company’s CDI’s are quoted on the ASX under AVITA Medical’s former ASX ticker code, “AVH”. The Company’s shares of common stock are quoted on NASDAQ under AVITA Medical’s former NASDAQ ticker code, “RCEL”. One share of common stock on NASDAQ is equivalent to five CDIs on the ASX.</w:t>
      </w:r>
    </w:p>
    <w:p>
      <w:pPr>
        <w:spacing w:after="0" w:line="18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issued and outstanding in the Company (as set out in the consolidated financial statements) is less than the number of ordinary shares in AVITA Medical that was set out in the consolidated financial statements of AVITA Medical prior to August 28,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BUSINESS</w:t>
      </w:r>
    </w:p>
    <w:p>
      <w:pPr>
        <w:spacing w:after="0" w:line="229"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coronavirus (“COVID-19”) pandemic has created significant disruptions to the global economies and financial markets. In the United States, State and Local Governmental authorities have responded by issuing orders, of varying degrees, requiring quarantines, restrictions on travel, mandatory closures of certain non-essential businesses, as well as providing recommendations to minimize social gatherings or interactions. The Company’s business and operations have been impacted by COVID-19 as the effects of COVID-19 related travel restrictions have reduced accidents and the incidence of burns and burns admissions. In addition, during the pandemic, our commercial team’s access to hospitals was limited to case attendance and training. As COVID-19 abates and the restrictions are lifted, we anticipate that burn related accidents will resume to pre-COVID levels. In response to the pandemic, we have taken certain business measures which include institution of various workplace protections to ensure the safety of our employees (e.g.,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wearing of masks, wiping down high touch areas, etc.), and the limiting of vendors and visitors to our facilities. We have limited activities at our corporate headquarters, encouraged our employees to work from home, encouraged virtual meetings, restricted non-essential business travel, made physical modifications and enhancements to our facilities to effect social distancing, and provided personal protective equipment to our employees. We have increased safety stocks of our product, established temporary satellite product storage locations, and accelerated initiatives to increase sourcing options. Throughout the pandemic, we have remained focused on managing the business for the long-term, including maintaining our employee workforce as well as continuing to invest in critical research and development, clinical, and corporate infrastructure-related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140" w:firstLine="749"/>
        <w:spacing w:after="0" w:line="342" w:lineRule="auto"/>
        <w:rPr>
          <w:sz w:val="20"/>
          <w:szCs w:val="20"/>
          <w:color w:val="auto"/>
        </w:rPr>
      </w:pPr>
      <w:r>
        <w:rPr>
          <w:rFonts w:ascii="Arial" w:cs="Arial" w:eastAsia="Arial" w:hAnsi="Arial"/>
          <w:sz w:val="16"/>
          <w:szCs w:val="16"/>
          <w:color w:val="auto"/>
        </w:rPr>
        <w:t>Our objective is to become the leading provider of regenerative medicine addressing unmet medical needs in burn injuries, trauma injuries, and in dermatological and aesthetics indications, including vitiligo as well as cell and gene therapies. To achieve this objective, we intend to:</w:t>
      </w:r>
    </w:p>
    <w:p>
      <w:pPr>
        <w:spacing w:after="0" w:line="124"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Become the standard of care in the U.S. burns industry by increasing RECELL System penetration in burn centers and with burn physicians</w:t>
      </w:r>
    </w:p>
    <w:p>
      <w:pPr>
        <w:spacing w:after="0" w:line="275" w:lineRule="exact"/>
        <w:rPr>
          <w:rFonts w:ascii="Arial" w:cs="Arial" w:eastAsia="Arial" w:hAnsi="Arial"/>
          <w:sz w:val="16"/>
          <w:szCs w:val="16"/>
          <w:color w:val="auto"/>
        </w:rPr>
      </w:pPr>
    </w:p>
    <w:p>
      <w:pPr>
        <w:ind w:left="740" w:right="2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Commercialize the RECELL System in the U.S. for use in soft tissue reconstruction following completion of our current FDA pivotal study in soft tissue reconstruction</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Commercialize the RECELL System in the U.S. for use in treatment of vitiligo following completion of our current FDA pivotal study in vitiligo</w:t>
      </w:r>
    </w:p>
    <w:p>
      <w:pPr>
        <w:spacing w:after="0" w:line="275" w:lineRule="exact"/>
        <w:rPr>
          <w:rFonts w:ascii="Arial" w:cs="Arial" w:eastAsia="Arial" w:hAnsi="Arial"/>
          <w:sz w:val="16"/>
          <w:szCs w:val="16"/>
          <w:color w:val="auto"/>
        </w:rPr>
      </w:pPr>
    </w:p>
    <w:p>
      <w:pPr>
        <w:ind w:left="740" w:right="3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 commercial activities in Japan through our partner Cosmotec once we receive PMDA approval for RECELL with an indication in burns, soft tissue or vitiligo</w:t>
      </w:r>
    </w:p>
    <w:p>
      <w:pPr>
        <w:spacing w:after="0" w:line="17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 commercial activities outside of the U.S. and Japan once we have received FDA approval with RECELL System indications in soft tissue and vitiligo</w:t>
      </w:r>
    </w:p>
    <w:p>
      <w:pPr>
        <w:spacing w:after="0" w:line="170" w:lineRule="exact"/>
        <w:rPr>
          <w:rFonts w:ascii="Arial" w:cs="Arial" w:eastAsia="Arial" w:hAnsi="Arial"/>
          <w:sz w:val="18"/>
          <w:szCs w:val="18"/>
          <w:color w:val="auto"/>
        </w:rPr>
      </w:pPr>
    </w:p>
    <w:p>
      <w:pPr>
        <w:ind w:left="740" w:right="280" w:hanging="368"/>
        <w:spacing w:after="0" w:line="232" w:lineRule="auto"/>
        <w:tabs>
          <w:tab w:leader="none" w:pos="740" w:val="left"/>
        </w:tabs>
        <w:numPr>
          <w:ilvl w:val="0"/>
          <w:numId w:val="4"/>
        </w:numPr>
        <w:rPr>
          <w:rFonts w:ascii="Arial" w:cs="Arial" w:eastAsia="Arial" w:hAnsi="Arial"/>
          <w:sz w:val="22"/>
          <w:szCs w:val="22"/>
          <w:color w:val="auto"/>
        </w:rPr>
      </w:pPr>
      <w:r>
        <w:rPr>
          <w:rFonts w:ascii="Arial" w:cs="Arial" w:eastAsia="Arial" w:hAnsi="Arial"/>
          <w:sz w:val="18"/>
          <w:szCs w:val="18"/>
          <w:color w:val="auto"/>
        </w:rPr>
        <w:t>Pursue potential commercialization opportunities for the RECELL System related to skin rejuvenation and Epidermolysis Bullosa indications following planned proofs of concept and related FDA pivotal studies</w:t>
      </w:r>
    </w:p>
    <w:p>
      <w:pPr>
        <w:spacing w:after="0" w:line="203" w:lineRule="exact"/>
        <w:rPr>
          <w:rFonts w:ascii="Arial" w:cs="Arial" w:eastAsia="Arial" w:hAnsi="Arial"/>
          <w:sz w:val="22"/>
          <w:szCs w:val="22"/>
          <w:color w:val="auto"/>
        </w:rPr>
      </w:pPr>
    </w:p>
    <w:p>
      <w:pPr>
        <w:ind w:left="740" w:right="3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invest in our RECELL System platform to improve workflow, speed, and ease of use as it relates to specific indications, as well as to build upon our intellectual property estate</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Pursue business development opportunities that are complementary to our core RECELL System indications and/or our targeted markets</w:t>
      </w:r>
    </w:p>
    <w:p>
      <w:pPr>
        <w:spacing w:after="0" w:line="263" w:lineRule="exact"/>
        <w:rPr>
          <w:rFonts w:ascii="Arial" w:cs="Arial" w:eastAsia="Arial" w:hAnsi="Arial"/>
          <w:sz w:val="17"/>
          <w:szCs w:val="17"/>
          <w:color w:val="auto"/>
        </w:rPr>
      </w:pPr>
    </w:p>
    <w:p>
      <w:pPr>
        <w:ind w:left="740" w:right="3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our margins and profitability by leveraging our current team and infrastructure across an expanding base of business in burns and in future indications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RECELL® PLATFORM</w:t>
      </w:r>
    </w:p>
    <w:p>
      <w:pPr>
        <w:spacing w:after="0" w:line="229"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RECELL System has a long-established safety profile, and clear potential for clinical and health-economic value propositions across a range of skin-related clinical indications. The patented and proprietary platform technology underlying Spray-On Skin Cells originated in Australia, based on the seminal work of Professor Fiona Wood and fellow scientist Marie Stoner. RECELL was initially launched in the E.U. during 2005, and then in Australia in 2006, ahead of pivotal outcomes data demonstrating clinical performance relative to standard care. Pivotal trials were conducted in the U.S. beginning in 2010. On September 2018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approved the Class 3 device through a premarket approval (“</w:t>
      </w:r>
      <w:r>
        <w:rPr>
          <w:rFonts w:ascii="Arial" w:cs="Arial" w:eastAsia="Arial" w:hAnsi="Arial"/>
          <w:sz w:val="17"/>
          <w:szCs w:val="17"/>
          <w:b w:val="1"/>
          <w:bCs w:val="1"/>
          <w:color w:val="auto"/>
        </w:rPr>
        <w:t>PMA</w:t>
      </w:r>
      <w:r>
        <w:rPr>
          <w:rFonts w:ascii="Arial" w:cs="Arial" w:eastAsia="Arial" w:hAnsi="Arial"/>
          <w:sz w:val="17"/>
          <w:szCs w:val="17"/>
          <w:color w:val="auto"/>
        </w:rPr>
        <w:t>”) for the treatment of acute thermal burn injuries in patients 18 years and older. Following receipt of our PMA, we commenced promoting the RECELL System in January 2019 in the U.S. RECELL is a first-of-kind medical device approved through FDA’s Center for Biologics Evaluation and Research, and the first Class 3 device approved for use in burn care in over 20 years.</w:t>
      </w:r>
    </w:p>
    <w:p>
      <w:pPr>
        <w:spacing w:after="0" w:line="178"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The RECELL System is a single use (disposable), stand-alone, battery operated, autologous cell harvesting device containing enzymatic and buffer solutions, sterile surgical instruments, and actuators to achieve the disaggregation and delivery of skin cells. The platform technology of the RECELL System allows for the preparation and delivery of Spray-On Skin Cells, an autologous cellular suspension comprised of the patient’s own skin cells necessary to regenerate natural healthy epidermis. These Spray-On Skin Cells are prepared at the point of care in as little as 30 minutes, providing a new way to treat thermal burns, other wounds, skin injuries 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defects of the skin. The skin cell suspension includes keratinocytes, fibroblasts, and melanocytes, all of which play critical roles in skin regeneration. The treatment of burns with RECELL yields proven and significant reduction in the harvesting of donor skin. Donor sites are of great concern amongst burn patients. Burn wounds treated using RECELL show comparable results in burn wound healing outcomes relative to conventional grafting, despite the use of 32.0-97.5% less donor site tissue. The ability of RECELL to retain melanocytes in the cell suspension is notable as these cells are critical for the restoration of natural pigmentation to the area treated, which is being further evaluated in ongoing clinical trials. Skin cell suspension is a powerful therapeutic with the potential for addressing unmet needs in a number of clinical indications, including burns, soft tissue reconstruction, and vitiligo.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launch of the RECELL System into the U.S. market provided an opportunity to gain valuable, in-depth insight into the patient care pathway, as well as the workflow for surgical management of burn wounds. We continue to commit significant and increasing resources in product development to ensure that our device continues to evolve and has robust patent protection. The next iteration of the RECELL System is currently under review with the FDA and will present a more streamlined workflow for enhanced ease-of-use in the clinical setting, while producing the same autologous skin cell suspension. This new version of the RECELL System is expected to be commercialized in the first half of calendar year 2022 and will offer improved convenience along with an opportunity to expand our intellectual property portfolio.</w:t>
      </w:r>
    </w:p>
    <w:p>
      <w:pPr>
        <w:spacing w:after="0" w:line="19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Further product development is ongoing on a next generation device for more automated implementation of the core Spray-On Skin Cells technology, to advance the user experience toward less hands-on processing time. With each iteration of our RECELL System development, we anticipate preservation of the therapeutic power of Spray-on Skin Cells, deployed in devices that become appropriate for use in an increasing range of clinical settings. This is particularly important as we aim to enter the dermatology space, where there is a shift toward an emphasis on the volume of patients treated in a day.</w:t>
      </w:r>
    </w:p>
    <w:p>
      <w:pPr>
        <w:spacing w:after="0" w:line="188"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 xml:space="preserve">Cell-based gene therapeutic applications are an extension of the platform, where </w:t>
      </w:r>
      <w:r>
        <w:rPr>
          <w:rFonts w:ascii="Arial" w:cs="Arial" w:eastAsia="Arial" w:hAnsi="Arial"/>
          <w:sz w:val="16"/>
          <w:szCs w:val="16"/>
          <w:i w:val="1"/>
          <w:iCs w:val="1"/>
          <w:color w:val="auto"/>
        </w:rPr>
        <w:t>modified</w:t>
      </w:r>
      <w:r>
        <w:rPr>
          <w:rFonts w:ascii="Arial" w:cs="Arial" w:eastAsia="Arial" w:hAnsi="Arial"/>
          <w:sz w:val="16"/>
          <w:szCs w:val="16"/>
          <w:color w:val="auto"/>
        </w:rPr>
        <w:t xml:space="preserve"> skin cells are applied in suspension for regeneration of skin (from genetically corrected or molecularly reverse-aged cells). For instance, in the case of rejuvenation, rather than skin regeneration directly from the patient’s own skin cells, harvested cells are planned to undergo a process of molecular reverse aging prior to reintroduction to the patient. Similarly, for Epidermolysis Bullosa (</w:t>
      </w:r>
      <w:r>
        <w:rPr>
          <w:rFonts w:ascii="Arial" w:cs="Arial" w:eastAsia="Arial" w:hAnsi="Arial"/>
          <w:sz w:val="16"/>
          <w:szCs w:val="16"/>
          <w:b w:val="1"/>
          <w:bCs w:val="1"/>
          <w:color w:val="auto"/>
        </w:rPr>
        <w:t>“EB”</w:t>
      </w:r>
      <w:r>
        <w:rPr>
          <w:rFonts w:ascii="Arial" w:cs="Arial" w:eastAsia="Arial" w:hAnsi="Arial"/>
          <w:sz w:val="16"/>
          <w:szCs w:val="16"/>
          <w:color w:val="auto"/>
        </w:rPr>
        <w:t>), harvested cells are planned to undergo a gene modification process to correct the underlying defect, such that when the EB wounds are treated, skin is regenerated that does not exhibit the characteristic blistering and fragility associated with EB.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summary, our research and development efforts are currently focused on:</w:t>
      </w:r>
    </w:p>
    <w:p>
      <w:pPr>
        <w:spacing w:after="0" w:line="117" w:lineRule="exact"/>
        <w:rPr>
          <w:sz w:val="20"/>
          <w:szCs w:val="20"/>
          <w:color w:val="auto"/>
        </w:rPr>
      </w:pPr>
    </w:p>
    <w:p>
      <w:pPr>
        <w:ind w:left="1120" w:right="260" w:hanging="370"/>
        <w:spacing w:after="0" w:line="31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Further clinical development of the RECELL System in additional skin-focused clinical indications where the platform can be leveraged. Specifically, to expand our footprint within wounds and dermatology, such as soft tissue reconstruction and vitiligo. These activities are generally characterized by pivotal studies for which FDA has approved an Investigational Device Exemption (“</w:t>
      </w:r>
      <w:r>
        <w:rPr>
          <w:rFonts w:ascii="Arial" w:cs="Arial" w:eastAsia="Arial" w:hAnsi="Arial"/>
          <w:sz w:val="16"/>
          <w:szCs w:val="16"/>
          <w:b w:val="1"/>
          <w:bCs w:val="1"/>
          <w:color w:val="auto"/>
        </w:rPr>
        <w:t>IDE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RECELL platform technology evolution to improve workflow, speed, and ease of use</w:t>
      </w:r>
    </w:p>
    <w:p>
      <w:pPr>
        <w:spacing w:after="0" w:line="144"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into cell-based gene therapy, including combining the platform with other technologies, to allow development of the platform in other indications (including orphan indications)</w:t>
      </w:r>
    </w:p>
    <w:p>
      <w:pPr>
        <w:spacing w:after="0" w:line="62" w:lineRule="exact"/>
        <w:rPr>
          <w:rFonts w:ascii="Arial" w:cs="Arial" w:eastAsia="Arial" w:hAnsi="Arial"/>
          <w:sz w:val="18"/>
          <w:szCs w:val="18"/>
          <w:color w:val="auto"/>
        </w:rPr>
      </w:pPr>
    </w:p>
    <w:p>
      <w:pPr>
        <w:ind w:left="1120" w:right="800" w:hanging="370"/>
        <w:spacing w:after="0" w:line="308" w:lineRule="auto"/>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Further research and characterization of the RECELL System design and the composition and activity of the Spray-On Skin Cells suspension to support further clinical development of the platform, and to expand our intellectual property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-1243330</wp:posOffset>
            </wp:positionV>
            <wp:extent cx="27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-540385</wp:posOffset>
            </wp:positionV>
            <wp:extent cx="27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Burns</w:t>
      </w:r>
    </w:p>
    <w:p>
      <w:pPr>
        <w:spacing w:after="0" w:line="121"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Acute thermal burns are life-threatening and debilitating injuries that are among the most challenging and expensive to manage. These injuries require complex surgical procedures, long and costly hospitalization, and have a high potential for clinical complications and requirement for rehabilitation and scar treatment. In the U.S., the largest market for the treatment of burns, approximately 486,000 people seek treatment for burns each year. Of these, at least 40,000 have burn injuries severe enough to require hospital admission, and it is estimated that 3,300 patients die each year. The majority of patients treated on an inpatient basis in the U.S. are treated in specialized burn centers.</w:t>
      </w:r>
    </w:p>
    <w:p>
      <w:pPr>
        <w:spacing w:after="0" w:line="172" w:lineRule="exact"/>
        <w:rPr>
          <w:sz w:val="20"/>
          <w:szCs w:val="20"/>
          <w:color w:val="auto"/>
        </w:rPr>
      </w:pPr>
    </w:p>
    <w:p>
      <w:pPr>
        <w:ind w:right="240" w:firstLine="749"/>
        <w:spacing w:after="0" w:line="266" w:lineRule="auto"/>
        <w:rPr>
          <w:sz w:val="20"/>
          <w:szCs w:val="20"/>
          <w:color w:val="auto"/>
        </w:rPr>
      </w:pPr>
      <w:r>
        <w:rPr>
          <w:rFonts w:ascii="Arial" w:cs="Arial" w:eastAsia="Arial" w:hAnsi="Arial"/>
          <w:sz w:val="18"/>
          <w:szCs w:val="18"/>
          <w:color w:val="auto"/>
        </w:rPr>
        <w:t>Severe burns (typically defined as second- and third-degree) are commonly treated with autologous split-thickness skin grafts (“</w:t>
      </w:r>
      <w:r>
        <w:rPr>
          <w:rFonts w:ascii="Arial" w:cs="Arial" w:eastAsia="Arial" w:hAnsi="Arial"/>
          <w:sz w:val="18"/>
          <w:szCs w:val="18"/>
          <w:b w:val="1"/>
          <w:bCs w:val="1"/>
          <w:color w:val="auto"/>
        </w:rPr>
        <w:t>STSGs</w:t>
      </w:r>
      <w:r>
        <w:rPr>
          <w:rFonts w:ascii="Arial" w:cs="Arial" w:eastAsia="Arial" w:hAnsi="Arial"/>
          <w:sz w:val="18"/>
          <w:szCs w:val="18"/>
          <w:color w:val="auto"/>
        </w:rPr>
        <w:t>”) to achieve definitive closure of the burn wound. In a STSG, or autograft, donor skin is harvested from a healthy area of the patient’s skin. The donor skin is then typically perforated into a mesh that can be expanded and transferred to cover the prepared burn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injury. Treatment with STSG results in additional trauma for the patient due to creation of a new donor site wound. Although the use of STSG has been a standard treatment for more than 50 years, autografting is associated with significant pain, itching, infection, dyschromia, dyspigmentation, delayed healing, and hypertrophic scarring of the donor site.</w:t>
      </w:r>
    </w:p>
    <w:p>
      <w:pPr>
        <w:spacing w:after="0" w:line="184"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The clinical benefits of earlier wound closure are well recognized and include increased survival, reduced hospital length of stay, decreased pain duration, and reduced infection-related complications. However, in large burn injuries, the patient may have insufficient donor skin available to allow for immediate and complete treatment of the entire burn injury area when using traditional grafting techniques. The lack of available healthy donor skin in patients with large burn injuries is often the central problem impacting time to autografting and definitive closure of the wounds. In extensively burned patients, surgeons often must wait until the donor sites have healed so they can re-harvest from the sites, resulting in delays in treatment and closure, requiring multiple procedures, and extending hospital stay. While waiting for donor skin, the burn wounds may be temporarily covered by allogeneic skin (allograft, cadaver skin) or xenograft (typically pig skin). The overall cost of treatment with STSG is expensive - for example it would cost approximately $579,000 and 59.4 days in hospital for a patient with a 40% Total Body Surface Area (“</w:t>
      </w:r>
      <w:r>
        <w:rPr>
          <w:rFonts w:ascii="Arial" w:cs="Arial" w:eastAsia="Arial" w:hAnsi="Arial"/>
          <w:sz w:val="18"/>
          <w:szCs w:val="18"/>
          <w:b w:val="1"/>
          <w:bCs w:val="1"/>
          <w:color w:val="auto"/>
        </w:rPr>
        <w:t>TBSA</w:t>
      </w:r>
      <w:r>
        <w:rPr>
          <w:rFonts w:ascii="Arial" w:cs="Arial" w:eastAsia="Arial" w:hAnsi="Arial"/>
          <w:sz w:val="18"/>
          <w:szCs w:val="18"/>
          <w:color w:val="auto"/>
        </w:rPr>
        <w:t>”) mixed-depth burn injury to recover and return to normal day to day activities.</w:t>
      </w:r>
    </w:p>
    <w:p>
      <w:pPr>
        <w:spacing w:after="0" w:line="19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 xml:space="preserve">The RECELL System was approved by the </w:t>
      </w:r>
      <w:r>
        <w:rPr>
          <w:rFonts w:ascii="Arial" w:cs="Arial" w:eastAsia="Arial" w:hAnsi="Arial"/>
          <w:sz w:val="16"/>
          <w:szCs w:val="16"/>
          <w:color w:val="auto"/>
        </w:rPr>
        <w:t>FDA</w:t>
      </w:r>
      <w:r>
        <w:rPr>
          <w:rFonts w:ascii="Arial" w:cs="Arial" w:eastAsia="Arial" w:hAnsi="Arial"/>
          <w:sz w:val="18"/>
          <w:szCs w:val="18"/>
          <w:color w:val="auto"/>
        </w:rPr>
        <w:t xml:space="preserve"> in September 2018 for the treatment of second- and third-degree acute thermal burn injuries in patients 18 years and older. In June 2021, the FDA approved an expanded indication for use to also include treatment of full-thickness (third-degree) pediatric burns, which represent close to a quarter of all burn injuries in the U.S., as well as full-thickness burn injuries greater than 50% TBSA. As a result of having achieved an expanded indication for use in pediatric burns, the BARDA-funded U.S. Pediatric Burns trial has been closed to new enrollment (refer to BARDA Contract section below).</w:t>
      </w:r>
    </w:p>
    <w:p>
      <w:pPr>
        <w:spacing w:after="0" w:line="188"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The pivotal studies leading to the RECELL System’s FDA PMA for the treatment of acute thermal burns demonstrated that the RECELL System treated burns used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2" w:lineRule="exact"/>
        <w:rPr>
          <w:sz w:val="20"/>
          <w:szCs w:val="20"/>
          <w:color w:val="auto"/>
        </w:rPr>
      </w:pPr>
    </w:p>
    <w:p>
      <w:pPr>
        <w:ind w:right="340" w:firstLine="749"/>
        <w:spacing w:after="0" w:line="281" w:lineRule="auto"/>
        <w:rPr>
          <w:sz w:val="20"/>
          <w:szCs w:val="20"/>
          <w:color w:val="auto"/>
        </w:rPr>
      </w:pPr>
      <w:r>
        <w:rPr>
          <w:rFonts w:ascii="Arial" w:cs="Arial" w:eastAsia="Arial" w:hAnsi="Arial"/>
          <w:sz w:val="16"/>
          <w:szCs w:val="16"/>
          <w:color w:val="auto"/>
        </w:rPr>
        <w:t>The RECELL System offers fewer procedures required for definitive closure versus conventional autografts. In pediatric cases using the RECELL System, there were 56% fewer mean surgical procedures (N = 284) compared to the American Burn Association’s National Burn Repository (</w:t>
      </w:r>
      <w:r>
        <w:rPr>
          <w:rFonts w:ascii="Arial" w:cs="Arial" w:eastAsia="Arial" w:hAnsi="Arial"/>
          <w:sz w:val="16"/>
          <w:szCs w:val="16"/>
          <w:b w:val="1"/>
          <w:bCs w:val="1"/>
          <w:color w:val="auto"/>
        </w:rPr>
        <w:t>“NBR”</w:t>
      </w:r>
      <w:r>
        <w:rPr>
          <w:rFonts w:ascii="Arial" w:cs="Arial" w:eastAsia="Arial" w:hAnsi="Arial"/>
          <w:sz w:val="16"/>
          <w:szCs w:val="16"/>
          <w:color w:val="auto"/>
        </w:rPr>
        <w:t>). Additionally, in patients with &gt;50% TBSA, the RECELL System provided 60% fewer mean surgical procedures versus NBR (N =354).</w:t>
      </w:r>
    </w:p>
    <w:p>
      <w:pPr>
        <w:spacing w:after="0" w:line="2" w:lineRule="exact"/>
        <w:rPr>
          <w:sz w:val="20"/>
          <w:szCs w:val="20"/>
          <w:color w:val="auto"/>
        </w:rPr>
      </w:pPr>
    </w:p>
    <w:p>
      <w:pPr>
        <w:ind w:right="120" w:firstLine="749"/>
        <w:spacing w:after="0" w:line="281" w:lineRule="auto"/>
        <w:rPr>
          <w:sz w:val="20"/>
          <w:szCs w:val="20"/>
          <w:color w:val="auto"/>
        </w:rPr>
      </w:pPr>
      <w:r>
        <w:rPr>
          <w:rFonts w:ascii="Arial" w:cs="Arial" w:eastAsia="Arial" w:hAnsi="Arial"/>
          <w:sz w:val="16"/>
          <w:szCs w:val="16"/>
          <w:color w:val="auto"/>
        </w:rPr>
        <w:t>In addition to robust clinical data, RECELL has proven health economic benefits and a compelling cost-effectiveness model which shows that treatment using the RECELL System for deep partial-thickness burns reduces total treatment costs by an average of 26%, or approximately $37,000, for patients with 10% TBSA and approximately $150,000, for patients with 40% TBSA. For full-thickness burns, treatment using the RECELL System reduced total treatment cost by 3%, or approximately $6,000 for patients with 10% TBSA and by 42% or approximately $243,000, for patients with 40% TBSA. These cost reductions are attributed to decreasing the length of hospital stay, reducing the number of procedures required to close the burn wound, and minimizing the donor site size and associated wound care. All of these cost savings estimates are net of the cost of the RECELL System.</w:t>
      </w:r>
    </w:p>
    <w:p>
      <w:pPr>
        <w:spacing w:after="0" w:line="4" w:lineRule="exact"/>
        <w:rPr>
          <w:sz w:val="20"/>
          <w:szCs w:val="20"/>
          <w:color w:val="auto"/>
        </w:rPr>
      </w:pPr>
    </w:p>
    <w:p>
      <w:pPr>
        <w:ind w:right="40" w:firstLine="749"/>
        <w:spacing w:after="0" w:line="302" w:lineRule="auto"/>
        <w:rPr>
          <w:sz w:val="20"/>
          <w:szCs w:val="20"/>
          <w:color w:val="auto"/>
        </w:rPr>
      </w:pPr>
      <w:r>
        <w:rPr>
          <w:rFonts w:ascii="Arial" w:cs="Arial" w:eastAsia="Arial" w:hAnsi="Arial"/>
          <w:sz w:val="16"/>
          <w:szCs w:val="16"/>
          <w:color w:val="auto"/>
        </w:rPr>
        <w:t>A budget impact model was developed and has been used to calculate the annual budget impact of current standard of care for the treatment of burns versus treatment using the RECELL System for a burn center with 200 patients. The model shows that treatment using the RECELL System reduces annual total treatment costs from approximately $39.4 million to $32.6 million, saving 17% or approximately $6.8 million per year.</w:t>
      </w:r>
    </w:p>
    <w:p>
      <w:pPr>
        <w:spacing w:after="0" w:line="155"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market for treatment of burns in the U.S. is highly concentrated, with approximately 136 burn centers and approximately 300 burn surgeons who treat the majority of severe burns in the country (i.e., ~75%). Accordingly, our target market is predominantly focused on burn centers. Our goal is to establish RECELL as the standard of care for any burn injury that requires grafting for patients with 5% TBSA injury or greater. Within burn centers, we estimate that there are approximately 25,000 patients annually that could benefit from our technology and equates to a serviceable annual addressable market of ~$260 million. Each RECELL System can treat up to 10% TBSA, and many patients will require more than one device.</w:t>
      </w:r>
    </w:p>
    <w:p>
      <w:pPr>
        <w:spacing w:after="0" w:line="161"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AVITA has a policy of not providing the RECELL System to a provider until they have been certified, which includes extensive training in the use of the product and in the aftercare of the patient. In general, we have found that most U.S. burn centers follow the industry-standard process of evaluating the RECELL System and then taking it through their hospital’s Value Analysis Committee (“</w:t>
      </w:r>
      <w:r>
        <w:rPr>
          <w:rFonts w:ascii="Arial" w:cs="Arial" w:eastAsia="Arial" w:hAnsi="Arial"/>
          <w:sz w:val="18"/>
          <w:szCs w:val="18"/>
          <w:b w:val="1"/>
          <w:bCs w:val="1"/>
          <w:color w:val="auto"/>
        </w:rPr>
        <w:t>VAC</w:t>
      </w:r>
      <w:r>
        <w:rPr>
          <w:rFonts w:ascii="Arial" w:cs="Arial" w:eastAsia="Arial" w:hAnsi="Arial"/>
          <w:sz w:val="18"/>
          <w:szCs w:val="18"/>
          <w:color w:val="auto"/>
        </w:rPr>
        <w:t>”) prior to purchasing. This process can sometimes be a lengthy one, taking 6 months or more to complete. As a result of training requirements and the VAC process, we have found that full adoption of the RECELL System among U.S. burn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centers occurs on a gradual basis, in many cases over multiple years. In general, most surgeons follow a typical adoption curve, starting from where they see the greatest economic and clinical value, which is the use of RECELL for treatment of larger burns. With time and continued use, surgeons typically progress to adoption of RECELL for smaller, less severe burns and facial burns. Each surgeon traverses the adoption curve at a different rate – some in as few as 6 months and others expected in 3-5 years.</w:t>
      </w:r>
    </w:p>
    <w:p>
      <w:pPr>
        <w:spacing w:after="0" w:line="2"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In the U.S., existing reimbursement codes were in place prior to the commencement of commercial sales of the RECELL System. For inpatient treatment of burn patients, U.S. hospitals are reimbursed under DRG (Diagnosis Related Group) Codes based on diagnosis of a patient’s injuries. Future expansion of use of the RECELL System for treatment of burns in the outpatient setting will require us to successfully obtain incremental reimbursement coverage for use of the RECELL System in that setting. In August 2020, we filed a Transitional Pass-through Payment Application (“</w:t>
      </w:r>
      <w:r>
        <w:rPr>
          <w:rFonts w:ascii="Arial" w:cs="Arial" w:eastAsia="Arial" w:hAnsi="Arial"/>
          <w:sz w:val="16"/>
          <w:szCs w:val="16"/>
          <w:b w:val="1"/>
          <w:bCs w:val="1"/>
          <w:color w:val="auto"/>
        </w:rPr>
        <w:t>TPT</w:t>
      </w:r>
      <w:r>
        <w:rPr>
          <w:rFonts w:ascii="Arial" w:cs="Arial" w:eastAsia="Arial" w:hAnsi="Arial"/>
          <w:sz w:val="16"/>
          <w:szCs w:val="16"/>
          <w:color w:val="auto"/>
        </w:rPr>
        <w:t>”) with The Centers for Medicare &amp; Medicaid Services (“</w:t>
      </w:r>
      <w:r>
        <w:rPr>
          <w:rFonts w:ascii="Arial" w:cs="Arial" w:eastAsia="Arial" w:hAnsi="Arial"/>
          <w:sz w:val="16"/>
          <w:szCs w:val="16"/>
          <w:b w:val="1"/>
          <w:bCs w:val="1"/>
          <w:color w:val="auto"/>
        </w:rPr>
        <w:t>CMS</w:t>
      </w:r>
      <w:r>
        <w:rPr>
          <w:rFonts w:ascii="Arial" w:cs="Arial" w:eastAsia="Arial" w:hAnsi="Arial"/>
          <w:sz w:val="16"/>
          <w:szCs w:val="16"/>
          <w:color w:val="auto"/>
        </w:rPr>
        <w:t>”) to support separate, additional Medicare payment for use of the RECELL System. If approved, CMS would create a new “C code” and would allow use of the RECELL System to be billed and paid separately in hospital outpatient facilities and ambulatory surgical centers. On July 19, 2021, CMS released the 2022 Medicare Hospital Outpatient Prospective Payment System proposed rule which contained a review of RECELL’s Transitional Pass-through Payment application. CMS is inviting public comment on whether the RECELL System meets the device pass-through payment criteria discussed in the document. The Company expects to be informed of CMS’s decision on our TPT submission towards the end of December 2021, with the code expected to go into effect in early 2022. Importantly, the Company will then need to work with commercial carriers to ensure broader coverage once the code has been granted. The TPT code is not indication specific, so as AVITA gains approval of additional indications outside of acute thermal burn treatment, the same code will apply. For physicians, CPT (Current Procedural Terminology) codes for use in RECELL System procedures are recommended by the American Burn Association and are the same for both inpatient and outpatient use.</w:t>
      </w:r>
    </w:p>
    <w:p>
      <w:pPr>
        <w:spacing w:after="0" w:line="169"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Outside of the U.S., Japan is the second largest healthcare market. There are approximately 6,000 patients/per year who suffer from severe burns in Japan who would be a target for the RECELL System. Large patient populations coupled with healthy reimbursement coverage makes Japan an attractive market for the RECELL System. In February 2019 we entered into a collaboration with Cosmotec Company, Ltd (“</w:t>
      </w:r>
      <w:r>
        <w:rPr>
          <w:rFonts w:ascii="Arial" w:cs="Arial" w:eastAsia="Arial" w:hAnsi="Arial"/>
          <w:sz w:val="16"/>
          <w:szCs w:val="16"/>
          <w:b w:val="1"/>
          <w:bCs w:val="1"/>
          <w:color w:val="auto"/>
        </w:rPr>
        <w:t>COSMOTEC</w:t>
      </w:r>
      <w:r>
        <w:rPr>
          <w:rFonts w:ascii="Arial" w:cs="Arial" w:eastAsia="Arial" w:hAnsi="Arial"/>
          <w:sz w:val="16"/>
          <w:szCs w:val="16"/>
          <w:color w:val="auto"/>
        </w:rPr>
        <w:t>”), an M3 Group company, to market and distribute the RECELL System for the treatment of burns, other wounds, and vitiligo in Japan. We continue to work with COSMOTEC to advance our application for approval to market the RECELL System in Japan pursuant to Japan’s Pharmaceuticals and Medical Devices Act (“</w:t>
      </w:r>
      <w:r>
        <w:rPr>
          <w:rFonts w:ascii="Arial" w:cs="Arial" w:eastAsia="Arial" w:hAnsi="Arial"/>
          <w:sz w:val="16"/>
          <w:szCs w:val="16"/>
          <w:b w:val="1"/>
          <w:bCs w:val="1"/>
          <w:color w:val="auto"/>
        </w:rPr>
        <w:t>PMDA</w:t>
      </w:r>
      <w:r>
        <w:rPr>
          <w:rFonts w:ascii="Arial" w:cs="Arial" w:eastAsia="Arial" w:hAnsi="Arial"/>
          <w:sz w:val="16"/>
          <w:szCs w:val="16"/>
          <w:color w:val="auto"/>
        </w:rPr>
        <w:t>”). The Company anticipates regulatory approval in Japan by the end of December 2021 and that COSMOTEC will commercially launch RECELL in Japan during calendar year 2022. Although RECELL was submitted for a broad indication for use including all acute wounds and vitiligo, it is unclear whether the PMDA will grant COSMOTEC labelling outside of burns where the Company has the most robust data.</w:t>
      </w:r>
    </w:p>
    <w:p>
      <w:pPr>
        <w:spacing w:after="0" w:line="165"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Given the size and concentration of the U.S. &amp; Japanese markets, our commercial efforts are almost exclusively focused on these geographies. Our highly limited effort in other non-U.S. regions is based on our assessment that the acute burn market in many countries is proportionately less than the market in the U.S., and the investments in full marketing and sales including the effort to obtain reimbursement are not justified until we have obtained pivotal clinical results in additional indications. In Australia and Europe, the RECELL System is no longer actively promoted, and our commercialization efforts are limited to filling sales orders as received from a small group of customers previously trained in use of the product. As additional pivotal data for the RECELL System are generated in additional indications, we plan to accelerate commercialization of the RECELL System in countries outside the U.S. through a combination of collaborations and direct efforts, depending upon the region and indication.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 Tissue Reconstruction</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Soft tissue reconstruction includes treatment of injuries caused by non-burn trauma, including excision of infected tissue, such as necrotizing soft tissue infections. While minor skin defects may be primarily closed with sutures or standard wound care, larger open defects require more complicated approaches, including skin grafts, tissue flaps and dermal matrices.</w:t>
      </w:r>
    </w:p>
    <w:p>
      <w:pPr>
        <w:spacing w:after="0" w:line="184" w:lineRule="exact"/>
        <w:rPr>
          <w:sz w:val="20"/>
          <w:szCs w:val="20"/>
          <w:color w:val="auto"/>
        </w:rPr>
      </w:pPr>
    </w:p>
    <w:p>
      <w:pPr>
        <w:ind w:right="360" w:firstLine="749"/>
        <w:spacing w:after="0" w:line="258" w:lineRule="auto"/>
        <w:rPr>
          <w:sz w:val="20"/>
          <w:szCs w:val="20"/>
          <w:color w:val="auto"/>
        </w:rPr>
      </w:pPr>
      <w:r>
        <w:rPr>
          <w:rFonts w:ascii="Arial" w:cs="Arial" w:eastAsia="Arial" w:hAnsi="Arial"/>
          <w:sz w:val="18"/>
          <w:szCs w:val="18"/>
          <w:color w:val="auto"/>
        </w:rPr>
        <w:t>Similar to the burns indication, soft tissue reconstruction is associated with large areas of skin loss and as such, some of the top unmet needs identified by surgeons are closely aligned:</w:t>
      </w:r>
    </w:p>
    <w:p>
      <w:pPr>
        <w:spacing w:after="0" w:line="1"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donor skin harvesting</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scarring</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pain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Uniform pigmentation with surrounding skin</w:t>
      </w:r>
    </w:p>
    <w:p>
      <w:pPr>
        <w:spacing w:after="0" w:line="252"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Given the interest to reduce donor skin harvesting, just as with the burns indication, we designed a clinical trial to demonstrate the use of less donor skin without compromising healing outcomes relative to conventional autografting. The trial is essentially a repeat of the successful previous trial in full-thickness burns, but with a population of patients with full-thickness, non-burn injuries.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ind w:right="80" w:firstLine="749"/>
        <w:spacing w:after="0" w:line="274" w:lineRule="auto"/>
        <w:rPr>
          <w:sz w:val="20"/>
          <w:szCs w:val="20"/>
          <w:color w:val="auto"/>
        </w:rPr>
      </w:pPr>
      <w:r>
        <w:rPr>
          <w:rFonts w:ascii="Arial" w:cs="Arial" w:eastAsia="Arial" w:hAnsi="Arial"/>
          <w:sz w:val="17"/>
          <w:szCs w:val="17"/>
          <w:color w:val="auto"/>
        </w:rPr>
        <w:t>On September 17, 2019, the FDA approved an Investigational Device Exemption (“</w:t>
      </w:r>
      <w:r>
        <w:rPr>
          <w:rFonts w:ascii="Arial" w:cs="Arial" w:eastAsia="Arial" w:hAnsi="Arial"/>
          <w:sz w:val="17"/>
          <w:szCs w:val="17"/>
          <w:b w:val="1"/>
          <w:bCs w:val="1"/>
          <w:color w:val="auto"/>
        </w:rPr>
        <w:t>IDE</w:t>
      </w:r>
      <w:r>
        <w:rPr>
          <w:rFonts w:ascii="Arial" w:cs="Arial" w:eastAsia="Arial" w:hAnsi="Arial"/>
          <w:sz w:val="17"/>
          <w:szCs w:val="17"/>
          <w:color w:val="auto"/>
        </w:rPr>
        <w:t>”) to conduct a pivotal trial evaluating the safety and effectiveness of the RECELL System in combination with meshed autografting for the treatment of acute full-thickness skin defects. Subsequently, on March 2, 2020, we initiated a prospective, multi-center, randomized controlled study for soft tissue reconstruction with the enrollment of the first patient at the Arizona Burn Center at Valleywise Medical Health Center in Phoenix, AZ. Each patient will have a control wound treated with conventional skin grafting and a wound treated with expanded skin grafting in combination with RECELL. Enrollment of this pivotal study is ongoing. As of the end of our 2021 fiscal year, we had enrolled 32 out of 65 patients and we expect enrollment to be completed during calendar year 2022.</w:t>
      </w:r>
    </w:p>
    <w:p>
      <w:pPr>
        <w:spacing w:after="0" w:line="17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Open wounds associated with traumatic injuries caused over 4.5 million hospital visits in the U.S. in 2017, and traumatic wounds rank among the five most costly medical conditions. We estimate that the total annual addressable market for RECELL in soft tissue reconstruction is approximately $1 billion. Approximately 80% of our current burn accounts represent opportunities for use of RECELL in soft tissue reconstruction. We plan to build out our existing field team to cover &gt;400 target accounts in acute wounds (representing burn and high-volume trauma accounts). As such, our estimated annual serviceable addressable market in soft tissue reconstruction is approximately $450 million. Degloving (a type of injury where the skin is ripped from the underlying tissue), abrasions and infectious disease (e.g., necrotizing soft tissue infections, like flesh-eating disease), have the greatest stated intent to use, based on market research. We believe RECELL will be used in both the inpatient &amp; outpatient settings and in general, with wounds 5% TBSA and larger.</w:t>
      </w:r>
    </w:p>
    <w:p>
      <w:pPr>
        <w:spacing w:after="0" w:line="166"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From a reimbursement perspective, the same CPT (physician payment) coding that is currently being used in burns can be leveraged. Assuming we are successful securing an outpatient TPT code, this same TPT code, which is not indication specific, could be utilized for soft tissue reconstruction.</w:t>
      </w:r>
    </w:p>
    <w:p>
      <w:pPr>
        <w:spacing w:after="0" w:line="124"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RECELL has been successfully used outside the U.S. for many years and there exist several case reports on the treatment of traumatic injuries (soft tissue reconstruction) that have been the subject of peer-reviewed scientific publications and presentations at medical conferences. Patients with traumatic injuries have also been treated using the RECELL System under the U.S. Compassionate Use program and although AVITA does not promote the use of RECELL in soft tissue reconstruction in the U.S., some surgeons have started successfully using the product. This is not surprising as many burn surgeons also work in Level 1/Level 2 trauma centers and treat a great deal of traumatic wounds and as mentioned earlier, acute wounds (regardless of burn or non-thermal origin) present the same unmet needs and have similar treatment protocols. In summary, soft tissue reconstruction is a significant opportunity which AVITA can pursue leveraging its existing resources. Further, this opportunity is significantly de-risked based on the historical performance of the product in this indication.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Vitiligo</w:t>
      </w:r>
    </w:p>
    <w:p>
      <w:pPr>
        <w:spacing w:after="0" w:line="229"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Vitiligo is a disease that causes the loss of skin pigmentation, or color, in patches that tend to increase in size over time. The extent and rate of color loss from vitiligo is unpredictable, can affect the skin on any part of the body, and may also affect hair and the inside of the mouth. 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It is estimated that worldwide vitiligo prevalence is between 0.5-2% of the population. The condition is not life-threatening or physically painful, but it can significantly alter physical appearance, have negative emotional and psychological consequences, and impair quality of life.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117" w:lineRule="exact"/>
        <w:rPr>
          <w:sz w:val="20"/>
          <w:szCs w:val="20"/>
          <w:color w:val="auto"/>
        </w:rPr>
      </w:pPr>
    </w:p>
    <w:p>
      <w:pPr>
        <w:ind w:left="740" w:right="440" w:hanging="368"/>
        <w:spacing w:after="0" w:line="286"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Treatments to arrest the spread of vitiligo, such as steroid creams and non-steroidal anti-inflammatory creams. There are also a number of therapies under development designed to target the underlying autoimmune disease. One challenge in terms of achieving the desired patient outcome is that stopping the spread of vitiligo may not restore pigmentation to the areas already damaged.</w:t>
      </w:r>
    </w:p>
    <w:p>
      <w:pPr>
        <w:spacing w:after="0" w:line="57" w:lineRule="exact"/>
        <w:rPr>
          <w:rFonts w:ascii="Arial" w:cs="Arial" w:eastAsia="Arial" w:hAnsi="Arial"/>
          <w:sz w:val="17"/>
          <w:szCs w:val="17"/>
          <w:color w:val="auto"/>
        </w:rPr>
      </w:pPr>
    </w:p>
    <w:p>
      <w:pPr>
        <w:ind w:left="740" w:right="52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Treatments to restore pigmentation include skin grafting, laser phototherapy (with and without topicals), and Melanocyte-Keratinocyte Transplantation Procedure (“</w:t>
      </w:r>
      <w:r>
        <w:rPr>
          <w:rFonts w:ascii="Arial" w:cs="Arial" w:eastAsia="Arial" w:hAnsi="Arial"/>
          <w:sz w:val="18"/>
          <w:szCs w:val="18"/>
          <w:b w:val="1"/>
          <w:bCs w:val="1"/>
          <w:color w:val="auto"/>
        </w:rPr>
        <w:t>MKTP</w:t>
      </w:r>
      <w:r>
        <w:rPr>
          <w:rFonts w:ascii="Arial" w:cs="Arial" w:eastAsia="Arial" w:hAnsi="Arial"/>
          <w:sz w:val="18"/>
          <w:szCs w:val="18"/>
          <w:color w:val="auto"/>
        </w:rPr>
        <w:t>”). MKTP requires expensive and substantial laboratory equipment and is currently only available in 4 locations in the U.S.</w:t>
      </w:r>
    </w:p>
    <w:p>
      <w:pPr>
        <w:spacing w:after="0" w:line="184"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RECELL does not treat the underlying disease. Rather, it addresses the second category only and works to restore pigmentation. The key unmet need is a durable, one-time treatment that has potential to be scalable. MKTP has been proven to be effective but is only available in 4 U.S. locations due to complexity and the associated substantial investment in lab equipment. The procedure is also lengthy (3 hours). RECELL is a similar procedure, however, it can be done in as little as 30 minutes, in any dermatology setting. Compared to MKTP, RECELL is essentially a lab in a box that can be easily distributed.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Interest in vitiligo treatment tends to increase in individuals who have lesions in more visible areas (such as the face and hands) as well as the younger population (&lt;40). We estimate that there are approximately 1.3 million people in the U.S. with stable vitiligo who would be both eligible and interested in a surgical approach which equates to a total addressable market of over $5 billion. The RECELL treatment is initially anticipated to be provided by a vitiligo specialist and surgical dermatologist in the office setting and we estimate that this will likely not exceed 1,000 physicians. Approximately 188,000 vitiligo patients who have insurance or the ability to pay are likely at those target call points, and this equates to a serviceable market opportunity of approximately $750 million.</w:t>
      </w:r>
    </w:p>
    <w:p>
      <w:pPr>
        <w:spacing w:after="0" w:line="192" w:lineRule="exact"/>
        <w:rPr>
          <w:sz w:val="20"/>
          <w:szCs w:val="20"/>
          <w:color w:val="auto"/>
        </w:rPr>
      </w:pPr>
    </w:p>
    <w:p>
      <w:pPr>
        <w:ind w:right="340" w:firstLine="749"/>
        <w:spacing w:after="0" w:line="259" w:lineRule="auto"/>
        <w:rPr>
          <w:sz w:val="20"/>
          <w:szCs w:val="20"/>
          <w:color w:val="auto"/>
        </w:rPr>
      </w:pPr>
      <w:r>
        <w:rPr>
          <w:rFonts w:ascii="Arial" w:cs="Arial" w:eastAsia="Arial" w:hAnsi="Arial"/>
          <w:sz w:val="18"/>
          <w:szCs w:val="18"/>
          <w:color w:val="auto"/>
        </w:rPr>
        <w:t>The market is expected to grow, especially over the next decade with the advent of novel treatment options including oral and topical Janus Kinase (“</w:t>
      </w:r>
      <w:r>
        <w:rPr>
          <w:rFonts w:ascii="Arial" w:cs="Arial" w:eastAsia="Arial" w:hAnsi="Arial"/>
          <w:sz w:val="18"/>
          <w:szCs w:val="18"/>
          <w:b w:val="1"/>
          <w:bCs w:val="1"/>
          <w:color w:val="auto"/>
        </w:rPr>
        <w:t>JAK</w:t>
      </w:r>
      <w:r>
        <w:rPr>
          <w:rFonts w:ascii="Arial" w:cs="Arial" w:eastAsia="Arial" w:hAnsi="Arial"/>
          <w:sz w:val="18"/>
          <w:szCs w:val="18"/>
          <w:color w:val="auto"/>
        </w:rPr>
        <w:t>”) inhibitors. Although these new products will both stabilize and re-pigment some patients, it is anticipated that many patients will need additional modes of treatment for re-pigmentation. Further, large pharmaceutical companies with assets in development will likely invest in disease awareness campaigns which will further grow consumer awareness and the market.</w:t>
      </w:r>
    </w:p>
    <w:p>
      <w:pPr>
        <w:spacing w:after="0" w:line="133" w:lineRule="exact"/>
        <w:rPr>
          <w:sz w:val="20"/>
          <w:szCs w:val="20"/>
          <w:color w:val="auto"/>
        </w:rPr>
      </w:pPr>
    </w:p>
    <w:p>
      <w:pPr>
        <w:ind w:firstLine="652"/>
        <w:spacing w:after="0" w:line="253" w:lineRule="auto"/>
        <w:rPr>
          <w:sz w:val="20"/>
          <w:szCs w:val="20"/>
          <w:color w:val="auto"/>
        </w:rPr>
      </w:pPr>
      <w:r>
        <w:rPr>
          <w:rFonts w:ascii="Arial" w:cs="Arial" w:eastAsia="Arial" w:hAnsi="Arial"/>
          <w:sz w:val="18"/>
          <w:szCs w:val="18"/>
          <w:color w:val="auto"/>
        </w:rPr>
        <w:t xml:space="preserve">On December 23, 2019, the FDA approved our IDE application to conduct a </w:t>
      </w:r>
      <w:r>
        <w:rPr>
          <w:rFonts w:ascii="Arial" w:cs="Arial" w:eastAsia="Arial" w:hAnsi="Arial"/>
          <w:sz w:val="18"/>
          <w:szCs w:val="18"/>
          <w:u w:val="single" w:color="auto"/>
          <w:color w:val="auto"/>
        </w:rPr>
        <w:t>feasibility</w:t>
      </w:r>
      <w:r>
        <w:rPr>
          <w:rFonts w:ascii="Arial" w:cs="Arial" w:eastAsia="Arial" w:hAnsi="Arial"/>
          <w:sz w:val="18"/>
          <w:szCs w:val="18"/>
          <w:color w:val="auto"/>
        </w:rPr>
        <w:t xml:space="preserve"> study evaluating the safety and effectiveness of the RECELL System for re-pigmentation of depigmented lesions associated with stable vitiligo. This study is a single site study being conducted at the University of Massachusetts Medical School in ten (10) patients that have had vitiligo stable for at least one year. Areas of the vitiligo lesion will be randomly treated with slightly varying cell suspensions prepared using RECELL to confirm response rates and optimal suspension parameters, as well as to compare outcomes and cell suspension characteristics with MKTP. The randomized controlled study’s primary effectiveness measure is the percent area of repigmented skin 24 weeks after treatment, as evaluated by a clinician blinded to the treatment assignment. Additional effectiveness data collected over the course of the 24-week study will include blinded evaluator categorization of treatment success and patient rating of repigmentation. The Company commenced enrollment in the vitiligo feasibility study in September 2020 and as of the end of the 2021 fiscal year had completed treatment of 5 of the 10 patients.</w:t>
      </w:r>
    </w:p>
    <w:p>
      <w:pPr>
        <w:spacing w:after="0" w:line="196"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 xml:space="preserve">In addition to the abovementioned feasibility study, on July 1, 2020, the FDA approved our IDE application for a </w:t>
      </w:r>
      <w:r>
        <w:rPr>
          <w:rFonts w:ascii="Arial" w:cs="Arial" w:eastAsia="Arial" w:hAnsi="Arial"/>
          <w:sz w:val="17"/>
          <w:szCs w:val="17"/>
          <w:u w:val="single" w:color="auto"/>
          <w:color w:val="auto"/>
        </w:rPr>
        <w:t>pivotal</w:t>
      </w:r>
      <w:r>
        <w:rPr>
          <w:rFonts w:ascii="Arial" w:cs="Arial" w:eastAsia="Arial" w:hAnsi="Arial"/>
          <w:sz w:val="17"/>
          <w:szCs w:val="17"/>
          <w:color w:val="auto"/>
        </w:rPr>
        <w:t xml:space="preserve"> study in vitiligo which is titled “A Prospective Multi-Arm Blinded-Evaluator Within-Subject Randomized Controlled Clinical Study to Investigate the Safety and Effectiveness of RECELL for Repigmentation of Stable Vitiligo.” The primary endpoint compares the incidence of 80% repigmentation of RECELL-treated areas versus that of phototherapy control-treated areas. The Company commenced enrollment in the vitiligo </w:t>
      </w:r>
      <w:r>
        <w:rPr>
          <w:rFonts w:ascii="Arial" w:cs="Arial" w:eastAsia="Arial" w:hAnsi="Arial"/>
          <w:sz w:val="17"/>
          <w:szCs w:val="17"/>
          <w:u w:val="single" w:color="auto"/>
          <w:color w:val="auto"/>
        </w:rPr>
        <w:t>pivotal</w:t>
      </w:r>
      <w:r>
        <w:rPr>
          <w:rFonts w:ascii="Arial" w:cs="Arial" w:eastAsia="Arial" w:hAnsi="Arial"/>
          <w:sz w:val="17"/>
          <w:szCs w:val="17"/>
          <w:color w:val="auto"/>
        </w:rPr>
        <w:t xml:space="preserve"> study in September 2020 and had treated 16 patients as of June 30, 2021. While the pivotal trial design initially had 3 separate arms evaluating the clinical performance of varying cell suspensions (1:5, 1:10, and 1:20 donor expansion), we are in discussion with FDA concerning a single-arm design to evaluate only the 1:20 cell suspension. With a single arm design, it will be possible to complete enrollment in the pivotal program during calendar year 2021.</w:t>
      </w:r>
    </w:p>
    <w:p>
      <w:pPr>
        <w:spacing w:after="0" w:line="17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We expect revenue from the vitiligo business to stem from both cash pay as well as patients for whom treatment is covered by insurance. Vitiligo rates a ‘7.61’ on the Dermatology Life Quality Index (“</w:t>
      </w:r>
      <w:r>
        <w:rPr>
          <w:rFonts w:ascii="Arial" w:cs="Arial" w:eastAsia="Arial" w:hAnsi="Arial"/>
          <w:sz w:val="17"/>
          <w:szCs w:val="17"/>
          <w:b w:val="1"/>
          <w:bCs w:val="1"/>
          <w:color w:val="auto"/>
        </w:rPr>
        <w:t>DLQI</w:t>
      </w:r>
      <w:r>
        <w:rPr>
          <w:rFonts w:ascii="Arial" w:cs="Arial" w:eastAsia="Arial" w:hAnsi="Arial"/>
          <w:sz w:val="17"/>
          <w:szCs w:val="17"/>
          <w:color w:val="auto"/>
        </w:rPr>
        <w:t>”), which is in the same range of other aesthetic dermatological disease analogs which receive healthy positive reimbursement such as Rosacea (5.2), Psoriasis (9.3) and Atopic Dermatitis (12.79). As such, we are optimistic that we will achieve both coding and coverage for the desired indication. Further, large commercial carriers such as Cigna have recently announced coverage up to $38,000 annually for excimer laser phototherapy for vitiligo, indicating yet another signal in the importance of therapy for this disease.</w:t>
      </w:r>
    </w:p>
    <w:p>
      <w:pPr>
        <w:spacing w:after="0" w:line="176"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The Company has a high degree of confidence that the RECELL System can be an effective therapeutic offering for patients with stable vitiligo. More than 1,000 patients have been successfully treated with the RECELL System for stable vitiligo outside of the U.S., and to date there are eleven</w:t>
      </w:r>
    </w:p>
    <w:p>
      <w:pPr>
        <w:ind w:right="80" w:firstLine="8"/>
        <w:spacing w:after="0" w:line="255" w:lineRule="auto"/>
        <w:tabs>
          <w:tab w:leader="none" w:pos="338"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publications demonstrating the benefits of the RECELL System in vitiligo. Vitiligo is a large and untapped market with no FDA-approved treatments. RECELL would be the first point-of-care device for preparation of pigment cell suspension which could offer a single application treatment for patients with stable vitiligo.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Epidermolysis Bullosa</w:t>
      </w:r>
    </w:p>
    <w:p>
      <w:pPr>
        <w:spacing w:after="0" w:line="229" w:lineRule="exact"/>
        <w:rPr>
          <w:sz w:val="20"/>
          <w:szCs w:val="20"/>
          <w:color w:val="auto"/>
        </w:rPr>
      </w:pPr>
    </w:p>
    <w:p>
      <w:pPr>
        <w:jc w:val="both"/>
        <w:ind w:right="80" w:firstLine="749"/>
        <w:spacing w:after="0" w:line="257" w:lineRule="auto"/>
        <w:rPr>
          <w:sz w:val="20"/>
          <w:szCs w:val="20"/>
          <w:color w:val="auto"/>
        </w:rPr>
      </w:pPr>
      <w:r>
        <w:rPr>
          <w:rFonts w:ascii="Arial" w:cs="Arial" w:eastAsia="Arial" w:hAnsi="Arial"/>
          <w:sz w:val="18"/>
          <w:szCs w:val="18"/>
          <w:color w:val="auto"/>
        </w:rPr>
        <w:t>The RECELL System has been studied in a wide variety of indications and has been shown to enable patients to regenerate natural healthy skin in instances where the patient’s outer skin covering, or epidermis, has been lost or damaged. In addition to these applications of the RECELL System, we are pursuing related opportunities where the RECELL System’s ability to harness the natural healing capabilities of the body could be augmented with the use of genetically modified cells for treatment of certain genetic skin disorders. In this way, the RECELL System could potentially be used as a vehicle for other therapeutic offerings.</w:t>
      </w:r>
    </w:p>
    <w:p>
      <w:pPr>
        <w:spacing w:after="0" w:line="184"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Epidermolysis Bullosa (“</w:t>
      </w:r>
      <w:r>
        <w:rPr>
          <w:rFonts w:ascii="Arial" w:cs="Arial" w:eastAsia="Arial" w:hAnsi="Arial"/>
          <w:sz w:val="18"/>
          <w:szCs w:val="18"/>
          <w:b w:val="1"/>
          <w:bCs w:val="1"/>
          <w:color w:val="auto"/>
        </w:rPr>
        <w:t>EB</w:t>
      </w:r>
      <w:r>
        <w:rPr>
          <w:rFonts w:ascii="Arial" w:cs="Arial" w:eastAsia="Arial" w:hAnsi="Arial"/>
          <w:sz w:val="18"/>
          <w:szCs w:val="18"/>
          <w:color w:val="auto"/>
        </w:rPr>
        <w:t>”) is a rare and incurable group of disorders caused by mutations in genes encoding structural skin proteins. EB is characterized by skin fragility and blistering leading to chronic wounds due to normal mechanical trauma. Dystrophic EB (“</w:t>
      </w:r>
      <w:r>
        <w:rPr>
          <w:rFonts w:ascii="Arial" w:cs="Arial" w:eastAsia="Arial" w:hAnsi="Arial"/>
          <w:sz w:val="18"/>
          <w:szCs w:val="18"/>
          <w:b w:val="1"/>
          <w:bCs w:val="1"/>
          <w:color w:val="auto"/>
        </w:rPr>
        <w:t>DEB</w:t>
      </w:r>
      <w:r>
        <w:rPr>
          <w:rFonts w:ascii="Arial" w:cs="Arial" w:eastAsia="Arial" w:hAnsi="Arial"/>
          <w:sz w:val="18"/>
          <w:szCs w:val="18"/>
          <w:color w:val="auto"/>
        </w:rPr>
        <w:t>”) is often associated with widespread blistering, pain, pruritus, extensive scarring, increased risk of squamous cell carcinoma with increased mortality. Signs typically occur at birth and persist over a lifetime. Currently, there are no FDA-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approved treatments. All treatment options are palliative—focused primarily on pain and nutritional management, itching relief, and wound care (bandaging) with a significant cost burden ranging from $200,000-$500,000 per year per patient.</w:t>
      </w:r>
    </w:p>
    <w:p>
      <w:pPr>
        <w:spacing w:after="0" w:line="170"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In November 2019, AVITA entered into a research agreement with the Gates Center for Regenerative Medicine at the University of Colorado School of Medicine (“</w:t>
      </w:r>
      <w:r>
        <w:rPr>
          <w:rFonts w:ascii="Arial" w:cs="Arial" w:eastAsia="Arial" w:hAnsi="Arial"/>
          <w:sz w:val="18"/>
          <w:szCs w:val="18"/>
          <w:b w:val="1"/>
          <w:bCs w:val="1"/>
          <w:color w:val="auto"/>
        </w:rPr>
        <w:t>Gates Center</w:t>
      </w:r>
      <w:r>
        <w:rPr>
          <w:rFonts w:ascii="Arial" w:cs="Arial" w:eastAsia="Arial" w:hAnsi="Arial"/>
          <w:sz w:val="18"/>
          <w:szCs w:val="18"/>
          <w:color w:val="auto"/>
        </w:rPr>
        <w:t>”) for the purpose of seeking to establish pre-clinical proof-of-concept for a spray-on treatment of genetically corrected cells. Pursuant to this agreement, we are pairing the RECELL System Spray-On Skin Cells technology and expertise with the Gates Center’s innovative patent-pending combined reprogramming and gene-editing technology, to allow the skin cells of patients with EB to function properly. Under the arrangement with the Gates Center, we retain the option to exclusively license technologies emerging from the partnership for further development and commercialization.</w:t>
      </w:r>
    </w:p>
    <w:p>
      <w:pPr>
        <w:spacing w:after="0" w:line="192"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 xml:space="preserve">There are several products in development for EB, including other gene therapies, but to our knowledge this will be the first spray-on method explored for the delivery of a gene therapy for a genetic skin disease. We expect the developed technology to be widely applicable, and agnostic to the gene correction approach used. Further, Gates Center’s patented approach is unique in that it is designed to correct the underlying defect in the gene and not just augment with additional copies of genes. It also enables a single step, integration-free reprogramming which enables expansion of corrected cells. Further, many of the products in development are targeted at addressing symptoms of the disease and are not curative, while others will require repeat administration versus a “one and done” approach. Others have faced significant developmental delays. In addition, we believe that spray-on delivery of genetically corrected cells for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skin regeneration will have significant benefits over epidermal sheet-based delivery. Without the requirement for cultured sheets, delivery of the therapeutic will be faster and more logistically practical without the challenges associated with production and transportation of fragile, confluent sheets. Moreover, Spray-On Skin Cell delivery to patients is significantly less complex as the treatment area is sprayed and dressed as opposed to suturing on an epidermal graft that does not always “take.”</w:t>
      </w:r>
    </w:p>
    <w:p>
      <w:pPr>
        <w:spacing w:after="0" w:line="185"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DEB is an orphan disease with a prevalence of approximately 6 per million with the majority of individuals not surviving past their 30th birthday. In the U.S., we estimate there are approximately 900 EB patients eligible for the technology that we have in development and that the price point would be in the range of $850,000, leading to a $750 million addressable market. We also believe there are potential faster regulatory pathways to market by leveraging FDA programs for orphan diseases, and a high probability of reimbursement success and quick adoption given the dire need from patients.</w:t>
      </w:r>
    </w:p>
    <w:p>
      <w:pPr>
        <w:spacing w:after="0" w:line="157" w:lineRule="exact"/>
        <w:rPr>
          <w:sz w:val="20"/>
          <w:szCs w:val="20"/>
          <w:color w:val="auto"/>
        </w:rPr>
      </w:pPr>
    </w:p>
    <w:p>
      <w:pPr>
        <w:ind w:right="180" w:firstLine="749"/>
        <w:spacing w:after="0" w:line="274" w:lineRule="auto"/>
        <w:rPr>
          <w:sz w:val="20"/>
          <w:szCs w:val="20"/>
          <w:color w:val="auto"/>
        </w:rPr>
      </w:pPr>
      <w:r>
        <w:rPr>
          <w:rFonts w:ascii="Arial" w:cs="Arial" w:eastAsia="Arial" w:hAnsi="Arial"/>
          <w:sz w:val="17"/>
          <w:szCs w:val="17"/>
          <w:color w:val="auto"/>
        </w:rPr>
        <w:t>This agreement marks an important milestone in AVITA’s strategy to expand the potential of our regenerative medicine platform and is another step towards our mission of improving patients’ lives and addressing unmet needs, including those conditions that are driven by genetic</w:t>
      </w:r>
    </w:p>
    <w:p>
      <w:pPr>
        <w:ind w:right="40"/>
        <w:spacing w:after="0" w:line="255" w:lineRule="auto"/>
        <w:rPr>
          <w:sz w:val="20"/>
          <w:szCs w:val="20"/>
          <w:color w:val="auto"/>
        </w:rPr>
      </w:pPr>
      <w:r>
        <w:rPr>
          <w:rFonts w:ascii="Arial" w:cs="Arial" w:eastAsia="Arial" w:hAnsi="Arial"/>
          <w:sz w:val="18"/>
          <w:szCs w:val="18"/>
          <w:color w:val="auto"/>
        </w:rPr>
        <w:t>aberrations. Further, this program could enable diversification beyond EB as the technology has potential applicability to other EB sub-types and over 50 other genetic skin disorders such as epidermolytic icthyosis and Hailey-Hailey disease. We expect to realize proof of concept with its EB-related work with Gates Center by the end of December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Rejuvenation</w:t>
      </w:r>
    </w:p>
    <w:p>
      <w:pPr>
        <w:spacing w:after="0" w:line="229"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We believe that reversing aging at a cellular level has the potential to impact rejuvenation by driving functional changes to skin cells. This will be significantly different from existing products, such as cosmeceuticals that supplement proteins to cells, and surgical approaches that do not alter cellular stat but alter tissue morphology. An approach for molecular reversal of the underlying defects resulting in aging could have a profound effect on rejuvenation.</w:t>
      </w:r>
    </w:p>
    <w:p>
      <w:pPr>
        <w:spacing w:after="0" w:line="145" w:lineRule="exact"/>
        <w:rPr>
          <w:sz w:val="20"/>
          <w:szCs w:val="20"/>
          <w:color w:val="auto"/>
        </w:rPr>
      </w:pPr>
    </w:p>
    <w:p>
      <w:pPr>
        <w:ind w:right="320" w:firstLine="749"/>
        <w:spacing w:after="0" w:line="303" w:lineRule="auto"/>
        <w:rPr>
          <w:sz w:val="20"/>
          <w:szCs w:val="20"/>
          <w:color w:val="auto"/>
        </w:rPr>
      </w:pPr>
      <w:r>
        <w:rPr>
          <w:rFonts w:ascii="Arial" w:cs="Arial" w:eastAsia="Arial" w:hAnsi="Arial"/>
          <w:sz w:val="16"/>
          <w:szCs w:val="16"/>
          <w:color w:val="auto"/>
        </w:rPr>
        <w:t>In November 2020, AVITA announced a preclinical research agreement with the Houston Methodist Research Institute (“</w:t>
      </w:r>
      <w:r>
        <w:rPr>
          <w:rFonts w:ascii="Arial" w:cs="Arial" w:eastAsia="Arial" w:hAnsi="Arial"/>
          <w:sz w:val="16"/>
          <w:szCs w:val="16"/>
          <w:b w:val="1"/>
          <w:bCs w:val="1"/>
          <w:color w:val="auto"/>
        </w:rPr>
        <w:t>HMRI</w:t>
      </w:r>
      <w:r>
        <w:rPr>
          <w:rFonts w:ascii="Arial" w:cs="Arial" w:eastAsia="Arial" w:hAnsi="Arial"/>
          <w:sz w:val="16"/>
          <w:szCs w:val="16"/>
          <w:color w:val="auto"/>
        </w:rPr>
        <w:t>”) to explore molecular reversal of cellular aging through a novel cell suspension delivery system. AVITA retains the option to exclusively license HMRI’s patented technology as well as the right of first negotiations to HMRI’s technologies emerging from the partnership for further development and commercialization. AVITA expects to realize proof of concept with its rejuvenation work with HMRI by the end of December 2021.</w:t>
      </w:r>
    </w:p>
    <w:p>
      <w:pPr>
        <w:spacing w:after="0" w:line="155"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HMRI is a compelling partner for this work. Dr. John Cooke and his team have developed a novel, patented approach of telomerase reverse transcriptase delivery to reverse cellular aging and have been widely recognized as leaders in this space with multiple peer reviewed publications, grants, and awards. Further, HMRI has a strong program in translational medicine, including the Center for Rapid Device Translation that supports preclinical testing and GLP environments which could enable rapid translation from research into clinical trials.</w:t>
      </w:r>
    </w:p>
    <w:p>
      <w:pPr>
        <w:spacing w:after="0" w:line="171"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American consumers spend over $16 billion on aesthetic procedures per year. 10 million injectable cosmetic procedures were performed in 2019. While these are popular procedures, they do not address skin tone, texture, or tightness. Approximately 350,000 facelift and forehead lift procedures were performed in the same time period. The dramatic differences in procedure volumes are likely due to invasiveness and fear of surgery (including general anesthesia) as well as cost. Consumers are seeking a natural, more youthful appearance and there is a whitespace in the market for a minimally invasive procedure that provides meaningful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We sell the RECELL System in the U.S. through our direct commercial organization consisting of 23 field personnel who are supported by corporate marketing, reimbursement, scientific and medical affairs, operations, and corporate leadership. The field sales team was recruited and hired subsequent to the September 2018 FDA PMA and trained prior to the U.S. market launch of RECELL in January 2019. Our field organization is composed of highly experienced medical sales representatives as well as former burn nurses averaging 19 years of sales experience and 10 years of burns experience. We believe that our current field organization is of an appropriate size, without significant additions, to reach the burn surgeons and other key decision makers and staff associated within U.S. burn centers.</w:t>
      </w:r>
    </w:p>
    <w:p>
      <w:pPr>
        <w:spacing w:after="0" w:line="19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 primary objective of our field sales team is to build upon burn community awareness that has resulted from an extensive series of RECELL System related burn conference presentations and scientific publications to further expand interest in the clinical and economic benefits of the RECELL System. In addition, our field sales team provides robust clinical case support and staff training. It is not uncommon in the burn community to have rotating staff and it is our commitment for all those working with RECELL to be comfortable with the technology both during the procedure as well as during aftercare.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firstLine="749"/>
        <w:spacing w:after="0" w:line="260" w:lineRule="auto"/>
        <w:rPr>
          <w:sz w:val="20"/>
          <w:szCs w:val="20"/>
          <w:color w:val="auto"/>
        </w:rPr>
      </w:pPr>
      <w:r>
        <w:rPr>
          <w:rFonts w:ascii="Arial" w:cs="Arial" w:eastAsia="Arial" w:hAnsi="Arial"/>
          <w:sz w:val="18"/>
          <w:szCs w:val="18"/>
          <w:color w:val="auto"/>
        </w:rPr>
        <w:t xml:space="preserve">AVITA’s investment in the U.S. commercial success of RECELL has led to the development of best-in-class teams supporting sales, clinical education and training, reimbursement, medical affairs, as well as corporate management and infrastructure. </w:t>
      </w:r>
      <w:r>
        <w:rPr>
          <w:rFonts w:ascii="Arial" w:cs="Arial" w:eastAsia="Arial" w:hAnsi="Arial"/>
          <w:sz w:val="17"/>
          <w:szCs w:val="17"/>
          <w:color w:val="auto"/>
        </w:rPr>
        <w:t>As of June 30, 2021, we had approximately 108</w:t>
      </w:r>
      <w:r>
        <w:rPr>
          <w:rFonts w:ascii="Arial" w:cs="Arial" w:eastAsia="Arial" w:hAnsi="Arial"/>
          <w:sz w:val="18"/>
          <w:szCs w:val="18"/>
          <w:color w:val="auto"/>
        </w:rPr>
        <w:t xml:space="preserve"> </w:t>
      </w:r>
      <w:r>
        <w:rPr>
          <w:rFonts w:ascii="Arial" w:cs="Arial" w:eastAsia="Arial" w:hAnsi="Arial"/>
          <w:sz w:val="17"/>
          <w:szCs w:val="17"/>
          <w:color w:val="auto"/>
        </w:rPr>
        <w:t>employees full-time and part-time employees. As of June 30, 2021, 97.3% of our workforce was based in the United States, with a significant number of our management and professional employees having prior experience with leading medical product, biotech, or pharmaceutical companies. None of our employees are covered by collective bargaining agreements.</w:t>
      </w:r>
    </w:p>
    <w:p>
      <w:pPr>
        <w:spacing w:after="0" w:line="186" w:lineRule="exact"/>
        <w:rPr>
          <w:sz w:val="20"/>
          <w:szCs w:val="20"/>
          <w:color w:val="auto"/>
        </w:rPr>
      </w:pPr>
    </w:p>
    <w:p>
      <w:pPr>
        <w:ind w:right="40" w:firstLine="749"/>
        <w:spacing w:after="0" w:line="274" w:lineRule="auto"/>
        <w:rPr>
          <w:sz w:val="20"/>
          <w:szCs w:val="20"/>
          <w:color w:val="auto"/>
        </w:rPr>
      </w:pPr>
      <w:r>
        <w:rPr>
          <w:rFonts w:ascii="Arial" w:cs="Arial" w:eastAsia="Arial" w:hAnsi="Arial"/>
          <w:sz w:val="17"/>
          <w:szCs w:val="17"/>
          <w:color w:val="auto"/>
        </w:rPr>
        <w:t>We embra</w:t>
      </w:r>
      <w:r>
        <w:rPr>
          <w:rFonts w:ascii="Arial" w:cs="Arial" w:eastAsia="Arial" w:hAnsi="Arial"/>
          <w:sz w:val="16"/>
          <w:szCs w:val="16"/>
          <w:color w:val="auto"/>
        </w:rPr>
        <w:t>ce differences, diversity and varying perspectives amongst our employee base and are proud to be an equal opportunity employer. We do not</w:t>
      </w:r>
      <w:r>
        <w:rPr>
          <w:rFonts w:ascii="Arial" w:cs="Arial" w:eastAsia="Arial" w:hAnsi="Arial"/>
          <w:sz w:val="17"/>
          <w:szCs w:val="17"/>
          <w:color w:val="auto"/>
        </w:rPr>
        <w:t xml:space="preserve"> </w:t>
      </w:r>
      <w:r>
        <w:rPr>
          <w:rFonts w:ascii="Arial" w:cs="Arial" w:eastAsia="Arial" w:hAnsi="Arial"/>
          <w:sz w:val="16"/>
          <w:szCs w:val="16"/>
          <w:color w:val="auto"/>
        </w:rPr>
        <w:t>discriminate based on race, religious creed, color, national origin, ancestry, physical disability, mental disability, medical condition, genetic information, marital status, sex, gender, gender identity, gender expression, age, military or veteran status, sexual orientation or any other protected characteristic established by federal, state, or local laws. A diverse workforce as well as an inclusive culture and work environment are fundamentally important and strategic to us beginning with our Board of Directors and CEO and extending to all levels of the Company. As of June 30, 2021, our executive leadership team was 50% female, our senior leadership team was 40% female, and our total employee base was 47% female. In addition to promoting gender diversity, we encourage ethnic diverse talent when recruiting as well as provide employee training and development focusing on workplace diversity and inclusion.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firstLine="749"/>
        <w:spacing w:after="0" w:line="279"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programs to advance our products and product candidates, and to expand our intellectual property rights.</w:t>
      </w:r>
    </w:p>
    <w:p>
      <w:pPr>
        <w:spacing w:after="0" w:line="171" w:lineRule="exact"/>
        <w:rPr>
          <w:sz w:val="20"/>
          <w:szCs w:val="20"/>
          <w:color w:val="auto"/>
        </w:rPr>
      </w:pPr>
    </w:p>
    <w:p>
      <w:pPr>
        <w:ind w:right="80" w:firstLine="749"/>
        <w:spacing w:after="0" w:line="289" w:lineRule="auto"/>
        <w:rPr>
          <w:sz w:val="20"/>
          <w:szCs w:val="20"/>
          <w:color w:val="auto"/>
        </w:rPr>
      </w:pPr>
      <w:r>
        <w:rPr>
          <w:rFonts w:ascii="Arial" w:cs="Arial" w:eastAsia="Arial" w:hAnsi="Arial"/>
          <w:sz w:val="16"/>
          <w:szCs w:val="16"/>
          <w:color w:val="auto"/>
        </w:rPr>
        <w:t>As of June 30, 2021, we have been granted a total of 56 patents and have 26 pending patent applications worldwide. AVITA owns granted patents in Austria, Australia, Belgium, Brazil, France, Germany, Hong Kong, Italy, Japan, Netherlands, Portugal, Spain, Sweden, Turkey, United Kingdom and USA, as well as pending patent applications in Brazil, Canada, China, Europe, Hong Kong, and the United States. AVITA’s patent portfolio covers AVITA’s core RECELL System, methods of using the RECELL System, the Regenerative Epidermal Suspension (“RES®”) suspension, methods of evaluating the therapeutic potential of RES, methods of preparing a cell suspension with exogenous agents to promote wound healing, as well as to one or more automated systems for tissue processing and preparation of cell suspension. AVITA’s pending patent applications cover an all-in-one RECELL System embodiment, as well as new modifications to RES that are showing potential for therapeutic results. We expect that our research and development pipeline, strategic partnerships with universities, and improvements to the RECELL System and RES will result in additional and diverse patent applications for both compositions of matter and related methods of use in the next calendar year.</w:t>
      </w:r>
    </w:p>
    <w:p>
      <w:pPr>
        <w:spacing w:after="0" w:line="162" w:lineRule="exact"/>
        <w:rPr>
          <w:sz w:val="20"/>
          <w:szCs w:val="20"/>
          <w:color w:val="auto"/>
        </w:rPr>
      </w:pPr>
    </w:p>
    <w:p>
      <w:pPr>
        <w:ind w:right="280" w:firstLine="749"/>
        <w:spacing w:after="0" w:line="281" w:lineRule="auto"/>
        <w:rPr>
          <w:sz w:val="20"/>
          <w:szCs w:val="20"/>
          <w:color w:val="auto"/>
        </w:rPr>
      </w:pPr>
      <w:r>
        <w:rPr>
          <w:rFonts w:ascii="Arial" w:cs="Arial" w:eastAsia="Arial" w:hAnsi="Arial"/>
          <w:sz w:val="17"/>
          <w:szCs w:val="17"/>
          <w:color w:val="auto"/>
        </w:rPr>
        <w:t>In 2019, AVITA filed a Patent Term Extension (“</w:t>
      </w:r>
      <w:r>
        <w:rPr>
          <w:rFonts w:ascii="Arial" w:cs="Arial" w:eastAsia="Arial" w:hAnsi="Arial"/>
          <w:sz w:val="17"/>
          <w:szCs w:val="17"/>
          <w:b w:val="1"/>
          <w:bCs w:val="1"/>
          <w:color w:val="auto"/>
        </w:rPr>
        <w:t>PTE”</w:t>
      </w:r>
      <w:r>
        <w:rPr>
          <w:rFonts w:ascii="Arial" w:cs="Arial" w:eastAsia="Arial" w:hAnsi="Arial"/>
          <w:sz w:val="17"/>
          <w:szCs w:val="17"/>
          <w:color w:val="auto"/>
        </w:rPr>
        <w:t>)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 No. 9,029,140, which covers the RECELL System, will be extended to April 9, 2024. AVITA’s other patents have expected expiration dates ranging from 2022 to 2040.</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Additionally, AVITA owns and defends a global trademark portfolio comprising over 120 registered trademarks and pending trademark applications, including the trademarks “RECELL,” “Spray-On Skin,” the RECELL System logo, “RES,” and others in the U.S. and international markets. In addition to patent and trademark protection, we also rely on trade secrets, know-how, and other proprietary information to develop and maintain our competitive position. We have robust confidentiality and invention disclosure procedures in place that incentivize our employees to innovate and allow us to maintain our rights to AVITA innovations.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AVITA leases approximately 17,500 square feet of administrative and office space in Valencia, CA that is currently leased through July 31, 2022. The Company operates an FDA-registered production plant in Ventura, California, in a 27,480 square foot facility that is currently leased through September 30, 2024. We have two 3-year options to extend the lease, at our sole option, which allows for a total lease extension period through September 30, 2030. We also lease a limited amount of incubator space in Irvine, CA for scientific research and product development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PRODUCTION</w:t>
      </w:r>
    </w:p>
    <w:p>
      <w:pPr>
        <w:spacing w:after="0" w:line="27" w:lineRule="exact"/>
        <w:rPr>
          <w:sz w:val="20"/>
          <w:szCs w:val="20"/>
          <w:color w:val="auto"/>
        </w:rPr>
      </w:pPr>
    </w:p>
    <w:p>
      <w:pPr>
        <w:ind w:firstLine="749"/>
        <w:spacing w:after="0" w:line="250" w:lineRule="auto"/>
        <w:rPr>
          <w:sz w:val="20"/>
          <w:szCs w:val="20"/>
          <w:color w:val="auto"/>
        </w:rPr>
      </w:pPr>
      <w:r>
        <w:rPr>
          <w:rFonts w:ascii="Arial" w:cs="Arial" w:eastAsia="Arial" w:hAnsi="Arial"/>
          <w:sz w:val="18"/>
          <w:szCs w:val="18"/>
          <w:color w:val="auto"/>
        </w:rPr>
        <w:t>We produce the RECELL System in the Ventura facility under current Good Manufacturing Practices (“</w:t>
      </w:r>
      <w:r>
        <w:rPr>
          <w:rFonts w:ascii="Arial" w:cs="Arial" w:eastAsia="Arial" w:hAnsi="Arial"/>
          <w:sz w:val="18"/>
          <w:szCs w:val="18"/>
          <w:b w:val="1"/>
          <w:bCs w:val="1"/>
          <w:color w:val="auto"/>
        </w:rPr>
        <w:t>cGMP</w:t>
      </w:r>
      <w:r>
        <w:rPr>
          <w:rFonts w:ascii="Arial" w:cs="Arial" w:eastAsia="Arial" w:hAnsi="Arial"/>
          <w:sz w:val="18"/>
          <w:szCs w:val="18"/>
          <w:color w:val="auto"/>
        </w:rPr>
        <w:t>”) and per ISO 13485, which also meets the regulatory requirements of other jurisdictions in which we sell the RECELL System. We maintain a state of regulatory compliance and inspection readiness at all times, and any future material changes to our production processes for the RECELL System will be submitted for approval to the FDA and regulatory authorities in other jurisdictions as required.</w:t>
      </w:r>
    </w:p>
    <w:p>
      <w:pPr>
        <w:spacing w:after="0" w:line="2" w:lineRule="exact"/>
        <w:rPr>
          <w:sz w:val="20"/>
          <w:szCs w:val="20"/>
          <w:color w:val="auto"/>
        </w:rPr>
      </w:pPr>
    </w:p>
    <w:p>
      <w:pPr>
        <w:jc w:val="both"/>
        <w:ind w:right="200" w:firstLine="749"/>
        <w:spacing w:after="0" w:line="250"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secure controlled-temperature warehouse that complies with the vendor-managed inventory (</w:t>
      </w:r>
      <w:r>
        <w:rPr>
          <w:rFonts w:ascii="Arial" w:cs="Arial" w:eastAsia="Arial" w:hAnsi="Arial"/>
          <w:sz w:val="18"/>
          <w:szCs w:val="18"/>
          <w:b w:val="1"/>
          <w:bCs w:val="1"/>
          <w:color w:val="auto"/>
        </w:rPr>
        <w:t>“VMI”</w:t>
      </w:r>
      <w:r>
        <w:rPr>
          <w:rFonts w:ascii="Arial" w:cs="Arial" w:eastAsia="Arial" w:hAnsi="Arial"/>
          <w:sz w:val="18"/>
          <w:szCs w:val="18"/>
          <w:color w:val="auto"/>
        </w:rPr>
        <w:t xml:space="preserve">) requirements of the contract with Biomedical Advanced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See below for details.</w:t>
      </w:r>
    </w:p>
    <w:p>
      <w:pPr>
        <w:spacing w:after="0" w:line="1" w:lineRule="exact"/>
        <w:rPr>
          <w:sz w:val="20"/>
          <w:szCs w:val="20"/>
          <w:color w:val="auto"/>
        </w:rPr>
      </w:pPr>
    </w:p>
    <w:p>
      <w:pPr>
        <w:ind w:right="240" w:firstLine="749"/>
        <w:spacing w:after="0" w:line="290" w:lineRule="auto"/>
        <w:rPr>
          <w:sz w:val="20"/>
          <w:szCs w:val="20"/>
          <w:color w:val="auto"/>
        </w:rPr>
      </w:pPr>
      <w:r>
        <w:rPr>
          <w:rFonts w:ascii="Arial" w:cs="Arial" w:eastAsia="Arial" w:hAnsi="Arial"/>
          <w:sz w:val="16"/>
          <w:szCs w:val="16"/>
          <w:color w:val="auto"/>
        </w:rPr>
        <w:t>AVITA sources multiple components, sub-assemblies, and materials from third-party suppliers, who are required to meet our cGMP quality specifications and associated regulatory requirements. To ensure continuity of supply, we maintain multiple sources of supply for key components, subassemblies and materials, and the majority of critical raw materials and services have multiple qualified suppliers. While a small number of materials remain single sourced, we are actively working to qualify and validate additional suppliers for these materials as we continue to evaluate methods of removing risk from the supply chain for the RECELL System. We believe that our current manufacturing capacity at the Ventura facility is sufficient to meet the expected commercial demand for the RECELL System for burns, as well as other indications under development, for the foreseeable future.</w:t>
      </w:r>
    </w:p>
    <w:p>
      <w:pPr>
        <w:spacing w:after="0" w:line="164"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AVITA serves the U.S. burn market by shipping the RECELL System directly from our Ventura facility to U.S. burn centers. From time-to-time we also store small quantities of the RECELL System at satellite distribution sites within the U.S. to better support access of the RECELL System to our U.S.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BARDA CONTRACT</w:t>
      </w:r>
    </w:p>
    <w:p>
      <w:pPr>
        <w:spacing w:after="0" w:line="27" w:lineRule="exact"/>
        <w:rPr>
          <w:sz w:val="20"/>
          <w:szCs w:val="20"/>
          <w:color w:val="auto"/>
        </w:rPr>
      </w:pPr>
    </w:p>
    <w:p>
      <w:pPr>
        <w:ind w:right="140" w:firstLine="749"/>
        <w:spacing w:after="0" w:line="265" w:lineRule="auto"/>
        <w:rPr>
          <w:sz w:val="20"/>
          <w:szCs w:val="20"/>
          <w:color w:val="auto"/>
        </w:rPr>
      </w:pPr>
      <w:r>
        <w:rPr>
          <w:rFonts w:ascii="Arial" w:cs="Arial" w:eastAsia="Arial" w:hAnsi="Arial"/>
          <w:sz w:val="17"/>
          <w:szCs w:val="17"/>
          <w:color w:val="auto"/>
        </w:rPr>
        <w:t>We have a contract with the Biomedical Advanced Research and Development Authority (“</w:t>
      </w:r>
      <w:r>
        <w:rPr>
          <w:rFonts w:ascii="Arial" w:cs="Arial" w:eastAsia="Arial" w:hAnsi="Arial"/>
          <w:sz w:val="17"/>
          <w:szCs w:val="17"/>
          <w:b w:val="1"/>
          <w:bCs w:val="1"/>
          <w:color w:val="auto"/>
        </w:rPr>
        <w:t>BARDA</w:t>
      </w:r>
      <w:r>
        <w:rPr>
          <w:rFonts w:ascii="Arial" w:cs="Arial" w:eastAsia="Arial" w:hAnsi="Arial"/>
          <w:sz w:val="17"/>
          <w:szCs w:val="17"/>
          <w:color w:val="auto"/>
        </w:rPr>
        <w:t>”), under the Assistant Secretary for Preparedness and Response, within the U.S. Department of Health and Human Services, valued at approximately $53.4 million. The contract provided funding for the development of the RECELL System. The contract will continue to provide funding for future use of the product as a medical countermeasure to assist disaster preparedness and response in the U.S. for mass casualty events involving burn injuries. We entered into the contract on September 29, 2015, and the scope has expanded through a number of amendments to the contract. The contract may be terminated earlier at the option of BARDA, but otherwise continues to December 31, 2023.</w:t>
      </w:r>
    </w:p>
    <w:p>
      <w:pPr>
        <w:spacing w:after="0" w:line="1" w:lineRule="exact"/>
        <w:rPr>
          <w:sz w:val="20"/>
          <w:szCs w:val="20"/>
          <w:color w:val="auto"/>
        </w:rPr>
      </w:pPr>
    </w:p>
    <w:p>
      <w:pPr>
        <w:ind w:right="260" w:firstLine="749"/>
        <w:spacing w:after="0" w:line="287" w:lineRule="auto"/>
        <w:rPr>
          <w:sz w:val="20"/>
          <w:szCs w:val="20"/>
          <w:color w:val="auto"/>
        </w:rPr>
      </w:pPr>
      <w:r>
        <w:rPr>
          <w:rFonts w:ascii="Arial" w:cs="Arial" w:eastAsia="Arial" w:hAnsi="Arial"/>
          <w:sz w:val="16"/>
          <w:szCs w:val="16"/>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Also included in the BARDA contract was a provision for procurement of the RECELL System under a vendor-managed inventory system to bolster emergency preparedness in the amount of $7.6 million. Further, BARDA expanded the awarded contract to provide supplemental funding of $1.6 million to support the logistics of emergency deployment of RECELL Systems for use in mass casualty or other emergency situations. Delivery of RECELL Systems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under the VMI plan was completed during the fourth quarter of fiscal year 2021. As of June 30, 2021, we had received cumulative payments of $30.9 million under the BARDA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both existing therapies and any new therapies that may become available in the future.</w:t>
      </w:r>
    </w:p>
    <w:p>
      <w:pPr>
        <w:spacing w:after="0" w:line="164" w:lineRule="exact"/>
        <w:rPr>
          <w:sz w:val="20"/>
          <w:szCs w:val="20"/>
          <w:color w:val="auto"/>
        </w:rPr>
      </w:pPr>
    </w:p>
    <w:p>
      <w:pPr>
        <w:ind w:firstLine="749"/>
        <w:spacing w:after="0" w:line="233" w:lineRule="auto"/>
        <w:rPr>
          <w:sz w:val="20"/>
          <w:szCs w:val="20"/>
          <w:color w:val="auto"/>
        </w:rPr>
      </w:pPr>
      <w:r>
        <w:rPr>
          <w:rFonts w:ascii="Arial" w:cs="Arial" w:eastAsia="Arial" w:hAnsi="Arial"/>
          <w:sz w:val="18"/>
          <w:szCs w:val="18"/>
          <w:color w:val="auto"/>
        </w:rPr>
        <w:t>Our primary competitor in the burns market is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sustainable competitive clinical and economic advantages over this current standard of care. We face additional competition in the burns market from other FDA-approved products such as Epicel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provided by Vericel Corporation as well as from Stratagraft® provided by </w:t>
      </w:r>
      <w:r>
        <w:rPr>
          <w:rFonts w:ascii="Arial" w:cs="Arial" w:eastAsia="Arial" w:hAnsi="Arial"/>
          <w:sz w:val="17"/>
          <w:szCs w:val="17"/>
          <w:color w:val="auto"/>
        </w:rPr>
        <w:t>Mallinckrodt.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FDA and International Regulation</w:t>
      </w:r>
    </w:p>
    <w:p>
      <w:pPr>
        <w:spacing w:after="0" w:line="117"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The production and marketing of the RECELL System and any additional product candidates developed in future ongoing research and development activities are subject to regulation by numerous governmental authorities including the FDA in the U.S. and similar agencies in other countries throughout the world. Pursuant to its authority under the Federal Food, Drug, and Cosmetic Act (FD&amp;C Act), the FDA has jurisdiction over medical devices in the U.S. The FDA regulates the design, development, manufacturing, and distribution of medical devices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PMA. The RECELL System is categorized as a Class III medical device, and in September 2018 the FDA granted our PMA for use in the treatment of acute thermal burns in patients 18 years and older. In June 2021, the FDA approved a supplement to our PMA to expand the use of RECELL in pediatric patients with full-thickness burns. Approval of the RECELL System for use in the treatment of new indications in the U.S. will require additional PMA supplement submissions to the FDA following successful completion of clinical studies.</w:t>
      </w:r>
    </w:p>
    <w:p>
      <w:pPr>
        <w:spacing w:after="0" w:line="179" w:lineRule="exact"/>
        <w:rPr>
          <w:sz w:val="20"/>
          <w:szCs w:val="20"/>
          <w:color w:val="auto"/>
        </w:rPr>
      </w:pPr>
    </w:p>
    <w:p>
      <w:pPr>
        <w:ind w:right="80" w:firstLine="749"/>
        <w:spacing w:after="0" w:line="287" w:lineRule="auto"/>
        <w:rPr>
          <w:sz w:val="20"/>
          <w:szCs w:val="20"/>
          <w:color w:val="auto"/>
        </w:rPr>
      </w:pPr>
      <w:r>
        <w:rPr>
          <w:rFonts w:ascii="Arial" w:cs="Arial" w:eastAsia="Arial" w:hAnsi="Arial"/>
          <w:sz w:val="16"/>
          <w:szCs w:val="16"/>
          <w:color w:val="auto"/>
        </w:rPr>
        <w:t>To support PMA supplements in the U.S. or applications for approval in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that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Any products manufactured or distributed by us pursuant to regulatory approvals are subject to continuing regulation by the FDA and similar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agencies in other countries, including maintaining records supporting manufacturing and distribution under Current Good Manufacturing Practice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cGMP</w:t>
      </w:r>
      <w:r>
        <w:rPr>
          <w:rFonts w:ascii="Arial" w:cs="Arial" w:eastAsia="Arial" w:hAnsi="Arial"/>
          <w:sz w:val="16"/>
          <w:szCs w:val="16"/>
          <w:color w:val="auto"/>
        </w:rPr>
        <w:t>”) regulations, periodic reporting, advertising, promotion, compliance with any post-approval requirements imposed as a conditional of approval,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recordkeeping and reporting requirements, including adverse events experiences. After approval, material changes to the approved product, such as adding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indications or other labeling claims, or changes to the manufacturing process, are subject to prior approval by FDA and other regulatory agencies.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Medical device manufacturers and their subcontractors are required to register their establishments with the FDA, certain state agencies and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agencies.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Subcontractors are subject to periodic announced and unannounced inspections by the FDA and other agencies for compliance with cGMP requirements. We have established processes in place for categorization of vendor criticality and the associated activities for qualification and monitoring of vendors. These activities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195"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addition to FDA approval in the U.S., the RECELL System is TGA-registered in Australia for use in the treatment of burns, acute wounds, scars, and vitiligo. In the European Union, the RECELL System has received CE-mark approval for the treatment of burns, chronic wounds, scars, and vitiligo. In February 2019, our marketing partner COSMOTEC filed a Japan’s Pharmaceuticals and Medical Devices Act (“</w:t>
      </w:r>
      <w:r>
        <w:rPr>
          <w:rFonts w:ascii="Arial" w:cs="Arial" w:eastAsia="Arial" w:hAnsi="Arial"/>
          <w:sz w:val="18"/>
          <w:szCs w:val="18"/>
          <w:b w:val="1"/>
          <w:bCs w:val="1"/>
          <w:color w:val="auto"/>
        </w:rPr>
        <w:t>JPMDA</w:t>
      </w:r>
      <w:r>
        <w:rPr>
          <w:rFonts w:ascii="Arial" w:cs="Arial" w:eastAsia="Arial" w:hAnsi="Arial"/>
          <w:sz w:val="18"/>
          <w:szCs w:val="18"/>
          <w:color w:val="auto"/>
        </w:rPr>
        <w:t>”) application for approval to market the RECELL System in Japan for the treatment of burns and other wounds. The JPMDA has accepted the application and the review is ongoing with approval expected to occur during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HEALTHCARE LAWS AND REGULATIONS</w:t>
      </w:r>
    </w:p>
    <w:p>
      <w:pPr>
        <w:spacing w:after="0" w:line="117" w:lineRule="exact"/>
        <w:rPr>
          <w:sz w:val="20"/>
          <w:szCs w:val="20"/>
          <w:color w:val="auto"/>
        </w:rPr>
      </w:pPr>
    </w:p>
    <w:p>
      <w:pPr>
        <w:ind w:right="320" w:firstLine="749"/>
        <w:spacing w:after="0" w:line="259" w:lineRule="auto"/>
        <w:rPr>
          <w:sz w:val="20"/>
          <w:szCs w:val="20"/>
          <w:color w:val="auto"/>
        </w:rPr>
      </w:pPr>
      <w:r>
        <w:rPr>
          <w:rFonts w:ascii="Arial" w:cs="Arial" w:eastAsia="Arial" w:hAnsi="Arial"/>
          <w:sz w:val="18"/>
          <w:szCs w:val="18"/>
          <w:color w:val="auto"/>
        </w:rPr>
        <w:t>AVITA is a manufacturer of a medical device and therefore we are subject to regulations by the FDA and various federal and state healthcare laws and regulations. These regulations govern our advertising and promotional practices, our interactions with healthcare providers (HCPs), and our reporting of any payments made to HCPs. AVITA is committed to the highest standards of business conduct in accordance with the AdvaMed Code of Ethics.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Interactions with Healthcare Providers</w:t>
      </w:r>
    </w:p>
    <w:p>
      <w:pPr>
        <w:spacing w:after="0" w:line="22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Providing any benefits or advantages to HCPs in order to induce or encourage the use or referral of AVITA products is strictly prohibited by both U.S. and international laws and regulations. Restrictions under applicable Federal and State healthcare laws and regulations include but are not limited to the following:</w:t>
      </w:r>
    </w:p>
    <w:p>
      <w:pPr>
        <w:spacing w:after="0" w:line="180" w:lineRule="exact"/>
        <w:rPr>
          <w:sz w:val="20"/>
          <w:szCs w:val="20"/>
          <w:color w:val="auto"/>
        </w:rPr>
      </w:pPr>
    </w:p>
    <w:p>
      <w:pPr>
        <w:ind w:left="740" w:right="80" w:hanging="368"/>
        <w:spacing w:after="0" w:line="314"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healthcare Anti-Kickback Statute (“</w:t>
      </w:r>
      <w:r>
        <w:rPr>
          <w:rFonts w:ascii="Arial" w:cs="Arial" w:eastAsia="Arial" w:hAnsi="Arial"/>
          <w:sz w:val="16"/>
          <w:szCs w:val="16"/>
          <w:b w:val="1"/>
          <w:bCs w:val="1"/>
          <w:color w:val="auto"/>
        </w:rPr>
        <w:t>AKS</w:t>
      </w:r>
      <w:r>
        <w:rPr>
          <w:rFonts w:ascii="Arial" w:cs="Arial" w:eastAsia="Arial" w:hAnsi="Arial"/>
          <w:sz w:val="16"/>
          <w:szCs w:val="16"/>
          <w:color w:val="auto"/>
        </w:rPr>
        <w:t>”). AKS prohibits any person from soliciting, offering, receiving, or providing any remuneration in cash or in kind, whether directly or indirectly, to induce or reward the referral, purchase, lease, order, or recommendation of any item or service for which payment may be made in whole or in part under a federal healthcare program such as Medicare and Medicaid</w:t>
      </w:r>
    </w:p>
    <w:p>
      <w:pPr>
        <w:spacing w:after="0" w:line="141" w:lineRule="exact"/>
        <w:rPr>
          <w:rFonts w:ascii="Arial" w:cs="Arial" w:eastAsia="Arial" w:hAnsi="Arial"/>
          <w:sz w:val="16"/>
          <w:szCs w:val="16"/>
          <w:color w:val="auto"/>
        </w:rPr>
      </w:pPr>
    </w:p>
    <w:p>
      <w:pPr>
        <w:ind w:left="740" w:hanging="368"/>
        <w:spacing w:after="0" w:line="277"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False Claims Act (“</w:t>
      </w:r>
      <w:r>
        <w:rPr>
          <w:rFonts w:ascii="Arial" w:cs="Arial" w:eastAsia="Arial" w:hAnsi="Arial"/>
          <w:sz w:val="17"/>
          <w:szCs w:val="17"/>
          <w:b w:val="1"/>
          <w:bCs w:val="1"/>
          <w:color w:val="auto"/>
        </w:rPr>
        <w:t>FCA</w:t>
      </w:r>
      <w:r>
        <w:rPr>
          <w:rFonts w:ascii="Arial" w:cs="Arial" w:eastAsia="Arial" w:hAnsi="Arial"/>
          <w:sz w:val="17"/>
          <w:szCs w:val="17"/>
          <w:color w:val="auto"/>
        </w:rPr>
        <w:t>”). FCA may be enforced by either the U.S. Department of Justice or private whistleblowers should they choose to bring civil (qui tam) actions on behalf of the federal government. The FCA imposes civil penalties, as well as liability for treble damages and for attorneys’ fees and costs, on individuals or entities who knowingly present, or cause to be presented, claims for payment that are false or fraudulent to the federal government. FCA also imposes similar penalties on those who make a false statement material to a fraudulent claim, or who improperly avoid, decrease, or conceal an obligation to pay money to the federal government</w:t>
      </w:r>
    </w:p>
    <w:p>
      <w:pPr>
        <w:spacing w:after="0" w:line="171" w:lineRule="exact"/>
        <w:rPr>
          <w:rFonts w:ascii="Arial" w:cs="Arial" w:eastAsia="Arial" w:hAnsi="Arial"/>
          <w:sz w:val="17"/>
          <w:szCs w:val="17"/>
          <w:color w:val="auto"/>
        </w:rPr>
      </w:pPr>
    </w:p>
    <w:p>
      <w:pPr>
        <w:ind w:left="740" w:right="62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and foreign laws and regulations may apply to sales or marketing arrangements and claims involving healthcare devices or services reimbursed by non-governmental third-party payors</w:t>
      </w:r>
    </w:p>
    <w:p>
      <w:pPr>
        <w:spacing w:after="0" w:line="170"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Additionally, certain state laws require medical device companies to comply with voluntary compliance guidelines promulgated by global trade associations and relevant compliance guidance issues by the U.S. Department of Health and Human Services, Office of Inspector General. Such laws prohibit medical device manufacturers from offering or providing certain types of payments or gifts to health care providers; and/or require the disclosure of gifts or payments to healthcare providers.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Interactions with Foreign Officials and Entities</w:t>
      </w:r>
    </w:p>
    <w:p>
      <w:pPr>
        <w:spacing w:after="0" w:line="221"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The U.S. Foreign Corrupt Practices Act (“</w:t>
      </w:r>
      <w:r>
        <w:rPr>
          <w:rFonts w:ascii="Arial" w:cs="Arial" w:eastAsia="Arial" w:hAnsi="Arial"/>
          <w:sz w:val="18"/>
          <w:szCs w:val="18"/>
          <w:b w:val="1"/>
          <w:bCs w:val="1"/>
          <w:color w:val="auto"/>
        </w:rPr>
        <w:t>FCPA</w:t>
      </w:r>
      <w:r>
        <w:rPr>
          <w:rFonts w:ascii="Arial" w:cs="Arial" w:eastAsia="Arial" w:hAnsi="Arial"/>
          <w:sz w:val="18"/>
          <w:szCs w:val="18"/>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and State Reporting</w:t>
      </w:r>
    </w:p>
    <w:p>
      <w:pPr>
        <w:spacing w:after="0" w:line="225" w:lineRule="exact"/>
        <w:rPr>
          <w:sz w:val="20"/>
          <w:szCs w:val="20"/>
          <w:color w:val="auto"/>
        </w:rPr>
      </w:pPr>
    </w:p>
    <w:p>
      <w:pPr>
        <w:ind w:right="240" w:firstLine="749"/>
        <w:spacing w:after="0" w:line="286" w:lineRule="auto"/>
        <w:rPr>
          <w:sz w:val="20"/>
          <w:szCs w:val="20"/>
          <w:color w:val="auto"/>
        </w:rPr>
      </w:pPr>
      <w:r>
        <w:rPr>
          <w:rFonts w:ascii="Arial" w:cs="Arial" w:eastAsia="Arial" w:hAnsi="Arial"/>
          <w:sz w:val="17"/>
          <w:szCs w:val="17"/>
          <w:color w:val="auto"/>
        </w:rPr>
        <w:t>Pursuant to the federal Physician Payment Sunshine Act, AVITA is required to report annually to the Centers for Medicare and Medicaid Services within the U.S. Department of Health and Human Services, as well as in accordance with all relevant state marketing reporting regulations, any payments, and transfers of value to physicians and teaching hospitals, as well as other categories of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Privac</w:t>
      </w:r>
      <w:r>
        <w:rPr>
          <w:rFonts w:ascii="Arial" w:cs="Arial" w:eastAsia="Arial" w:hAnsi="Arial"/>
          <w:sz w:val="18"/>
          <w:szCs w:val="18"/>
          <w:color w:val="auto"/>
        </w:rPr>
        <w:t>y</w:t>
      </w:r>
    </w:p>
    <w:p>
      <w:pPr>
        <w:spacing w:after="0" w:line="113"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AVITA must comply with the federal Health Insurance Portability and Accountability Act of 1996 (“</w:t>
      </w:r>
      <w:r>
        <w:rPr>
          <w:rFonts w:ascii="Arial" w:cs="Arial" w:eastAsia="Arial" w:hAnsi="Arial"/>
          <w:sz w:val="18"/>
          <w:szCs w:val="18"/>
          <w:b w:val="1"/>
          <w:bCs w:val="1"/>
          <w:color w:val="auto"/>
        </w:rPr>
        <w:t>HIPAA</w:t>
      </w:r>
      <w:r>
        <w:rPr>
          <w:rFonts w:ascii="Arial" w:cs="Arial" w:eastAsia="Arial" w:hAnsi="Arial"/>
          <w:sz w:val="18"/>
          <w:szCs w:val="18"/>
          <w:color w:val="auto"/>
        </w:rPr>
        <w:t>”) which imposes criminal and civil liability for, among other conduct, making false statements relating to healthcare matters and executing a scheme to defraud any healthcare benefit program. It also imposes criminal and civil liability and penalties on those who violate requirements such as mandatory contractual terms which are intended to safeguard the security, transmission and use of individually identifiable health information.</w:t>
      </w:r>
    </w:p>
    <w:p>
      <w:pPr>
        <w:spacing w:after="0" w:line="184" w:lineRule="exact"/>
        <w:rPr>
          <w:sz w:val="20"/>
          <w:szCs w:val="20"/>
          <w:color w:val="auto"/>
        </w:rPr>
      </w:pPr>
    </w:p>
    <w:p>
      <w:pPr>
        <w:jc w:val="both"/>
        <w:ind w:right="240" w:firstLine="749"/>
        <w:spacing w:after="0" w:line="286" w:lineRule="auto"/>
        <w:rPr>
          <w:sz w:val="20"/>
          <w:szCs w:val="20"/>
          <w:color w:val="auto"/>
        </w:rPr>
      </w:pPr>
      <w:r>
        <w:rPr>
          <w:rFonts w:ascii="Arial" w:cs="Arial" w:eastAsia="Arial" w:hAnsi="Arial"/>
          <w:sz w:val="17"/>
          <w:szCs w:val="17"/>
          <w:color w:val="auto"/>
        </w:rPr>
        <w:t>Various state and foreign laws also govern the privacy and security of health information such as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GDPR governs the use of individual health data and other personal information and imposes strict obligations and restrictions on the ability to use, access, process, and disseminate health data from clinical trials and adverse event reporting, among others.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are subject to extensive environmental, health and safety laws and regulations in a number of jurisdictions, primarily in California and the U.S., governing, among other things: the use, storage, registration, handling, emission and disposal of chemicals, waste materials and sewage; chemicals, air, water and ground contamination; and air emissions and the cleanup of contaminated sites, including any contamination that could result from spills due to our failure to properly dispose of production waste materials. Our operations at our Ventura manufacturing facility produce a small amount of waste materials that are considered minimally hazardous, and we use a third-party waste disposal company to remove any waste generated during operations from the facility. Our activities require permits from various governmental authorities including local municipal authorities. Local and state authorities may conduct periodic inspections in order to review and ensure our compliance with the various regulations. We are not presently aware of any violations or deficiencies. These laws, regulations and permits could potentially require the expenditure by us for compliance or remediation.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files annual, quarterly and current reports, proxy statements and other documents with the 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under the Exchange Act. The SEC maintains a website that contains reports, proxy and information statements, and other information regarding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issuers that file electronically with the SEC. The public can obtain any documents that we file with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In addition, copies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announcements made by the Company to ASX are available on the ASX website (</w:t>
      </w:r>
      <w:r>
        <w:rPr>
          <w:rFonts w:ascii="Arial" w:cs="Arial" w:eastAsia="Arial" w:hAnsi="Arial"/>
          <w:sz w:val="17"/>
          <w:szCs w:val="17"/>
          <w:u w:val="single" w:color="auto"/>
          <w:color w:val="auto"/>
        </w:rPr>
        <w:t>www.asx.com.au</w:t>
      </w:r>
      <w:r>
        <w:rPr>
          <w:rFonts w:ascii="Arial" w:cs="Arial" w:eastAsia="Arial" w:hAnsi="Arial"/>
          <w:sz w:val="17"/>
          <w:szCs w:val="17"/>
          <w:color w:val="auto"/>
        </w:rPr>
        <w:t>) and also, under the heading “Investors: Press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Releases” at the following link on our website (</w:t>
      </w:r>
      <w:r>
        <w:rPr>
          <w:rFonts w:ascii="Arial" w:cs="Arial" w:eastAsia="Arial" w:hAnsi="Arial"/>
          <w:sz w:val="17"/>
          <w:szCs w:val="17"/>
          <w:u w:val="single" w:color="auto"/>
          <w:color w:val="5B9BD5"/>
        </w:rPr>
        <w:t>https://ir.avitamedical.com/press-releases).</w:t>
      </w:r>
      <w:r>
        <w:rPr>
          <w:rFonts w:ascii="Arial" w:cs="Arial" w:eastAsia="Arial" w:hAnsi="Arial"/>
          <w:sz w:val="17"/>
          <w:szCs w:val="17"/>
          <w:color w:val="auto"/>
        </w:rPr>
        <w:t xml:space="preserve"> We maintain a website at www.avitamedical.com.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becoming a domestic U.S. issuer on July 1, 2020, our filings with the SEC, including without limitation, our annual reports on Form 10-K, quarterly reports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10-Q, current reports on Form 8-K, and amendments to those reports filed or furnished pursuant to Section 13(a) or 15(d) of the Exchange Act,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free of charge on our website under the heading “Investors: Financials _SEC Filings” at the following link on our website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https://ir.avitamedical.com/financials/sec-filings</w:t>
      </w:r>
      <w:r>
        <w:rPr>
          <w:rFonts w:ascii="Arial" w:cs="Arial" w:eastAsia="Arial" w:hAnsi="Arial"/>
          <w:sz w:val="16"/>
          <w:szCs w:val="16"/>
          <w:color w:val="auto"/>
        </w:rPr>
        <w:t>), as soon as reasonably practicable after we file or furnish them electronically with the SEC.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contained on our website is not part of or incorporated into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a total of six subsidiaries and their corporate details and business activities are listed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Subsidiary Name</w:t>
            </w:r>
          </w:p>
        </w:tc>
        <w:tc>
          <w:tcPr>
            <w:tcW w:w="2500" w:type="dxa"/>
            <w:vAlign w:val="bottom"/>
          </w:tcPr>
          <w:p>
            <w:pPr>
              <w:ind w:left="1480"/>
              <w:spacing w:after="0"/>
              <w:rPr>
                <w:sz w:val="20"/>
                <w:szCs w:val="20"/>
                <w:color w:val="auto"/>
              </w:rPr>
            </w:pPr>
            <w:r>
              <w:rPr>
                <w:rFonts w:ascii="Arial" w:cs="Arial" w:eastAsia="Arial" w:hAnsi="Arial"/>
                <w:sz w:val="14"/>
                <w:szCs w:val="14"/>
                <w:b w:val="1"/>
                <w:bCs w:val="1"/>
                <w:color w:val="auto"/>
              </w:rPr>
              <w:t>Place of</w:t>
            </w: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33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Business Purpose</w:t>
            </w:r>
          </w:p>
        </w:tc>
        <w:tc>
          <w:tcPr>
            <w:tcW w:w="0" w:type="dxa"/>
            <w:vAlign w:val="bottom"/>
          </w:tcPr>
          <w:p>
            <w:pPr>
              <w:spacing w:after="0"/>
              <w:rPr>
                <w:sz w:val="1"/>
                <w:szCs w:val="1"/>
                <w:color w:val="auto"/>
              </w:rPr>
            </w:pPr>
          </w:p>
        </w:tc>
      </w:tr>
      <w:tr>
        <w:trPr>
          <w:trHeight w:val="157"/>
        </w:trPr>
        <w:tc>
          <w:tcPr>
            <w:tcW w:w="4420" w:type="dxa"/>
            <w:vAlign w:val="bottom"/>
            <w:vMerge w:val="continue"/>
          </w:tcPr>
          <w:p>
            <w:pPr>
              <w:spacing w:after="0"/>
              <w:rPr>
                <w:sz w:val="13"/>
                <w:szCs w:val="13"/>
                <w:color w:val="auto"/>
              </w:rPr>
            </w:pPr>
          </w:p>
        </w:tc>
        <w:tc>
          <w:tcPr>
            <w:tcW w:w="2500" w:type="dxa"/>
            <w:vAlign w:val="bottom"/>
          </w:tcPr>
          <w:p>
            <w:pPr>
              <w:ind w:left="1280"/>
              <w:spacing w:after="0" w:line="157" w:lineRule="exact"/>
              <w:rPr>
                <w:sz w:val="20"/>
                <w:szCs w:val="20"/>
                <w:color w:val="auto"/>
              </w:rPr>
            </w:pPr>
            <w:r>
              <w:rPr>
                <w:rFonts w:ascii="Arial" w:cs="Arial" w:eastAsia="Arial" w:hAnsi="Arial"/>
                <w:sz w:val="14"/>
                <w:szCs w:val="14"/>
                <w:b w:val="1"/>
                <w:bCs w:val="1"/>
                <w:color w:val="auto"/>
              </w:rPr>
              <w:t>Incorporation</w:t>
            </w:r>
          </w:p>
        </w:tc>
        <w:tc>
          <w:tcPr>
            <w:tcW w:w="940" w:type="dxa"/>
            <w:vAlign w:val="bottom"/>
          </w:tcPr>
          <w:p>
            <w:pPr>
              <w:jc w:val="right"/>
              <w:ind w:right="195"/>
              <w:spacing w:after="0" w:line="157" w:lineRule="exact"/>
              <w:rPr>
                <w:sz w:val="20"/>
                <w:szCs w:val="20"/>
                <w:color w:val="auto"/>
              </w:rPr>
            </w:pPr>
            <w:r>
              <w:rPr>
                <w:rFonts w:ascii="Arial" w:cs="Arial" w:eastAsia="Arial" w:hAnsi="Arial"/>
                <w:sz w:val="14"/>
                <w:szCs w:val="14"/>
                <w:b w:val="1"/>
                <w:bCs w:val="1"/>
                <w:color w:val="auto"/>
              </w:rPr>
              <w:t>Held</w:t>
            </w:r>
          </w:p>
        </w:tc>
        <w:tc>
          <w:tcPr>
            <w:tcW w:w="3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140"/>
              <w:spacing w:after="0"/>
              <w:rPr>
                <w:sz w:val="20"/>
                <w:szCs w:val="20"/>
                <w:color w:val="auto"/>
              </w:rPr>
            </w:pPr>
            <w:r>
              <w:rPr>
                <w:rFonts w:ascii="Arial" w:cs="Arial" w:eastAsia="Arial" w:hAnsi="Arial"/>
                <w:sz w:val="18"/>
                <w:szCs w:val="18"/>
                <w:color w:val="auto"/>
              </w:rPr>
              <w:t>AVITA Medical Pty Limited</w:t>
            </w:r>
          </w:p>
        </w:tc>
        <w:tc>
          <w:tcPr>
            <w:tcW w:w="250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380" w:type="dxa"/>
            <w:vAlign w:val="bottom"/>
          </w:tcPr>
          <w:p>
            <w:pPr>
              <w:ind w:left="80"/>
              <w:spacing w:after="0"/>
              <w:rPr>
                <w:sz w:val="20"/>
                <w:szCs w:val="20"/>
                <w:color w:val="auto"/>
              </w:rPr>
            </w:pPr>
            <w:r>
              <w:rPr>
                <w:rFonts w:ascii="Arial" w:cs="Arial" w:eastAsia="Arial" w:hAnsi="Arial"/>
                <w:sz w:val="18"/>
                <w:szCs w:val="18"/>
                <w:color w:val="auto"/>
              </w:rPr>
              <w:t>Operating Company</w:t>
            </w:r>
          </w:p>
        </w:tc>
        <w:tc>
          <w:tcPr>
            <w:tcW w:w="0" w:type="dxa"/>
            <w:vAlign w:val="bottom"/>
          </w:tcPr>
          <w:p>
            <w:pPr>
              <w:spacing w:after="0"/>
              <w:rPr>
                <w:sz w:val="1"/>
                <w:szCs w:val="1"/>
                <w:color w:val="auto"/>
              </w:rPr>
            </w:pPr>
          </w:p>
        </w:tc>
      </w:tr>
      <w:tr>
        <w:trPr>
          <w:trHeight w:val="229"/>
        </w:trPr>
        <w:tc>
          <w:tcPr>
            <w:tcW w:w="4420" w:type="dxa"/>
            <w:vAlign w:val="bottom"/>
          </w:tcPr>
          <w:p>
            <w:pPr>
              <w:ind w:left="1140"/>
              <w:spacing w:after="0"/>
              <w:rPr>
                <w:sz w:val="20"/>
                <w:szCs w:val="20"/>
                <w:color w:val="auto"/>
              </w:rPr>
            </w:pPr>
            <w:r>
              <w:rPr>
                <w:rFonts w:ascii="Arial" w:cs="Arial" w:eastAsia="Arial" w:hAnsi="Arial"/>
                <w:sz w:val="18"/>
                <w:szCs w:val="18"/>
                <w:color w:val="auto"/>
              </w:rPr>
              <w:t>AVITA Medical Americas, LLC</w:t>
            </w:r>
          </w:p>
        </w:tc>
        <w:tc>
          <w:tcPr>
            <w:tcW w:w="2500" w:type="dxa"/>
            <w:vAlign w:val="bottom"/>
          </w:tcPr>
          <w:p>
            <w:pPr>
              <w:ind w:left="940"/>
              <w:spacing w:after="0"/>
              <w:rPr>
                <w:sz w:val="20"/>
                <w:szCs w:val="20"/>
                <w:color w:val="auto"/>
              </w:rPr>
            </w:pPr>
            <w:r>
              <w:rPr>
                <w:rFonts w:ascii="Arial" w:cs="Arial" w:eastAsia="Arial" w:hAnsi="Arial"/>
                <w:sz w:val="18"/>
                <w:szCs w:val="18"/>
                <w:color w:val="auto"/>
              </w:rPr>
              <w:t>Delaware</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380" w:type="dxa"/>
            <w:vAlign w:val="bottom"/>
          </w:tcPr>
          <w:p>
            <w:pPr>
              <w:ind w:left="80"/>
              <w:spacing w:after="0"/>
              <w:rPr>
                <w:sz w:val="20"/>
                <w:szCs w:val="20"/>
                <w:color w:val="auto"/>
              </w:rPr>
            </w:pPr>
            <w:r>
              <w:rPr>
                <w:rFonts w:ascii="Arial" w:cs="Arial" w:eastAsia="Arial" w:hAnsi="Arial"/>
                <w:sz w:val="18"/>
                <w:szCs w:val="18"/>
                <w:color w:val="auto"/>
              </w:rPr>
              <w:t>U.S. operations</w:t>
            </w:r>
          </w:p>
        </w:tc>
        <w:tc>
          <w:tcPr>
            <w:tcW w:w="0" w:type="dxa"/>
            <w:vAlign w:val="bottom"/>
          </w:tcPr>
          <w:p>
            <w:pPr>
              <w:spacing w:after="0"/>
              <w:rPr>
                <w:sz w:val="1"/>
                <w:szCs w:val="1"/>
                <w:color w:val="auto"/>
              </w:rPr>
            </w:pPr>
          </w:p>
        </w:tc>
      </w:tr>
      <w:tr>
        <w:trPr>
          <w:trHeight w:val="230"/>
        </w:trPr>
        <w:tc>
          <w:tcPr>
            <w:tcW w:w="4420" w:type="dxa"/>
            <w:vAlign w:val="bottom"/>
          </w:tcPr>
          <w:p>
            <w:pPr>
              <w:ind w:left="1140"/>
              <w:spacing w:after="0"/>
              <w:rPr>
                <w:sz w:val="20"/>
                <w:szCs w:val="20"/>
                <w:color w:val="auto"/>
              </w:rPr>
            </w:pPr>
            <w:r>
              <w:rPr>
                <w:rFonts w:ascii="Arial" w:cs="Arial" w:eastAsia="Arial" w:hAnsi="Arial"/>
                <w:sz w:val="18"/>
                <w:szCs w:val="18"/>
                <w:color w:val="auto"/>
              </w:rPr>
              <w:t>AVITA Medical Europe Limited</w:t>
            </w:r>
          </w:p>
        </w:tc>
        <w:tc>
          <w:tcPr>
            <w:tcW w:w="2500" w:type="dxa"/>
            <w:vAlign w:val="bottom"/>
          </w:tcPr>
          <w:p>
            <w:pPr>
              <w:ind w:left="940"/>
              <w:spacing w:after="0"/>
              <w:rPr>
                <w:sz w:val="20"/>
                <w:szCs w:val="20"/>
                <w:color w:val="auto"/>
              </w:rPr>
            </w:pPr>
            <w:r>
              <w:rPr>
                <w:rFonts w:ascii="Arial" w:cs="Arial" w:eastAsia="Arial" w:hAnsi="Arial"/>
                <w:sz w:val="18"/>
                <w:szCs w:val="18"/>
                <w:color w:val="auto"/>
              </w:rPr>
              <w:t>United Kingdom</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380" w:type="dxa"/>
            <w:vAlign w:val="bottom"/>
          </w:tcPr>
          <w:p>
            <w:pPr>
              <w:ind w:left="80"/>
              <w:spacing w:after="0"/>
              <w:rPr>
                <w:sz w:val="20"/>
                <w:szCs w:val="20"/>
                <w:color w:val="auto"/>
              </w:rPr>
            </w:pPr>
            <w:r>
              <w:rPr>
                <w:rFonts w:ascii="Arial" w:cs="Arial" w:eastAsia="Arial" w:hAnsi="Arial"/>
                <w:sz w:val="18"/>
                <w:szCs w:val="18"/>
                <w:color w:val="auto"/>
              </w:rPr>
              <w:t>EMEA operations</w:t>
            </w:r>
          </w:p>
        </w:tc>
        <w:tc>
          <w:tcPr>
            <w:tcW w:w="0" w:type="dxa"/>
            <w:vAlign w:val="bottom"/>
          </w:tcPr>
          <w:p>
            <w:pPr>
              <w:spacing w:after="0"/>
              <w:rPr>
                <w:sz w:val="1"/>
                <w:szCs w:val="1"/>
                <w:color w:val="auto"/>
              </w:rPr>
            </w:pPr>
          </w:p>
        </w:tc>
      </w:tr>
      <w:tr>
        <w:trPr>
          <w:trHeight w:val="230"/>
        </w:trPr>
        <w:tc>
          <w:tcPr>
            <w:tcW w:w="4420" w:type="dxa"/>
            <w:vAlign w:val="bottom"/>
          </w:tcPr>
          <w:p>
            <w:pPr>
              <w:ind w:left="1140"/>
              <w:spacing w:after="0"/>
              <w:rPr>
                <w:sz w:val="20"/>
                <w:szCs w:val="20"/>
                <w:color w:val="auto"/>
              </w:rPr>
            </w:pPr>
            <w:r>
              <w:rPr>
                <w:rFonts w:ascii="Arial" w:cs="Arial" w:eastAsia="Arial" w:hAnsi="Arial"/>
                <w:sz w:val="18"/>
                <w:szCs w:val="18"/>
                <w:color w:val="auto"/>
              </w:rPr>
              <w:t>Visiomed Group Pty Ltd</w:t>
            </w:r>
          </w:p>
        </w:tc>
        <w:tc>
          <w:tcPr>
            <w:tcW w:w="250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380" w:type="dxa"/>
            <w:vAlign w:val="bottom"/>
          </w:tcPr>
          <w:p>
            <w:pPr>
              <w:ind w:left="80"/>
              <w:spacing w:after="0"/>
              <w:rPr>
                <w:sz w:val="20"/>
                <w:szCs w:val="20"/>
                <w:color w:val="auto"/>
              </w:rPr>
            </w:pPr>
            <w:r>
              <w:rPr>
                <w:rFonts w:ascii="Arial" w:cs="Arial" w:eastAsia="Arial" w:hAnsi="Arial"/>
                <w:sz w:val="18"/>
                <w:szCs w:val="18"/>
                <w:color w:val="auto"/>
              </w:rPr>
              <w:t>Asia Pacific Operations</w:t>
            </w:r>
          </w:p>
        </w:tc>
        <w:tc>
          <w:tcPr>
            <w:tcW w:w="0" w:type="dxa"/>
            <w:vAlign w:val="bottom"/>
          </w:tcPr>
          <w:p>
            <w:pPr>
              <w:spacing w:after="0"/>
              <w:rPr>
                <w:sz w:val="1"/>
                <w:szCs w:val="1"/>
                <w:color w:val="auto"/>
              </w:rPr>
            </w:pPr>
          </w:p>
        </w:tc>
      </w:tr>
      <w:tr>
        <w:trPr>
          <w:trHeight w:val="244"/>
        </w:trPr>
        <w:tc>
          <w:tcPr>
            <w:tcW w:w="4420" w:type="dxa"/>
            <w:vAlign w:val="bottom"/>
          </w:tcPr>
          <w:p>
            <w:pPr>
              <w:ind w:left="1140"/>
              <w:spacing w:after="0"/>
              <w:rPr>
                <w:sz w:val="20"/>
                <w:szCs w:val="20"/>
                <w:color w:val="auto"/>
              </w:rPr>
            </w:pPr>
            <w:r>
              <w:rPr>
                <w:rFonts w:ascii="Arial" w:cs="Arial" w:eastAsia="Arial" w:hAnsi="Arial"/>
                <w:sz w:val="18"/>
                <w:szCs w:val="18"/>
                <w:color w:val="auto"/>
              </w:rPr>
              <w:t>C3 Operations Pty Ltd</w:t>
            </w:r>
          </w:p>
        </w:tc>
        <w:tc>
          <w:tcPr>
            <w:tcW w:w="250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380" w:type="dxa"/>
            <w:vAlign w:val="bottom"/>
          </w:tcPr>
          <w:p>
            <w:pPr>
              <w:ind w:left="8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2500" w:type="dxa"/>
            <w:vAlign w:val="bottom"/>
          </w:tcPr>
          <w:p>
            <w:pPr>
              <w:ind w:left="1120"/>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3080" w:type="dxa"/>
            <w:vAlign w:val="bottom"/>
          </w:tcPr>
          <w:p>
            <w:pPr>
              <w:jc w:val="center"/>
              <w:ind w:left="1442"/>
              <w:spacing w:after="0"/>
              <w:rPr>
                <w:sz w:val="20"/>
                <w:szCs w:val="20"/>
                <w:color w:val="auto"/>
              </w:rPr>
            </w:pPr>
            <w:r>
              <w:rPr>
                <w:rFonts w:ascii="Arial" w:cs="Arial" w:eastAsia="Arial" w:hAnsi="Arial"/>
                <w:sz w:val="14"/>
                <w:szCs w:val="14"/>
                <w:b w:val="1"/>
                <w:bCs w:val="1"/>
                <w:color w:val="auto"/>
                <w:w w:val="89"/>
              </w:rPr>
              <w:t>Place of</w:t>
            </w:r>
          </w:p>
        </w:tc>
        <w:tc>
          <w:tcPr>
            <w:tcW w:w="94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170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86"/>
              </w:rPr>
              <w:t>Business Purpose</w:t>
            </w:r>
          </w:p>
        </w:tc>
        <w:tc>
          <w:tcPr>
            <w:tcW w:w="0" w:type="dxa"/>
            <w:vAlign w:val="bottom"/>
          </w:tcPr>
          <w:p>
            <w:pPr>
              <w:spacing w:after="0"/>
              <w:rPr>
                <w:sz w:val="1"/>
                <w:szCs w:val="1"/>
                <w:color w:val="auto"/>
              </w:rPr>
            </w:pPr>
          </w:p>
        </w:tc>
      </w:tr>
      <w:tr>
        <w:trPr>
          <w:trHeight w:val="157"/>
        </w:trPr>
        <w:tc>
          <w:tcPr>
            <w:tcW w:w="2700" w:type="dxa"/>
            <w:vAlign w:val="bottom"/>
            <w:vMerge w:val="continue"/>
          </w:tcPr>
          <w:p>
            <w:pPr>
              <w:spacing w:after="0"/>
              <w:rPr>
                <w:sz w:val="13"/>
                <w:szCs w:val="13"/>
                <w:color w:val="auto"/>
              </w:rPr>
            </w:pPr>
          </w:p>
        </w:tc>
        <w:tc>
          <w:tcPr>
            <w:tcW w:w="3080" w:type="dxa"/>
            <w:vAlign w:val="bottom"/>
          </w:tcPr>
          <w:p>
            <w:pPr>
              <w:jc w:val="center"/>
              <w:ind w:left="1442"/>
              <w:spacing w:after="0" w:line="157" w:lineRule="exact"/>
              <w:rPr>
                <w:sz w:val="20"/>
                <w:szCs w:val="20"/>
                <w:color w:val="auto"/>
              </w:rPr>
            </w:pPr>
            <w:r>
              <w:rPr>
                <w:rFonts w:ascii="Arial" w:cs="Arial" w:eastAsia="Arial" w:hAnsi="Arial"/>
                <w:sz w:val="14"/>
                <w:szCs w:val="14"/>
                <w:b w:val="1"/>
                <w:bCs w:val="1"/>
                <w:color w:val="auto"/>
                <w:w w:val="97"/>
              </w:rPr>
              <w:t>Incorporation</w:t>
            </w:r>
          </w:p>
        </w:tc>
        <w:tc>
          <w:tcPr>
            <w:tcW w:w="940" w:type="dxa"/>
            <w:vAlign w:val="bottom"/>
          </w:tcPr>
          <w:p>
            <w:pPr>
              <w:jc w:val="center"/>
              <w:ind w:left="2"/>
              <w:spacing w:after="0" w:line="157" w:lineRule="exact"/>
              <w:rPr>
                <w:sz w:val="20"/>
                <w:szCs w:val="20"/>
                <w:color w:val="auto"/>
              </w:rPr>
            </w:pPr>
            <w:r>
              <w:rPr>
                <w:rFonts w:ascii="Arial" w:cs="Arial" w:eastAsia="Arial" w:hAnsi="Arial"/>
                <w:sz w:val="14"/>
                <w:szCs w:val="14"/>
                <w:b w:val="1"/>
                <w:bCs w:val="1"/>
                <w:color w:val="auto"/>
                <w:w w:val="98"/>
              </w:rPr>
              <w:t>Held</w:t>
            </w: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0"/>
                <w:szCs w:val="20"/>
                <w:color w:val="auto"/>
              </w:rPr>
            </w:pPr>
            <w:r>
              <w:rPr>
                <w:rFonts w:ascii="Arial" w:cs="Arial" w:eastAsia="Arial" w:hAnsi="Arial"/>
                <w:sz w:val="18"/>
                <w:szCs w:val="18"/>
                <w:color w:val="auto"/>
              </w:rPr>
              <w:t>Infamed Pty Ltd</w:t>
            </w:r>
          </w:p>
        </w:tc>
        <w:tc>
          <w:tcPr>
            <w:tcW w:w="3080" w:type="dxa"/>
            <w:vAlign w:val="bottom"/>
          </w:tcPr>
          <w:p>
            <w:pPr>
              <w:ind w:left="152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700" w:type="dxa"/>
            <w:vAlign w:val="bottom"/>
          </w:tcPr>
          <w:p>
            <w:pPr>
              <w:ind w:left="80"/>
              <w:spacing w:after="0"/>
              <w:rPr>
                <w:sz w:val="20"/>
                <w:szCs w:val="20"/>
                <w:color w:val="auto"/>
              </w:rPr>
            </w:pPr>
            <w:r>
              <w:rPr>
                <w:rFonts w:ascii="Arial" w:cs="Arial" w:eastAsia="Arial" w:hAnsi="Arial"/>
                <w:sz w:val="18"/>
                <w:szCs w:val="18"/>
                <w:color w:val="auto"/>
              </w:rPr>
              <w:t>Inactive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Annual Report also contains forward-looking statements that involve risks and uncertainties, and our results could materially differ from those anticipated in these forward-looking statements. See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included elsewhere within this Annual Report for a discussion of certain risks, uncertainties and assumptions associated with these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248" w:lineRule="exact"/>
        <w:rPr>
          <w:sz w:val="20"/>
          <w:szCs w:val="20"/>
          <w:color w:val="auto"/>
        </w:rPr>
      </w:pPr>
    </w:p>
    <w:p>
      <w:pPr>
        <w:ind w:right="140" w:firstLine="749"/>
        <w:spacing w:after="0" w:line="250" w:lineRule="auto"/>
        <w:rPr>
          <w:sz w:val="20"/>
          <w:szCs w:val="20"/>
          <w:color w:val="auto"/>
        </w:rPr>
      </w:pPr>
      <w:r>
        <w:rPr>
          <w:rFonts w:ascii="Arial" w:cs="Arial" w:eastAsia="Arial" w:hAnsi="Arial"/>
          <w:sz w:val="17"/>
          <w:szCs w:val="17"/>
          <w:color w:val="auto"/>
        </w:rPr>
        <w:t>Although we have begun full scale marketing and sales of our RECELL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in the United States and other jurisdictions, such sales have been limited to date and we have not yet obtained profitability. We had a total net loss of $26.6 million, $42 million, and $25.1 million for our fiscal years ended June 30, 2021, 2020 and 2019, respectively. We have incurred a cumulative deficit of $221.5 million through June 30, 2021. We anticipate that we may continue to incur losses at least until U.S. sales of the RECELL System are adequate to fund operating expenses. We may not be able to successfully achieve or sustain profitability. Successful transition to profitable operations is dependent upon achieving a level of revenues adequate to support our cost structure, including in new markets for which we are not presently approved.</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17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have a contract with BARDA valued currently at $53.4 million related to funding for the development of the RECELL System and future use of the product to assist disaster preparedness and response in the United States for mass casualties involving burn victims. As of June 30, 2021, we had received cumulative payments of $30.9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a randomized, controlled clinical trial in pediatric scald patients. Also included in the BARDA contract is a provision for the future procurement of the RECELL System by BARDA under a vendor-managed inventory system to bolster disaster preparedness which BARDA initiated procurement for in July 2020. As of June 30, 2021, a total of 5,614 RECELL system units have been delivered into the VMI and accepted by BARDA. Any reduction or delay in BARDA funding may force us to seek alternative funding, which may not be available on non-dilutive terms, terms favorable to us or at all, or cease our development programs related to the BARDA contract.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U.S. government contracts, including our contracts with BARDA, may affect our intellectual property rights.</w:t>
      </w:r>
    </w:p>
    <w:p>
      <w:pPr>
        <w:spacing w:after="0" w:line="225"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Certain of our activities have been funded, and may in the future be funded, by the U.S. government, including through our contracts with BARDA. When new technologies are developed with U.S. government funding, the government obtains certain rights in any resulting patents, including the right to a nonexclusive license authorizing the government to use the invention and rights that may permit the government to disclose our confidential information to third parties and to exercise “march-in” rights.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U.S. government funding must be disclosed in any resulting patent applications, and our rights in such inventions may be subject to certain requirements to manufacture products in the United States.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Development and commercialization of our products require successful completion of the regulatory approval process and may suffer delays or fail. We may be unsuccessful in obtaining additional approvals for our RECELL System for the treatment of trauma injuries and skin conditions such as vitiligo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In the United States, as well as other jurisdictions, we have been and will be required to apply for and receive regulatory authorization before we can market our products. Although our RECELL System has been approved for use in the treatment of acute partial-thickness thermal burn wounds in patients 18 years of age and older or application in combination with meshed autografting for acute full-thickness thermal burn wounds in pediatric and adult patients in the United States, we will have to apply for a supplement to our PMA approval to market the product for use in the treatment of trauma injuries and vitiligo. We plan to expand into each of these indications and will need to apply for a supplement to our PMA approval with the FDA in connection with each proposed additional indication. While clinical trials for such uses are presently underway or planned, there can be no assurance that we will be successful in those clinical trials or ever receive approval by the FDA for the use of our RECELL System for such additional applications. Such a failure of approval would have a material negative effect on our future prospects. In Australia, the RECELL System is approved to use for the treatment of burns, acute wounds, scars and repigmentation (vitiligo). In the EU the product has been approved for the treatment of burns, chronic wounds, scars, and vitiligo. We will require additional clinical data or approvals from regulatory authorities within these countries to market the product for the treatment of other indications, and from any other jurisdictions in which we seek to market the product. This process can be time consuming and complicated and may be unsuccessful or otherwise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76"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66"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188"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170" w:lineRule="exact"/>
        <w:rPr>
          <w:sz w:val="20"/>
          <w:szCs w:val="20"/>
          <w:color w:val="auto"/>
        </w:rPr>
      </w:pPr>
    </w:p>
    <w:p>
      <w:pPr>
        <w:ind w:right="180" w:firstLine="749"/>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medical device must be approved for reimbursement before it can be approved for sale in that jurisdiction. In some cases, the price that we intend to charge for our products is also subject to approval.</w:t>
      </w:r>
    </w:p>
    <w:p>
      <w:pPr>
        <w:spacing w:after="0" w:line="1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regulatory approval (“PMA”) in the United States and failure to maintain that approval would materially impact our business and prospects.</w:t>
      </w:r>
    </w:p>
    <w:p>
      <w:pPr>
        <w:spacing w:after="0" w:line="170"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Our business is highly dependent on the PMA we received in September 2018 from the FDA. This PMA allows us to sell our RECELL System in the United States, our current primary market. In addition, maintaining this PMA also increases the probability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approval of secondary indications for the PMA outside of trauma burns.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1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4" w:lineRule="exact"/>
        <w:rPr>
          <w:sz w:val="20"/>
          <w:szCs w:val="20"/>
          <w:color w:val="auto"/>
        </w:rPr>
      </w:pPr>
    </w:p>
    <w:p>
      <w:pPr>
        <w:ind w:right="1660" w:firstLine="749"/>
        <w:spacing w:after="0" w:line="274" w:lineRule="auto"/>
        <w:rPr>
          <w:sz w:val="20"/>
          <w:szCs w:val="20"/>
          <w:color w:val="auto"/>
        </w:rPr>
      </w:pPr>
      <w:r>
        <w:rPr>
          <w:rFonts w:ascii="Arial" w:cs="Arial" w:eastAsia="Arial" w:hAnsi="Arial"/>
          <w:sz w:val="17"/>
          <w:szCs w:val="17"/>
          <w:color w:val="auto"/>
        </w:rPr>
        <w:t>A failure in a clinical study or regulatory application can occur at any stage. Events that may prevent successful or timely commencement, enrollment or completion of clinical development or a regulatory application include:</w:t>
      </w: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9" w:lineRule="exact"/>
        <w:rPr>
          <w:rFonts w:ascii="Arial" w:cs="Arial" w:eastAsia="Arial" w:hAnsi="Arial"/>
          <w:sz w:val="18"/>
          <w:szCs w:val="18"/>
          <w:color w:val="auto"/>
        </w:rPr>
      </w:pPr>
    </w:p>
    <w:p>
      <w:pPr>
        <w:ind w:left="1140" w:right="320" w:hanging="376"/>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9" w:lineRule="exact"/>
        <w:rPr>
          <w:rFonts w:ascii="Arial" w:cs="Arial" w:eastAsia="Arial" w:hAnsi="Arial"/>
          <w:sz w:val="18"/>
          <w:szCs w:val="18"/>
          <w:color w:val="auto"/>
        </w:rPr>
      </w:pPr>
    </w:p>
    <w:p>
      <w:pPr>
        <w:ind w:left="1140" w:right="160" w:hanging="376"/>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perform in accordance with the FDA’s GCP, or applicable regulatory guidelines in other countries;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9" w:lineRule="exact"/>
        <w:rPr>
          <w:rFonts w:ascii="Arial" w:cs="Arial" w:eastAsia="Arial" w:hAnsi="Arial"/>
          <w:sz w:val="18"/>
          <w:szCs w:val="18"/>
          <w:color w:val="auto"/>
        </w:rPr>
      </w:pPr>
    </w:p>
    <w:p>
      <w:pPr>
        <w:ind w:left="1140" w:right="560" w:hanging="376"/>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9" w:lineRule="exact"/>
        <w:rPr>
          <w:rFonts w:ascii="Arial" w:cs="Arial" w:eastAsia="Arial" w:hAnsi="Arial"/>
          <w:sz w:val="18"/>
          <w:szCs w:val="18"/>
          <w:color w:val="auto"/>
        </w:rPr>
      </w:pPr>
    </w:p>
    <w:p>
      <w:pPr>
        <w:ind w:left="1140" w:right="160" w:hanging="376"/>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events, safety issues, product recalls, manufacturing or supply chain interruptions, or poor clinical outcomes where the RECELL System is being used commercially; and</w:t>
      </w: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11"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presently benefit from various reimbursement codes, including the following:</w:t>
      </w:r>
    </w:p>
    <w:p>
      <w:pPr>
        <w:spacing w:after="0" w:line="23" w:lineRule="exact"/>
        <w:rPr>
          <w:sz w:val="20"/>
          <w:szCs w:val="20"/>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Medicare reimburses hospitals for inpatient services using MS-DRGs (Medicare Severity Diagnosis-Related Groups).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Specific ICD-10-PCS code series describing our “cell suspension technique” for the use of the RECELL System.</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Procedural Terminology (“</w:t>
      </w:r>
      <w:r>
        <w:rPr>
          <w:rFonts w:ascii="Arial" w:cs="Arial" w:eastAsia="Arial" w:hAnsi="Arial"/>
          <w:sz w:val="18"/>
          <w:szCs w:val="18"/>
          <w:b w:val="1"/>
          <w:bCs w:val="1"/>
          <w:color w:val="auto"/>
        </w:rPr>
        <w:t>CPT</w:t>
      </w:r>
      <w:r>
        <w:rPr>
          <w:rFonts w:ascii="Arial" w:cs="Arial" w:eastAsia="Arial" w:hAnsi="Arial"/>
          <w:sz w:val="18"/>
          <w:szCs w:val="18"/>
          <w:color w:val="auto"/>
        </w:rPr>
        <w:t>”) for physicians to support reimbursement for physician rendered healthcare services.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There can be no guarantee that the above reimbursement codes will not be withdrawn, reduced, consolidated or otherwise be altered in a manner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is not supportive of ongoing commercial use of the RECELL System. In addition, we are also seeking a Transitional Pass-through Application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TPT</w:t>
      </w:r>
      <w:r>
        <w:rPr>
          <w:rFonts w:ascii="Arial" w:cs="Arial" w:eastAsia="Arial" w:hAnsi="Arial"/>
          <w:sz w:val="16"/>
          <w:szCs w:val="16"/>
          <w:color w:val="auto"/>
        </w:rPr>
        <w:t>”) to support additional Medicare payment in the outpatient and the ambulatory surgical setting, and there can be no guarantee that the TPT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approved, or we will be available in an amount or manner that supports our commercialization efforts.</w:t>
      </w:r>
    </w:p>
    <w:p>
      <w:pPr>
        <w:spacing w:after="0" w:line="2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stockholders or place restrictions on our operations. If additional financing is not available, we may have to postpone, reduce or cease operations.</w:t>
      </w:r>
    </w:p>
    <w:p>
      <w:pPr>
        <w:spacing w:after="0" w:line="184"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stockholders may be reduced, and the market price of our common stock or CDIs could fall due to an increased number of shares or CDIs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191"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We have limited experience in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00"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Baxter International Inc., Hospira (a division of Pfizer), Thermo Fisher Scientific, Lyophilization Services of New England and Becton Dickinson and Company, for production of some of the components used in the RECELL System. If our facility, or the facilities of our third-party contract manufacturers, suffer damage, or a force majeure event, this could materially impact our ability to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23" w:lineRule="exact"/>
        <w:rPr>
          <w:sz w:val="20"/>
          <w:szCs w:val="20"/>
          <w:color w:val="auto"/>
        </w:rPr>
      </w:pPr>
    </w:p>
    <w:p>
      <w:pPr>
        <w:ind w:left="1140" w:right="40" w:hanging="376"/>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ind w:left="1140" w:hanging="376"/>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32" w:lineRule="exact"/>
        <w:rPr>
          <w:rFonts w:ascii="Arial" w:cs="Arial" w:eastAsia="Arial" w:hAnsi="Arial"/>
          <w:sz w:val="16"/>
          <w:szCs w:val="16"/>
          <w:color w:val="auto"/>
        </w:rPr>
      </w:pPr>
    </w:p>
    <w:p>
      <w:pPr>
        <w:ind w:left="1140" w:right="1040" w:hanging="376"/>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9" w:lineRule="exact"/>
        <w:rPr>
          <w:rFonts w:ascii="Arial" w:cs="Arial" w:eastAsia="Arial" w:hAnsi="Arial"/>
          <w:sz w:val="18"/>
          <w:szCs w:val="18"/>
          <w:color w:val="auto"/>
        </w:rPr>
      </w:pPr>
    </w:p>
    <w:p>
      <w:pPr>
        <w:ind w:left="1140" w:right="440" w:hanging="376"/>
        <w:spacing w:after="0" w:line="26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85"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 In addition, we are continually identifying additional third-party manufacturers who could serve if necessary, as replacement manufacturers should the need arise.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180" w:lineRule="exact"/>
        <w:rPr>
          <w:sz w:val="20"/>
          <w:szCs w:val="20"/>
          <w:color w:val="auto"/>
        </w:rPr>
      </w:pPr>
    </w:p>
    <w:p>
      <w:pPr>
        <w:ind w:right="20" w:firstLine="749"/>
        <w:spacing w:after="0" w:line="258" w:lineRule="auto"/>
        <w:rPr>
          <w:sz w:val="20"/>
          <w:szCs w:val="20"/>
          <w:color w:val="auto"/>
        </w:rPr>
      </w:pPr>
      <w:r>
        <w:rPr>
          <w:rFonts w:ascii="Arial" w:cs="Arial" w:eastAsia="Arial" w:hAnsi="Arial"/>
          <w:sz w:val="18"/>
          <w:szCs w:val="18"/>
          <w:color w:val="auto"/>
        </w:rPr>
        <w:t>We rely on clinical research organizations (“</w:t>
      </w:r>
      <w:r>
        <w:rPr>
          <w:rFonts w:ascii="Arial" w:cs="Arial" w:eastAsia="Arial" w:hAnsi="Arial"/>
          <w:sz w:val="18"/>
          <w:szCs w:val="18"/>
          <w:b w:val="1"/>
          <w:bCs w:val="1"/>
          <w:color w:val="auto"/>
        </w:rPr>
        <w:t>CRO</w:t>
      </w:r>
      <w:r>
        <w:rPr>
          <w:rFonts w:ascii="Arial" w:cs="Arial" w:eastAsia="Arial" w:hAnsi="Arial"/>
          <w:sz w:val="18"/>
          <w:szCs w:val="18"/>
          <w:color w:val="auto"/>
        </w:rPr>
        <w:t>”),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18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175"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6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As a result of COVID-19, other pandemics, or inadequate funding, the FDA and other government agencies may have resource constraints which could limit their ability to review and approve our applications in a timely manner, thus negatively impact our business.</w:t>
      </w:r>
    </w:p>
    <w:p>
      <w:pPr>
        <w:spacing w:after="0" w:line="12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FDA’s ability to review and approve regulatory submissions is impacted by staffing levels, funding levels and emergency priorities. The time to review submissions can vary from time to time. If a prolonged delay occurs in the review of any application from the Company, our business could be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237"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cyber security incident could be disruptive to our business, compromise confidential data, cause reputation harm, and subject us to litigation and federal and state governmental inquiries.</w:t>
      </w:r>
    </w:p>
    <w:p>
      <w:pPr>
        <w:spacing w:after="0" w:line="170" w:lineRule="exact"/>
        <w:rPr>
          <w:sz w:val="20"/>
          <w:szCs w:val="20"/>
          <w:color w:val="auto"/>
        </w:rPr>
      </w:pPr>
    </w:p>
    <w:p>
      <w:pPr>
        <w:jc w:val="both"/>
        <w:ind w:right="240" w:firstLine="749"/>
        <w:spacing w:after="0" w:line="263" w:lineRule="auto"/>
        <w:rPr>
          <w:sz w:val="20"/>
          <w:szCs w:val="20"/>
          <w:color w:val="auto"/>
        </w:rPr>
      </w:pPr>
      <w:r>
        <w:rPr>
          <w:rFonts w:ascii="Arial" w:cs="Arial" w:eastAsia="Arial" w:hAnsi="Arial"/>
          <w:sz w:val="18"/>
          <w:szCs w:val="18"/>
          <w:color w:val="auto"/>
        </w:rPr>
        <w:t>We collect and store sensitive business and other information, including intellectual property and trade secrets, on our networks. Our business operations are dependent upon the secure maintenance of this information. Despite our efforts to secure this information, there can be no assurance that cyberattacks and other threats from malicious persons and groups will not cause harm to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disrupt our business and operations. As a result, cyber security and the continued development and enhancement of our controls, processes and practices designed to protect our information systems from attack, damage or unauthorized access remain a priority for us. We may be required to expend significant additional resources to protect against cyber threats. A cyber attack may result in a material adverse effect on our financial position and results of operations and harm our business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information technology systems for critical business functions and the operations of our business.</w:t>
      </w:r>
    </w:p>
    <w:p>
      <w:pPr>
        <w:spacing w:after="0" w:line="225"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We rely upon complex, integrated information technology (IT) systems in our business functions including our quality systems to operate our business. If any of our IT systems were to be disrupted or fail, our business could suffer irreparable harm, financial loss, and our operations would be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burn industry is subject to seasonal sales patterns and other variations which impact our revenue and operating cash flows.</w:t>
      </w:r>
    </w:p>
    <w:p>
      <w:pPr>
        <w:spacing w:after="0" w:line="225"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In the past, the burn industry has been characterized by a high degree of seasonality. Typically, relatively high levels of burn incidences have been realized in the summer months and low levels of burn incidences have been realized in the early winter months. As a result, a significantly higher percentage of our annual revenues have historically been recognized in the third quarter and the lowest percentage of annual revenues in the first quarter of a given calendar year. The seasonality of burn related cases, exacerbated by COVID-19 influences, impact our revenues, thus making it difficult accurately predict future revenues and may prevent us from achieving our quarterly or annual forecasts or meeting or exceeding the expectations of research analysts or investors, which in turn may cause our stock price to decline.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highly competitive and innovative. Our competitors may develop products that render our products less attractive or obsolete and our business may deteriorate.</w:t>
      </w:r>
    </w:p>
    <w:p>
      <w:pPr>
        <w:spacing w:after="0" w:line="170"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The markets for our products are highly competitive and our competitors may develop products that may more effectively compete with our products, thus negatively impacting our sales, financial conditions and business prospects. Our competitors may have significantly more financial and other resources to invest in product development. We must continue to develop and market new products, or we risk our products becoming obsolete, in which case, our revenues may decline, and our business prospects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is an expensive, uncertain and lengthy process.</w:t>
      </w:r>
    </w:p>
    <w:p>
      <w:pPr>
        <w:spacing w:after="0" w:line="225"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We have significant product development projects ongoing that, if successful, are intended to improve the ease and use of our device in our current burn indication as well as planned future indications in soft tissue reconstruction, vitiligo and otherwise. The costs, timeline and ultimate success of these product development programs are subject to risk and uncertainty. If the Company is not able to develop and obtain regulatory approval for these products in development in a timely fashion and within budget, our business prospects and financial condition may suffer.</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Compliance with environmental, health and safety requirements is costly and, if not achieved, could result in material financial fines and penalties, expensive lawsuits, cessation of business operations, and a material adverse impact on the business.</w:t>
      </w:r>
    </w:p>
    <w:p>
      <w:pPr>
        <w:spacing w:after="0" w:line="17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Our manufacturing and other processes may involve the use of hazardous materials subject to federal, state, and local and foreign environmental requirements. Under some environmental laws and regulations, we could be held responsible for costs at third-party sites that we have used for waste disposal, or for contamination at our past or present facilities. Failure to comply with current environment laws, or future laws, could result in significant fines, penalties and expenses which could have an adverse impact on our financial condition.</w:t>
      </w:r>
    </w:p>
    <w:p>
      <w:pPr>
        <w:spacing w:after="0" w:line="18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b w:val="1"/>
          <w:bCs w:val="1"/>
          <w:i w:val="1"/>
          <w:iCs w:val="1"/>
          <w:color w:val="auto"/>
        </w:rPr>
        <w:t>Our future targeted indications would require us to obtain a Biologics License Application (“BLA”) for cell and gene therapy approval by the FDA (as opposed to PMA approval for a device). BLA’s are subject to greater FDA scrutiny, as well as significantly more time and expense than a PMA. If we are unable to obtain FDA approval for future BLAs, our future financial condition, prospects and results would be adversely impacted.</w:t>
      </w:r>
    </w:p>
    <w:p>
      <w:pPr>
        <w:spacing w:after="0" w:line="14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FDA requires a BLA for future cell and other biologic therapy candidates. The BLA is a request for permission to deliver or introduce a biologic product into interstate commerce in the U.S. The FDA undertakes a detailed and rigorous review of BLA candidates including pre-approval inspections of manufacturing facilities as well as pre and post approval clinical trials. If these commitments are not met, the FDA can withdraw the product from the market.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civil and criminal penalties if the FDA determines that we have marketed or promoted our products for off-label usage.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are prohibited from promoting our products for uses that are inconsistent with the uses that have been approved by the FDA - also known as “off-label” uses. More specifically, we may not make claims, in our promotion materials, website or otherwise, about the use of any RECELL products which are outside of their approved labeling and indications. If the FDA determines that our marketing activities constitute off-label promotion, the FDA could impose fines and penalties on the Company and our executives, withdraw or recall our approved product from the market, as well as limit our product from off-label usage.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24"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84"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23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170" w:lineRule="exact"/>
        <w:rPr>
          <w:sz w:val="20"/>
          <w:szCs w:val="20"/>
          <w:color w:val="auto"/>
        </w:rPr>
      </w:pPr>
    </w:p>
    <w:p>
      <w:pPr>
        <w:ind w:right="120" w:firstLine="749"/>
        <w:spacing w:after="0" w:line="284" w:lineRule="auto"/>
        <w:rPr>
          <w:sz w:val="20"/>
          <w:szCs w:val="20"/>
          <w:color w:val="auto"/>
        </w:rPr>
      </w:pPr>
      <w:r>
        <w:rPr>
          <w:rFonts w:ascii="Arial" w:cs="Arial" w:eastAsia="Arial" w:hAnsi="Arial"/>
          <w:sz w:val="16"/>
          <w:szCs w:val="16"/>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therefore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In particular, we filed a patent Term Extension application with the U.S. Patent and Trademark Office requesting an extension of our commercial patent that covers the RECELL System, U.S. Patent No. 9,029,140. If the term extension is approved, the patent term will be extended to April 9, 2024. Without such approval, our RECELL System patent will expire in 2022 which could prevent us from defending our patent in the event a competitor infringes on our RECELL System by producing the same type of</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product. Furthermore, the patent protections we have been granted may not be broad enough to prevent competitors from producing products similar to ours. In addition, the laws of various foreign countries in which we may compete, such as China, may not protect our intellectual property to the same extent as do the laws of the United States. If we fail to obtain adequate patent protection for our proprietary technology, our ability to be commercially competitive will be materially impaired.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80" w:firstLine="749"/>
        <w:spacing w:after="0" w:line="301" w:lineRule="auto"/>
        <w:rPr>
          <w:sz w:val="20"/>
          <w:szCs w:val="20"/>
          <w:color w:val="auto"/>
        </w:rPr>
      </w:pPr>
      <w:r>
        <w:rPr>
          <w:rFonts w:ascii="Arial" w:cs="Arial" w:eastAsia="Arial" w:hAnsi="Arial"/>
          <w:sz w:val="16"/>
          <w:szCs w:val="16"/>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225"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184"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United States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70"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and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19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24"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 parties alleging we infringe their intellectual property rights could harm our business and operating results as well as our reputation.</w:t>
      </w:r>
    </w:p>
    <w:p>
      <w:pPr>
        <w:spacing w:after="0" w:line="17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current and future relationships with investigators, health care professionals, consultants, third-party payors, and customers will be subject to applicable healthcare regulatory laws, which could expose us to penalties.</w:t>
      </w:r>
    </w:p>
    <w:p>
      <w:pPr>
        <w:spacing w:after="0" w:line="170"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laws regulate the business or financial arrangements and relationships through which we conduct our operations, including how we research, market, sell and distribute our products for which we obtain marketing approval. Such laws include:</w:t>
      </w:r>
    </w:p>
    <w:p>
      <w:pPr>
        <w:spacing w:after="0" w:line="1" w:lineRule="exact"/>
        <w:rPr>
          <w:sz w:val="20"/>
          <w:szCs w:val="20"/>
          <w:color w:val="auto"/>
        </w:rPr>
      </w:pPr>
    </w:p>
    <w:p>
      <w:pPr>
        <w:ind w:left="74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2" w:lineRule="exact"/>
        <w:rPr>
          <w:rFonts w:ascii="Arial" w:cs="Arial" w:eastAsia="Arial" w:hAnsi="Arial"/>
          <w:sz w:val="18"/>
          <w:szCs w:val="18"/>
          <w:color w:val="auto"/>
        </w:rPr>
      </w:pPr>
    </w:p>
    <w:p>
      <w:pPr>
        <w:ind w:left="740" w:right="32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 w:lineRule="exact"/>
        <w:rPr>
          <w:rFonts w:ascii="Arial" w:cs="Arial" w:eastAsia="Arial" w:hAnsi="Arial"/>
          <w:sz w:val="18"/>
          <w:szCs w:val="18"/>
          <w:color w:val="auto"/>
        </w:rPr>
      </w:pPr>
    </w:p>
    <w:p>
      <w:pPr>
        <w:ind w:left="740" w:hanging="368"/>
        <w:spacing w:after="0" w:line="281"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on health plans, health care clearing houses, and certain health care providers, known as covered entities, and their business associates, defined as independent contractors or agents of covered entities that create, receive or obtain protected health information in connection with providing a service for or on behalf of a covered entity as well as their covered subcontractors;</w:t>
      </w:r>
    </w:p>
    <w:p>
      <w:pPr>
        <w:spacing w:after="0" w:line="2" w:lineRule="exact"/>
        <w:rPr>
          <w:rFonts w:ascii="Arial" w:cs="Arial" w:eastAsia="Arial" w:hAnsi="Arial"/>
          <w:sz w:val="16"/>
          <w:szCs w:val="16"/>
          <w:color w:val="auto"/>
        </w:rPr>
      </w:pPr>
    </w:p>
    <w:p>
      <w:pPr>
        <w:ind w:left="740" w:right="8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number of federal, state and foreign laws, regulations, guidance and standards that impose requirements regarding the protection of health data that are applicable to or affect our operations;</w:t>
      </w:r>
    </w:p>
    <w:p>
      <w:pPr>
        <w:ind w:left="740" w:right="40" w:hanging="368"/>
        <w:spacing w:after="0" w:line="265"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Beginning in 2022, applicable manufacturers also will be required to report such information regarding their relationships with physician assistants, nurse practitioners, clinical nurse specialists, certified registered nurse anesthetists and certified nurse midwives during the previous year; and</w:t>
      </w:r>
    </w:p>
    <w:p>
      <w:pPr>
        <w:spacing w:after="0" w:line="1" w:lineRule="exact"/>
        <w:rPr>
          <w:rFonts w:ascii="Arial" w:cs="Arial" w:eastAsia="Arial" w:hAnsi="Arial"/>
          <w:sz w:val="17"/>
          <w:szCs w:val="17"/>
          <w:color w:val="auto"/>
        </w:rPr>
      </w:pPr>
    </w:p>
    <w:p>
      <w:pPr>
        <w:ind w:left="740" w:right="240" w:hanging="368"/>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and state laws that require medical device companies to comply with the industry’s voluntary compliance guidelines and the relevant compliance guidance promulgated by the federal government; state laws that require medical device manufacturers to report information related to payments and other transfers of value to physicians and other healthcare providers, marketing expenditures or drug pricing, as well as state and local laws that require the registration of sales representatives; and state and foreign laws governing the privacy and security of health information in some circumstances, many of which differ from each other in significant ways and often are not preempted by HIPAA, thus complicating compliance efforts.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225"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Health Care Reform Law, was passed, which substantially changed the way health care is financed by both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governmental and private insurers, and significantly impacts the U.S. healthcare industry. The Health Care Reform Law, among other things, (i) subjects biologic products to potential competition by lower-cost biosimilars, (ii) 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92"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Social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results of operations and financial condition may be adversely impacted by the COVID-19 pandemic.</w:t>
      </w:r>
    </w:p>
    <w:p>
      <w:pPr>
        <w:spacing w:after="0" w:line="225" w:lineRule="exact"/>
        <w:rPr>
          <w:sz w:val="20"/>
          <w:szCs w:val="20"/>
          <w:color w:val="auto"/>
        </w:rPr>
      </w:pPr>
    </w:p>
    <w:p>
      <w:pPr>
        <w:ind w:right="120" w:firstLine="749"/>
        <w:spacing w:after="0" w:line="253" w:lineRule="auto"/>
        <w:rPr>
          <w:sz w:val="20"/>
          <w:szCs w:val="20"/>
          <w:color w:val="auto"/>
        </w:rPr>
      </w:pPr>
      <w:r>
        <w:rPr>
          <w:rFonts w:ascii="Arial" w:cs="Arial" w:eastAsia="Arial" w:hAnsi="Arial"/>
          <w:sz w:val="18"/>
          <w:szCs w:val="18"/>
          <w:color w:val="auto"/>
        </w:rPr>
        <w:t>The COVID-19 pandemic has negatively affected the U.S. and global economies, disrupted global supply chains, resulted in significant travel and transport restrictions, and created significant disruption of the financial markets. We are closely monitoring the impact of the COVID-19 pandemic on all aspects of our business, including how it is impacting our employees, product development, customers and supply chain. We are unable to predict the ultimate impact that the COVID-19 pandemic may have on our business, future results of operations, financial position or cash flows. The extent to which our operations may be impacted by the COVID-19 pandemic and recovery will depend largely on future developments, which are highly uncertain and cannot be accurately predicted.</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may experience additional operating costs due to increased challenges with our workforce (including as a result of illness, absenteeism or government orders), access to supplies, capital, and fundamental support services (such as shipping and transportation). Even after the COVID-19 pandemic has subsided, we may experience materially adverse impacts to our business due to any resulting supply chain disruptions, economic recession or depression. Furthermore, the impacts of potential worsening of global economic conditions, inflation resulting from government interventions and stimulus, and continued disruptions to and volatility in the financial markets remain unknown.</w:t>
      </w:r>
    </w:p>
    <w:p>
      <w:pPr>
        <w:spacing w:after="0" w:line="191"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impact of the COVID-19 pandemic may also exacerbate other risks discussed in this section, any of which could have a material adverse effect on us. This situation is changing rapidly, and additional impacts may arise that we are not aware of currently.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Adverse changes in general economic conditions or uncertainty about future economic conditions, including economic uncertainty from the current pandemic, could adversely affect us.</w:t>
      </w:r>
    </w:p>
    <w:p>
      <w:pPr>
        <w:spacing w:after="0" w:line="170"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We are subject to the risks arising from adverse changes in general economic market conditions, including the negative impact to the U.S. and global economy from the COVID-19 pandemic. Uncertainty about future economic conditions could negatively affect our current and prospective customers causing them to delay the purchase of our products. Poor economic conditions could harm our business, financial condition, operating results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significantly disrupt our workforce and internal operations.</w:t>
      </w:r>
    </w:p>
    <w:p>
      <w:pPr>
        <w:spacing w:after="0" w:line="225"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COVID-19 pandemic may significantly disrupt our workforce if a significant percentage of our employees are unable to work due to illness, quarantines, government actions, facility closures in response to the pandemic, fear of acquiring COVID-19 while performing essential business functions, or as a result of changes to unemployment insurance where unemployed workers can receive, in the short-term, benefits in excess of what would be offered for working for us. As part of our response to the pandemic, during the course of fiscal year 2021, we instituted remote work schedule for employees at the Valencia location, mandatory masks and gloves and social distancing for employees at the Ventura location and no outside visitors were allowed unless due to a scheduled or unscheduled audit or regulatory inspection, in which case such third parties were required to wear masks and gloves and maintain social distancing. While we believe these changes have adequately addressed our business needs, we cannot guarantee that we will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able to continue to adequately staff our operations when needed. We cannot predict the extent to which the COVID-19 pandemic may disrupt our workforce and internal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certain precautions due to the COVID-19 pandemic that could negatively impact our business.</w:t>
      </w:r>
    </w:p>
    <w:p>
      <w:pPr>
        <w:spacing w:after="0" w:line="225"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In response to the COVID-19 pandemic, we have taken measures intended to protect the health and well-being of our employees, customers, and communities, which could negatively impact our business. These measures include temporarily requiring all non-essential employees (personnel whose roles allow) to work remotely, restricting work-related travel except for direct onsite service to our customers, restricting non-essential visitors from entering our sites, increasing the frequency and extent of cleaning and disinfecting facilities, workstations, and equipment and developing social distancing plans. The health of our workforce, customers and communities is of primary concern and we may take further actions as may be required by government authorities or as we determine are in the best interests of our employees, customers and others. In addition, our management team has, and will likely continue to, spend significant time, attention and resources monitoring the COVID-19 pandemic and seeking to manage its effects on our business and workforce. The extent to which the pandemic and our precautionary measures may impact our business will depend on future developments, which are highly uncertain and cannot be predicted at this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CDIs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have never paid a dividend on our common stock and CDIs and do not intend to do so in the foreseeable future, and consequently, investors’ only opportunity to realize a return on their investment in the Company is through the appreciation in the price of our common stock and CDIs.</w:t>
      </w:r>
    </w:p>
    <w:p>
      <w:pPr>
        <w:spacing w:after="0" w:line="124"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We do not anticipate paying cash dividends on our common stock and CDIs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stockholders because of limitations imposed by a lack of liquidity. Accordingly, our stockholders may have to sell some or all of their common stock or CDIs (as applicable) in order to generate cash flow from their investment. Our stockholders may not receive a gain on their investment when they sell their common stock or CDIs and may lose some or all of their investment. Any determination to pay dividends in the future on our common stock and CDIs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As long as we remain subject to the rules of the ASX and of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p>
      <w:pPr>
        <w:spacing w:after="0" w:line="165"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Our ability to access equity capital is currently limited by ASX Listing Rule 7.1, which provides that a company must not, subject to specified exceptions, issue or agree to issue during any consecutive 12-month period any equity securities, or other securities with rights to conversion to equity, if the number of those securities in aggregate would exceed 15% of the number of ordinary securities on issue at the commencement of that 12-month period unless shareholder approval is obtained.</w:t>
      </w:r>
    </w:p>
    <w:p>
      <w:pPr>
        <w:spacing w:after="0" w:line="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Our equity issuances will be limited by ASX Listing Rule 7.1 so long as we continue to be listed on the ASX and this constraint may prevent us from raising the full amount of equity capital needed for operations without prior shareholder approval.</w:t>
      </w:r>
    </w:p>
    <w:p>
      <w:pPr>
        <w:spacing w:after="0" w:line="18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In addition to ASX Listing Rule 7.1, we are also subject to NASDAQ Listing Rule 5635(d), commonly referred to as the NASDAQ 20% Rule, which requires shareholder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the Company would be subject to delisting from NASDAQ and share prices and trading volumes would likely suffer.</w:t>
      </w:r>
    </w:p>
    <w:p>
      <w:pPr>
        <w:spacing w:after="0" w:line="1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There has been relatively limited trading volume in the markets for our common stock and CDIs, and more active, liquid trading markets for such securities may never develop.</w:t>
      </w:r>
    </w:p>
    <w:p>
      <w:pPr>
        <w:spacing w:after="0" w:line="170"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ability to sell its shares of our common stock or our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w:t>
      </w:r>
    </w:p>
    <w:p>
      <w:pPr>
        <w:spacing w:after="0" w:line="1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and CDIs may be volatile and may be affected by variability in our performance from period to period and economic conditions beyond management’s control.</w:t>
      </w:r>
    </w:p>
    <w:p>
      <w:pPr>
        <w:spacing w:after="0" w:line="170"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177" w:lineRule="exact"/>
        <w:rPr>
          <w:sz w:val="20"/>
          <w:szCs w:val="20"/>
          <w:color w:val="auto"/>
        </w:rPr>
      </w:pPr>
    </w:p>
    <w:p>
      <w:pPr>
        <w:ind w:right="280" w:firstLine="749"/>
        <w:spacing w:after="0" w:line="258" w:lineRule="auto"/>
        <w:rPr>
          <w:sz w:val="20"/>
          <w:szCs w:val="20"/>
          <w:color w:val="auto"/>
        </w:rPr>
      </w:pPr>
      <w:r>
        <w:rPr>
          <w:rFonts w:ascii="Arial" w:cs="Arial" w:eastAsia="Arial" w:hAnsi="Arial"/>
          <w:sz w:val="18"/>
          <w:szCs w:val="18"/>
          <w:color w:val="auto"/>
        </w:rPr>
        <w:t>Some specific factors that could negatively affect the price of our common stock and CDIs or result in fluctuations in their price and trading volume include:</w:t>
      </w:r>
    </w:p>
    <w:p>
      <w:pPr>
        <w:spacing w:after="0" w:line="1" w:lineRule="exact"/>
        <w:rPr>
          <w:sz w:val="20"/>
          <w:szCs w:val="20"/>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32" w:lineRule="exact"/>
        <w:rPr>
          <w:rFonts w:ascii="Arial" w:cs="Arial" w:eastAsia="Arial" w:hAnsi="Arial"/>
          <w:sz w:val="16"/>
          <w:szCs w:val="16"/>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investigations or audits by regulators into the operations of our company;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proceedings initiated by our competitors or clients;</w:t>
      </w:r>
    </w:p>
    <w:p>
      <w:pPr>
        <w:spacing w:after="0" w:line="9" w:lineRule="exact"/>
        <w:rPr>
          <w:rFonts w:ascii="Arial" w:cs="Arial" w:eastAsia="Arial" w:hAnsi="Arial"/>
          <w:sz w:val="18"/>
          <w:szCs w:val="18"/>
          <w:color w:val="auto"/>
        </w:rPr>
      </w:pPr>
    </w:p>
    <w:p>
      <w:pPr>
        <w:ind w:left="1140" w:hanging="376"/>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ind w:left="1140" w:hanging="376"/>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sales or perceived potential sales of the common stock or CDIs by us, our directors, senior management or our stockholders in the future;</w:t>
      </w:r>
    </w:p>
    <w:p>
      <w:pPr>
        <w:spacing w:after="0" w:line="32" w:lineRule="exact"/>
        <w:rPr>
          <w:rFonts w:ascii="Arial" w:cs="Arial" w:eastAsia="Arial" w:hAnsi="Arial"/>
          <w:sz w:val="16"/>
          <w:szCs w:val="16"/>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and social effects of the COVID-19 virus or other pandemics;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 and</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in the United States may strain our resources and divert management’s attention.</w:t>
      </w:r>
    </w:p>
    <w:p>
      <w:pPr>
        <w:spacing w:after="0" w:line="221"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As a public company, we are subject to the reporting requirements of the Exchange Act, the U.S.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the Dodd-Frank Act and the listing standards and the rules and regulations of NASDAQ. We are also subject to the reporting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ASX Listing Rules due to the listing of our CDIs on ASX. We expect that the requirements of these rules and regulations will increase our legal, accounting and financial compliance costs, make some activities more difficult, time consuming and costly, and place significant strain on our personnel, systems and resources. As a result of our disclosure of information in filings required of a public company, our business and financial condition will become more visible,</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which may result in threatened or actual litigation, including by competitors, stockholders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w:t>
      </w:r>
      <w:r>
        <w:rPr>
          <w:rFonts w:ascii="Arial" w:cs="Arial" w:eastAsia="Arial" w:hAnsi="Arial"/>
          <w:sz w:val="17"/>
          <w:szCs w:val="17"/>
          <w:b w:val="1"/>
          <w:bCs w:val="1"/>
          <w:color w:val="auto"/>
        </w:rPr>
        <w:t>JOBS Act</w:t>
      </w:r>
      <w:r>
        <w:rPr>
          <w:rFonts w:ascii="Arial" w:cs="Arial" w:eastAsia="Arial" w:hAnsi="Arial"/>
          <w:sz w:val="17"/>
          <w:szCs w:val="17"/>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Accordingly, the information contained herein and in other reports we file with the SEC may be different than the information our investors receive from other public companies in which they hold stock.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and CDIs less attractive as a result, which may result in a less active trading market for our common stock and CDIs and higher volatility in our stock and CDI price.</w:t>
      </w:r>
    </w:p>
    <w:p>
      <w:pPr>
        <w:spacing w:after="0" w:line="180"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date of the first sale of our common stock pursuant to an effective registration statement under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ind w:right="160" w:firstLine="8"/>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 of at least $1.07 billion, (iii) the last day of the fiscal year in which we are deemed to be a “large accelerated filer” as defined in Rule 12b-2 under the Exchange Act, or (iv) the date on which we have issued more than $1.0 billion in non-convertible debt securities during the prior three-year period.</w:t>
      </w: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common stock or CDIs it could adversely affect our share price and trading volume.</w:t>
      </w:r>
    </w:p>
    <w:p>
      <w:pPr>
        <w:spacing w:after="0" w:line="17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The trading market for our common stock and CDIs depends, in part, on the research and reports that research analysts publish about us and our business and industry. If one or more research analysts downgrade our shares or CDIs, publish unfavorable commentary about the Company or cease publishing reports about us or our business, the price of our common stock and CDIs could decline. If one or more of the research analysts ceases coverage of our company or fails to publish reports on us regularly, demand for our common stock and CDIs could decrease, which could cause our share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225"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3" w:lineRule="exact"/>
        <w:rPr>
          <w:sz w:val="20"/>
          <w:szCs w:val="20"/>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trauma injuries and vitiligo;</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170"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FCPA and other anti-corruption laws that apply in countries where we do business.</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principal corporate office is located at 28159 Avenue Stanford, Suite 220, Valencia, California 91355. We lease the 17,500 square foot facility under on lease agreement that, as amended, expires on July 31, 2022. Our production plant in Ventura, California, is a 27,480 square foot facility that we lease through September 30, 2024 with the right to extend the lease, at our sole option, as a result of two, three-year, options that allow us to extend the lease up to an additional six years in total. We do not own any real property. We believe that leased facilities are adequate to meet current needs and that additional facilities will, if required, be available for lease to meet future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We are not currently involved in any significant legal, arbitration or governmental proceedings. From time to time, as an operating business, we are involved in disputes (both formal and informal) with customer, manufacturing partners and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AVITA Medical, the former parent company of the AVITA Group, began as a laboratory spin-off in the Australian State of Western Australia. AVITA Medical was formed under the laws of the Commonwealth of Australia in December 1992 and has operated as AVITA Medical since 2008. AVITA Medical’s ordinary shares originally began trading in Australia on the ASX on August 9, 1993. AVITA Medical’s ADSs traded over the counter on the OTCQX under the ticker symbol “AVMXY” from May 14, 2012 through September 30, 2019 and its ADSs began trading on the NASDAQ on October 1, 2019, under the ticker symbol “RCEL”.</w:t>
      </w:r>
    </w:p>
    <w:p>
      <w:pPr>
        <w:spacing w:after="0" w:line="188"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Since completion of the Redomiciliation on June 29, 2020, the Company’s common stock has been quoted on NASDAQ under the ticker symbol “RCEL” and the Company’s CDIs have been quoted on the ASX under the ticker code “AVH”. One share of common stock on NASDAQ is equivalent to five CDIs on the ASX.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As of July 31, 2021, the Company had approximately 26,473 unique stockholders of record of our common stock (which includes CHESS Depositary Nominees Pty Ltd, who holds all of the outstanding common stock underlying the CDIs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have never paid cash dividends to our stockholders or, prior to the Redomiciliation, to the holders of ordinary shares in AVITA Medical. We intend to retain future earnings for use in our business and do not anticipate paying cash dividends on our common stock and CDIs in the foreseeable future. Any future dividend policy will be determined by our board of directors and will be based upon various factors, including our results of operations, financial condition, current and anticipated cash needs, future prospects, contractual restrictions and other factors as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On March 1, 2021, the Company issued 3,214,250 shares of common stock at the offering price of $21.50 per share. The gross proceeds from the offering are approximately $69.1 million. The Company incurred $5.1 million in capital issuance expenses. The offering was made pursuant to a shelf registration statement on Form S-3 (File No. 333-249419) that was previously filed with the SEC on October 9, 2020 and declared effective on October 16, 2020 and that was also publicly released on the ASX (the “Registration Statement”). The final prospectus supplement relating to and describing the terms of the offering was filed with the SEC on February 25, 2021 (in the United States) and released on the ASX on March 1, 2021 (in Australia). There has been no material change in the planned use of proceeds from this offering as described in the Registration Statement. We invested the funds in short-term, interest-bearing investment-grade securities and government securities. As of June 30, 2021, we have not used any of the net proceeds from the offering. None of the offering proceeds were paid directly or indirectly to any of our directors or officers (or their associates) or persons owning 10.0% or more of any class of our equity securities or to any other affiliates.</w:t>
      </w:r>
    </w:p>
    <w:p>
      <w:pPr>
        <w:spacing w:after="0" w:line="181" w:lineRule="exact"/>
        <w:rPr>
          <w:sz w:val="20"/>
          <w:szCs w:val="20"/>
          <w:color w:val="auto"/>
        </w:rPr>
      </w:pPr>
    </w:p>
    <w:p>
      <w:pPr>
        <w:ind w:right="220" w:firstLine="749"/>
        <w:spacing w:after="0" w:line="296" w:lineRule="auto"/>
        <w:rPr>
          <w:sz w:val="20"/>
          <w:szCs w:val="20"/>
          <w:color w:val="auto"/>
        </w:rPr>
      </w:pPr>
      <w:r>
        <w:rPr>
          <w:rFonts w:ascii="Arial" w:cs="Arial" w:eastAsia="Arial" w:hAnsi="Arial"/>
          <w:sz w:val="16"/>
          <w:szCs w:val="16"/>
          <w:color w:val="auto"/>
        </w:rPr>
        <w:t>During the year ended June 30, 2020, we completed an institutional placement to raise $81.7 million (through our former parent company, AVITA Medical). We sold the equivalent of 2,033,898 shares at an issue price of $40.17 per share for total net proceeds of $76.6 million, after deducting commission and offering expenses. In addition, an aggregate of the equivalent of 15,853 shares were issued to our directors in lieu of their director fees during the year ended June 30, 2020 under the Director Share Plan that was approved by shareholders in December 2017. Each transaction was exempt from the registration requirements of the Securities Act as a transaction not involving a public offering pursuant to Section 4(2) of the Securities Act.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4"/>
              </w:rPr>
              <w:t>Year Ended June 30,</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bottom w:val="single" w:sz="8" w:color="CFF0FC"/>
            </w:tcBorders>
            <w:vMerge w:val="continue"/>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Cost of sales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(2,973)</w:t>
            </w:r>
          </w:p>
        </w:tc>
        <w:tc>
          <w:tcPr>
            <w:tcW w:w="3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23,283</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BARDA income</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3,926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Sales and marketing expenses </w:t>
            </w:r>
            <w:r>
              <w:rPr>
                <w:rFonts w:ascii="Arial" w:cs="Arial" w:eastAsia="Arial" w:hAnsi="Arial"/>
                <w:sz w:val="21"/>
                <w:szCs w:val="21"/>
                <w:color w:val="auto"/>
                <w:vertAlign w:val="superscript"/>
              </w:rPr>
              <w:t>(1)</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(14,660)</w:t>
            </w:r>
          </w:p>
        </w:tc>
        <w:tc>
          <w:tcPr>
            <w:tcW w:w="1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(15,706)</w:t>
            </w:r>
          </w:p>
        </w:tc>
        <w:tc>
          <w:tcPr>
            <w:tcW w:w="3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ind w:left="240"/>
              <w:spacing w:after="0" w:line="230"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26"/>
                <w:szCs w:val="26"/>
                <w:color w:val="auto"/>
                <w:vertAlign w:val="superscript"/>
              </w:rPr>
              <w:t>(1)</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(22,400)</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(33,025)</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(15,099)</w:t>
            </w: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line="230"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6"/>
                <w:szCs w:val="26"/>
                <w:color w:val="auto"/>
                <w:vertAlign w:val="superscript"/>
              </w:rPr>
              <w:t>(1)</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(14,818)</w:t>
            </w:r>
          </w:p>
        </w:tc>
        <w:tc>
          <w:tcPr>
            <w:tcW w:w="1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(9,164)</w:t>
            </w:r>
          </w:p>
        </w:tc>
        <w:tc>
          <w:tcPr>
            <w:tcW w:w="3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(51,878)</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(57,895)</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(35,652)</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Operating loss</w:t>
            </w:r>
          </w:p>
        </w:tc>
        <w:tc>
          <w:tcPr>
            <w:tcW w:w="7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(26,540)</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(42,679)</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7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12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1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22,674,313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20,290,966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16,064,588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22,674,313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20,290,966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16,064,588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 to Note 2 for information about a reclassification of share-based compensation expense for the 2020 and 2019 comparative period.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Year Ended June 30,</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7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left="39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70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110,746</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73,639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current assets</w:t>
            </w: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121,330</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78,387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125,501</w:t>
            </w: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82,462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7,390</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2,456</w:t>
            </w: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Equity</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115,655</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72,401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20" w:type="dxa"/>
            <w:vAlign w:val="bottom"/>
          </w:tcPr>
          <w:p>
            <w:pPr>
              <w:jc w:val="right"/>
              <w:ind w:right="127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CONDITIONS AND RESULTS OF OPERATIONS</w:t>
      </w:r>
    </w:p>
    <w:p>
      <w:pPr>
        <w:spacing w:after="0" w:line="121"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for the years ended June 30, 2021 and 2020, should be read in conjunction with our consolidated financial statements and related notes included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Pr>
          <w:p>
            <w:pPr>
              <w:spacing w:after="0"/>
              <w:rPr>
                <w:sz w:val="16"/>
                <w:szCs w:val="16"/>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tcPr>
          <w:p>
            <w:pPr>
              <w:spacing w:after="0"/>
              <w:rPr>
                <w:sz w:val="3"/>
                <w:szCs w:val="3"/>
                <w:color w:val="auto"/>
              </w:rPr>
            </w:pPr>
          </w:p>
        </w:tc>
        <w:tc>
          <w:tcPr>
            <w:tcW w:w="224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12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(5,949)</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(2,973)</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(2,976)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BARDA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(14,660)</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(15,706)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(22,400)</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(33,025)</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120" w:type="dxa"/>
            <w:vAlign w:val="bottom"/>
          </w:tcPr>
          <w:p>
            <w:pPr>
              <w:ind w:left="4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(14,818)</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(5,654)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16,139</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(669)</w:t>
            </w: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June 30, 2021, compared to Year Ended June 30, 2020</w:t>
      </w:r>
    </w:p>
    <w:p>
      <w:pPr>
        <w:spacing w:after="0" w:line="121" w:lineRule="exact"/>
        <w:rPr>
          <w:sz w:val="20"/>
          <w:szCs w:val="20"/>
          <w:color w:val="auto"/>
        </w:rPr>
      </w:pPr>
    </w:p>
    <w:p>
      <w:pPr>
        <w:ind w:right="360" w:firstLine="749"/>
        <w:spacing w:after="0" w:line="287" w:lineRule="auto"/>
        <w:rPr>
          <w:sz w:val="20"/>
          <w:szCs w:val="20"/>
          <w:color w:val="auto"/>
        </w:rPr>
      </w:pPr>
      <w:r>
        <w:rPr>
          <w:rFonts w:ascii="Arial" w:cs="Arial" w:eastAsia="Arial" w:hAnsi="Arial"/>
          <w:sz w:val="16"/>
          <w:szCs w:val="16"/>
          <w:color w:val="auto"/>
        </w:rPr>
        <w:t>Total net revenue increased 105% to $29.2 million, compared to $14.3 million in the corresponding period in the prior year. RECELL® commercial revenues were $21.5 million, while RECELL revenues associated U.S. Department of Health and Human Services’ Biomedical Advanced Research and Development Authority within the Office of the Assistant Secretary for Preparedness and Response (“BARDA”) were $7.7</w:t>
      </w:r>
    </w:p>
    <w:p>
      <w:pPr>
        <w:spacing w:after="0" w:line="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million. Revenues associated with BARDA were attributable to the purchase of RECELL units for emergency preparedness by BARDA. RECELL commercial revenues, increased 50% or $7.2 million.</w:t>
      </w:r>
    </w:p>
    <w:p>
      <w:pPr>
        <w:spacing w:after="0" w:line="185"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Gross profit margin was 80% compared with 79% in the same period in the prior year, driven largely by lower shipping costs and increased production along with the extension of our shelf-life.</w:t>
      </w:r>
    </w:p>
    <w:p>
      <w:pPr>
        <w:spacing w:after="0" w:line="170"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BARDA income consisted of funding from BARDA, under the Assistant Secretary for Preparedness and Response, within the U.S. Department of Health and Human Services, under ongoing USG Contract No. HHSO100201500028C. Under the BARDA contract, income of $2.1 million was recognized during the year ended June 30, 2021, compared to income of $3.9 million for the year ended June 30, 2020. BARDA income declined as a result of wind-down of certain activities associated with supporting the U.S. FDA approval of the RECEL System as well as the compassionate use, continued access programs and pivotal trials for the treatment of pediatric scald injuries.</w:t>
      </w:r>
    </w:p>
    <w:p>
      <w:pPr>
        <w:spacing w:after="0" w:line="188"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Total operating expenses decreased 10% or $6 million to $51.9 million, compared with $57.9 million incurred in the same period in the prior year. Sales and marketing expenses decreased $1 million or 7% to $14.7 million, compared to $15.7 million recognized in the same period in the prior year. The decrease in sales and marketing expenses is primarily due to fewer conferences, lower travel expenses due to COVID-19 related travel restrictions and higher costs incurred in the prior year associated with the product launch. General and administrative expenses decreased 32% or $10.6 million to</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$22.4 million compared with $33 million recognized in the same period in the prior year. The decrease was driven by higher share-based compensation expenses in the prior year associated with certain performance milestones being met along with higher costs related to the Redomiciliation. Research and development expenses increased 61% or $5.6 million to $14.8 million, compared to $9.2 million recognized in the same period in the prior year. The increase was primarily attributed to ramping up of clinical trials related activities for treatment of vitiligo as well as other research and development costs associated with furthering the Company’s pipeline.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Net loss after tax decreased 37% or $15.4 million to $26.6 million, over the $42 million recognized in the same period in the prior year. The decrease in net loss was driven by higher revenue during the year, and lower operating expenses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Pr>
          <w:p>
            <w:pPr>
              <w:spacing w:after="0"/>
              <w:rPr>
                <w:sz w:val="16"/>
                <w:szCs w:val="16"/>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12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(2,973)</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(1,702)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7,087</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BARDA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(1,995)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80"/>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(15,706)</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(12,549)</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(3,157)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(33,025)</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(15,099)</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(17,926)</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(8,004)</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(1,160)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(57,895)</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(22,243)</w:t>
            </w: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(17,151)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(16,803)</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(16,928)</w:t>
            </w:r>
          </w:p>
        </w:tc>
        <w:tc>
          <w:tcPr>
            <w:tcW w:w="1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June 30, 2020, compared to Year Ended June 30, 2019</w:t>
      </w:r>
    </w:p>
    <w:p>
      <w:pPr>
        <w:spacing w:after="0" w:line="121" w:lineRule="exact"/>
        <w:rPr>
          <w:sz w:val="20"/>
          <w:szCs w:val="20"/>
          <w:color w:val="auto"/>
        </w:rPr>
      </w:pPr>
    </w:p>
    <w:p>
      <w:pPr>
        <w:ind w:right="280" w:firstLine="749"/>
        <w:spacing w:after="0" w:line="311" w:lineRule="auto"/>
        <w:rPr>
          <w:sz w:val="20"/>
          <w:szCs w:val="20"/>
          <w:color w:val="auto"/>
        </w:rPr>
      </w:pPr>
      <w:r>
        <w:rPr>
          <w:rFonts w:ascii="Arial" w:cs="Arial" w:eastAsia="Arial" w:hAnsi="Arial"/>
          <w:sz w:val="16"/>
          <w:szCs w:val="16"/>
          <w:color w:val="auto"/>
        </w:rPr>
        <w:t>Total net revenue increased 161% to $14.3 million, compared to $5.5 million. Similar to prior years, most of the current year increase in sales occurred in the United States as a result of the September 2018 FDA approval and commencement of the U.S. national market launch of the RECELL System in January 2019. U.S. sales during the year ended June 30, 2020, totaled $13.8 million compared to $4.4 million in the prior year.</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Gross profit margin was 79% compared to 77% for the same period in 2019 driven largely by increased production.</w:t>
      </w:r>
    </w:p>
    <w:p>
      <w:pPr>
        <w:spacing w:after="0" w:line="225"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BARDA income consisted of funding from BARDA, under the Assistant Secretary for Preparedness and Response, within the U.S. Department of Health and Human Services, under ongoing USG Contract No. HHSO100201500028C. Under the BARDA contract, income of $3.9 million was recognized during the year ended June 30, 2020, compared to income of $5.9 million for the year ended June 30, 2019. BARDA income declined as a result of wind-down of certain activities associated with supporting the U.S. FDA approval of the RECEL System as well as the compassionate use and continued access programs.</w:t>
      </w:r>
    </w:p>
    <w:p>
      <w:pPr>
        <w:spacing w:after="0" w:line="188"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Total operating expenses increased 62% or $22.2 million to $57.9 million, compared to $35.7 million incurred in the same period in the prior year. Sales and marketing expenses increased 25% or $3.2 million to $15.7 million, compared to $12.6 million recognized in the same period in the prior year. This increase was primarily attributed to commercialization activities being provided for the entire fiscal year ended June 30, 2020, versus the prior fiscal year where those activities were rendered for less than twelve months. General and administrative expenses increased 119% or $17.9 million to $33 million compared to $15.1 million recognized in the same period in the prior year. The increase was primarily a result of higher share-based compensation and higher costs related to the Redomiciliation together with additional headcount associated with the growth of the Company and the Company’s status as a cross listed entity on NASDAQ and the ASX. Share-based compensation increased $14.6 million primarily due to the increase in the grant date fair value of awards granted during the year due to higher stock prices and accelerated expense due to meeting of certain performance milestones. Research and development expenses increased 14% or $1.2 million to $9.2 million compared to $8.0 million recognized during the same period in the prior year</w:t>
      </w:r>
    </w:p>
    <w:p>
      <w:pPr>
        <w:spacing w:after="0" w:line="86"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Net loss after tax increased 67% or $16.9 million to $42 million compared to $25.1 million in the same period in the prior year. The increase in net loss was driven by the higher operating expenses described above, partially offset by the higher revenue during the year. As a result of the U.S. national launch of the RECELL System in January 2019, and the expansion of research and development including multiple pivotal clinical studies seeking premarket approval from the FDA, operating expenses are expected to increase in future periods. These expenses are expected to be partially offset by increased commercial sales of the RECELL System as well as income under the BARDA contract.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right="260" w:firstLine="749"/>
        <w:spacing w:after="0" w:line="301" w:lineRule="auto"/>
        <w:rPr>
          <w:sz w:val="20"/>
          <w:szCs w:val="20"/>
          <w:color w:val="auto"/>
        </w:rPr>
      </w:pPr>
      <w:r>
        <w:rPr>
          <w:rFonts w:ascii="Arial" w:cs="Arial" w:eastAsia="Arial" w:hAnsi="Arial"/>
          <w:sz w:val="16"/>
          <w:szCs w:val="16"/>
          <w:color w:val="auto"/>
        </w:rPr>
        <w:t>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57"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On March 1, 2021, the Company issued 3,214,250 shares of common stock at the offering price of $21.50 per share. The gross proceeds from the offering are approximately $69.1 million. The Company incurred $5.1 million in capital issuance expenses. The offering was made pursuant to a shelf registration statement on Form S-3 (File No. 333-249419) that was previously filed with the SEC on October 9, 2020 and declared effective on October 16, 2020 and that was also publicly released on the ASX. The final prospectus supplement relating to and describing the terms of the offering was filed with the SEC on February 25, 2021 (in the United States) and released on the ASX on March 1, 2021 (in Australia).</w:t>
      </w:r>
    </w:p>
    <w:p>
      <w:pPr>
        <w:spacing w:after="0" w:line="176"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During the year ended June 30, 2020, we raised additional capital via a private placement in the amount of $81.7 million (through our former parent company, AVITA Medical). We sold the equivalent of 2,033,898 shares at an issue price of $40.17 per share for total net proceeds of $76.6 million, after deducting commission and offering expenses.</w:t>
      </w:r>
    </w:p>
    <w:p>
      <w:pPr>
        <w:spacing w:after="0" w:line="184"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During the year ended June 30, 2019, we completed a series of equity transactions (through our former parent company, AVITA Medical). The second tranche of the June 2018 Placement (defined below) closed on July 27, 2018, raising an aggregate of $2.4 million through the issuance of the equivalent of 650,000 shares in the Company at $3.70 per share. During December 2018, we completed a placement to raise $28.8 million over two tranches. We completed the first tranche on December 10, 2018 and issued the equivalent of 3,100,471 shares in the Company at a price of $5.76 per share raising gross proceeds of $17.9 million. The settlement of the second tranche for $10.9 million was approved by the shareholders at an extraordinary meeting held during January 2019. The second tranche closed on January 18, 2019 and raised gross proceeds of $10.9 million through the sale of the equivalent of 1,899,530 shares in the Company at the same price as the first tranche, being $5.76 per share. In addition, on January 10, 2019, we completed a Share Purchase Plan under which we effectively offered existing eligible shareholders the opportunity to purchase shares in the Company at a purchase price of $5.74 per share. As part of the Share Purchase Plan, we received gross proceeds of $1.3 million for the issuance of the equivalent of 220,612 shares in the Company.</w:t>
      </w:r>
    </w:p>
    <w:p>
      <w:pPr>
        <w:spacing w:after="0" w:line="185"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The AVITA Group also benefits from cash inflows from the BARDA contract, awarded to the AVITA Group in September 2015 and subsequently expanded through a series of modifications. These payments from BARDA offset operating costs from various activities undertaken to support the FDA regulatory approval process for RECELL in the United States, preparation for the planned commercial launch of RECELL in the United States, and RECELL clinical programs in the United States. Further, there were no material expenditure commitments from the BARDA contract. With the U.S. FDA approval of RECELL for the treatment of burns in September 2018, and the U.S. market launch of the product in January 2019, sales of goods are expected to be an increasing source of revenue in the future. On July 13, 2020, the Company announced that BARDA will procure the RECELL System and agreed to the purchase, storage and delivery of RECELL Systems utilizing a vendor-managed inventory (“</w:t>
      </w:r>
      <w:r>
        <w:rPr>
          <w:rFonts w:ascii="Arial" w:cs="Arial" w:eastAsia="Arial" w:hAnsi="Arial"/>
          <w:sz w:val="16"/>
          <w:szCs w:val="16"/>
          <w:b w:val="1"/>
          <w:bCs w:val="1"/>
          <w:color w:val="auto"/>
        </w:rPr>
        <w:t>VMI</w:t>
      </w:r>
      <w:r>
        <w:rPr>
          <w:rFonts w:ascii="Arial" w:cs="Arial" w:eastAsia="Arial" w:hAnsi="Arial"/>
          <w:sz w:val="16"/>
          <w:szCs w:val="16"/>
          <w:color w:val="auto"/>
        </w:rPr>
        <w:t>”) plan valued at $7.6 million. Further, BARDA has expanded the awarded contract to provide supplemental funding of $1.6 million to support emergency deployment of RECELL Systems for use in mass casualty or other emergency situations. Delivery of RECELL system under the VMI plan commenced in the third quarter of fiscal year 2021 and as of year-end a total of 5,614 RECELL system units have been delivered into the VMI and accepted by BARDA. As of June 30, 2021, we had received cumulative payments of $30.9 million under the BARDA contract. For the year ended June 30, 2021, we have recognized $7.6 million of revenue related to the sale of the RECELL system to BARDA and $154,000 related to services provided to BARDA for emergency preparedness.</w:t>
      </w:r>
    </w:p>
    <w:p>
      <w:pPr>
        <w:spacing w:after="0" w:line="168"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Given the above, we believe there is presently sufficient working capital to support our committed research and development programs and other activities over the next twelve months and the Company believes it has the ability to realize its assets and pay its liabilities and commitments in the normal course of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Years Ended June 30</w:t>
            </w:r>
            <w:r>
              <w:rPr>
                <w:rFonts w:ascii="Arial" w:cs="Arial" w:eastAsia="Arial" w:hAnsi="Arial"/>
                <w:sz w:val="14"/>
                <w:szCs w:val="14"/>
                <w:color w:val="auto"/>
                <w:w w:val="89"/>
              </w:rPr>
              <w:t>,</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vMerge w:val="continue"/>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operations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64,049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37,107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Cash and restricted cash at beginning of year</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Cash and restricted cash at end of year</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110,947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June 30, 2021, and 2020</w:t>
      </w:r>
    </w:p>
    <w:p>
      <w:pPr>
        <w:spacing w:after="0" w:line="11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Net cash used in operating activities was $25.9 million and $22.7 million during the years ended June 30, 2021, and 2020, respectively. The increase was primarily due to higher BARDA receivables attributable from the purchase of RECELL units by BARDA.</w:t>
      </w:r>
    </w:p>
    <w:p>
      <w:pPr>
        <w:spacing w:after="0" w:line="170"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Net cash used in investing activities was $1.2 million and $0.8 million during the years ended June 30, 2021, and 2020, respectively. Cash flows used for investing activities was primarily attributable to payments for the purchase of a property and equipment.</w:t>
      </w:r>
    </w:p>
    <w:p>
      <w:pPr>
        <w:spacing w:after="0" w:line="170" w:lineRule="exact"/>
        <w:rPr>
          <w:sz w:val="20"/>
          <w:szCs w:val="20"/>
          <w:color w:val="auto"/>
        </w:rPr>
      </w:pPr>
    </w:p>
    <w:p>
      <w:pPr>
        <w:jc w:val="both"/>
        <w:ind w:right="400" w:firstLine="749"/>
        <w:spacing w:after="0" w:line="263" w:lineRule="auto"/>
        <w:rPr>
          <w:sz w:val="20"/>
          <w:szCs w:val="20"/>
          <w:color w:val="auto"/>
        </w:rPr>
      </w:pPr>
      <w:r>
        <w:rPr>
          <w:rFonts w:ascii="Arial" w:cs="Arial" w:eastAsia="Arial" w:hAnsi="Arial"/>
          <w:sz w:val="18"/>
          <w:szCs w:val="18"/>
          <w:color w:val="auto"/>
        </w:rPr>
        <w:t>Net cash provided by financing activities was $64 million and $77.1 million for the years ended June 30, 2021, and 2020, respectively. The AVITA Group completed a series of financing transactions during the year ended June 30, 2021, and 2020 and received proceeds from the issuance of shares and exercise of options.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right="40" w:firstLine="749"/>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For the year ended June 30, 2021, there were no dividends paid and we have no plans to commence the payment of dividends.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84"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recent years, we have continued our practice of building valuable research collaborations with institutions based primarily in the United States and other regions to enable us to develop a point-of-care solution for the potential treatment of a wide range of skin injuries or defects which may be suitable for use with the RECELL System. These collaborative arrangements ensure that we work with well-respected key option leaders and laboratories without incurring significant ongoing administrative and personnel costs. All clinical, research and development of RECELL System, including clinical studies, is performed in compliance with the appropriate governing authorities, regulators, and standards. We maintain in-house general counsel and research and development project expertise to coordinate these research collaborations.</w:t>
      </w:r>
    </w:p>
    <w:p>
      <w:pPr>
        <w:spacing w:after="0" w:line="178" w:lineRule="exact"/>
        <w:rPr>
          <w:sz w:val="20"/>
          <w:szCs w:val="20"/>
          <w:color w:val="auto"/>
        </w:rPr>
      </w:pPr>
    </w:p>
    <w:p>
      <w:pPr>
        <w:ind w:right="260" w:firstLine="749"/>
        <w:spacing w:after="0" w:line="311" w:lineRule="auto"/>
        <w:rPr>
          <w:sz w:val="20"/>
          <w:szCs w:val="20"/>
          <w:color w:val="auto"/>
        </w:rPr>
      </w:pPr>
      <w:r>
        <w:rPr>
          <w:rFonts w:ascii="Arial" w:cs="Arial" w:eastAsia="Arial" w:hAnsi="Arial"/>
          <w:sz w:val="16"/>
          <w:szCs w:val="16"/>
          <w:color w:val="auto"/>
        </w:rPr>
        <w:t>Our research and development expenses consist primarily of expenses for contracted research and development activities conducted by major contract research organizations on our behalf, including personnel, testing facilities and other payments in accordance with our research and clinical agreements. Research and development expenses were $14.8 million, and $9.2 million, during the years ended June 30, 2021, and 2020, respectively.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While our RECELL System has reached commercialization for specific applications in certain jurisdictions, the United States remains our primary point of commercial and clinical focus. In addition, we are currently seeking to expand the breadth of clinical indications for which the RECELL System is approved for use in the United States we have no plans to conduct clinical studies outside of the United States at this time. While we seek to advance the commercial opportunities for the RECELL System, it is not possible for us to predict with any degree of accuracy the outcome of our business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Contractual Obligations and Commitments</w:t>
      </w:r>
    </w:p>
    <w:p>
      <w:pPr>
        <w:spacing w:after="0" w:line="229"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Company does not have any contractual obligations or purchase commitments, except for lease obligations for the period ended June 30, 2021. For details of lease obligations refer to Note 4 in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Critical Accounting Policies and Estimates</w:t>
      </w:r>
    </w:p>
    <w:p>
      <w:pPr>
        <w:spacing w:after="0" w:line="229" w:lineRule="exact"/>
        <w:rPr>
          <w:sz w:val="20"/>
          <w:szCs w:val="20"/>
          <w:color w:val="auto"/>
        </w:rPr>
      </w:pPr>
    </w:p>
    <w:p>
      <w:pPr>
        <w:ind w:right="220" w:firstLine="749"/>
        <w:spacing w:after="0" w:line="342" w:lineRule="auto"/>
        <w:rPr>
          <w:sz w:val="20"/>
          <w:szCs w:val="20"/>
          <w:color w:val="auto"/>
        </w:rPr>
      </w:pPr>
      <w:r>
        <w:rPr>
          <w:rFonts w:ascii="Arial" w:cs="Arial" w:eastAsia="Arial" w:hAnsi="Arial"/>
          <w:sz w:val="16"/>
          <w:szCs w:val="16"/>
          <w:color w:val="auto"/>
        </w:rPr>
        <w:t>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w:t>
      </w:r>
    </w:p>
    <w:p>
      <w:pPr>
        <w:spacing w:after="0" w:line="124"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w:t>
      </w:r>
    </w:p>
    <w:p>
      <w:pPr>
        <w:spacing w:after="0" w:line="15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following listing is not intended to be a comprehensive list of all of our accounting policies. Our significant accounting policies are described in Note 2 to our consolidated financial statements contained elsewhere in this Annual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749"/>
        <w:spacing w:after="0" w:line="255" w:lineRule="auto"/>
        <w:rPr>
          <w:sz w:val="20"/>
          <w:szCs w:val="20"/>
          <w:color w:val="auto"/>
        </w:rPr>
      </w:pPr>
      <w:r>
        <w:rPr>
          <w:rFonts w:ascii="Arial" w:cs="Arial" w:eastAsia="Arial" w:hAnsi="Arial"/>
          <w:sz w:val="18"/>
          <w:szCs w:val="18"/>
          <w:color w:val="auto"/>
        </w:rPr>
        <w:t>The Company adopted ASC Topic 606 – Revenue from Contracts with Customers, on July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w:t>
      </w:r>
    </w:p>
    <w:p>
      <w:pPr>
        <w:spacing w:after="0" w:line="222"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103"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53"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58"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84"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is be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84"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Securities and Exchange Commission (SEC) Interpretation, Commission Guidance regarding Accounting for Sale of Vaccines and BioTerror Countermeasures to the Federal Government for Placement into the Pediatric Vaccine Stockpile or the Strategic National Stockpile (SNS). Under this guidance, revenue is recognized when product is placed in the BARDA vendor-managed inventory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accrued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 are incremental and expected to be recovered are capitalized and amortized on a straight-line basis over the term of the contract. Contract costs are included in other long-term assets,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include a financing component. Contract liabilities are recorded when the Company receives payment prior to satisfying its obligation to transfer goods to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our Consolidated Financial Statements included in this Annual Report for additional detail on 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 BARDA Income and Receivables</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AVITA Group was granted a BARDA contract in September 2015, wherein BARDA provided funding to the AVITA Group to support the ongoing U.S. clinical regulatory program towards FDA premarket approval, Compassionate Use program, clinical and health economics research, and U.S. pediatric burn programs.</w:t>
      </w:r>
    </w:p>
    <w:p>
      <w:pPr>
        <w:spacing w:after="0" w:line="184"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Income under the BARDA contract is earned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84"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Company has concluded that grants are not within the scope of ASC 606, as they do not meet the definition of a contract with a “customer”. The Company has further concluded that Subtopic 958-605, Not-for-Profit-Entities-Revenue Recognition also does not apply, as the Company is a business entity, and the grants are with governmental agencies. Government grants and related receivables are recognized when there is reasonable assurance that the grant will be received, and all attaching conditions will be complied with. When the grant relates to an expense item, it is recognized as income over the periods necessary to match the grant on a systematic basis to the costs that it is intended to compensate. When the grant relates to an asset, the fair value is credited to deferred income and is released to the profit or loss over the expected useful life of the relevant asset by equal annual installments.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The Company records compensation expense for share-based payments to employees, including grants of stock options, restricted stock units and performance-based awards based on the fair market value of the awards on the date of grant. The fair value of share-based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w:t>
      </w:r>
    </w:p>
    <w:p>
      <w:pPr>
        <w:spacing w:after="0" w:line="157" w:lineRule="exact"/>
        <w:rPr>
          <w:sz w:val="20"/>
          <w:szCs w:val="20"/>
          <w:color w:val="auto"/>
        </w:rPr>
      </w:pPr>
    </w:p>
    <w:p>
      <w:pPr>
        <w:jc w:val="both"/>
        <w:ind w:right="440" w:firstLine="749"/>
        <w:spacing w:after="0" w:line="263" w:lineRule="auto"/>
        <w:rPr>
          <w:sz w:val="20"/>
          <w:szCs w:val="20"/>
          <w:color w:val="auto"/>
        </w:rPr>
      </w:pPr>
      <w:r>
        <w:rPr>
          <w:rFonts w:ascii="Arial" w:cs="Arial" w:eastAsia="Arial" w:hAnsi="Arial"/>
          <w:sz w:val="18"/>
          <w:szCs w:val="18"/>
          <w:color w:val="auto"/>
        </w:rPr>
        <w:t>The Company estimates the fair value of tenure-based share options using the Black-Scholes option pricing model on the date of grant. The Company estimates the fair value of options with a performance condition using the Monte-Carlo simulation model. Restricted stock units are valued based on the market price on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225" w:lineRule="exact"/>
        <w:rPr>
          <w:sz w:val="20"/>
          <w:szCs w:val="20"/>
          <w:color w:val="auto"/>
        </w:rPr>
      </w:pPr>
    </w:p>
    <w:p>
      <w:pPr>
        <w:ind w:left="740" w:right="62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170" w:lineRule="exact"/>
        <w:rPr>
          <w:rFonts w:ascii="Arial" w:cs="Arial" w:eastAsia="Arial" w:hAnsi="Arial"/>
          <w:sz w:val="18"/>
          <w:szCs w:val="18"/>
          <w:color w:val="auto"/>
        </w:rPr>
      </w:pPr>
    </w:p>
    <w:p>
      <w:pPr>
        <w:ind w:left="740" w:right="38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spacing w:after="0" w:line="170" w:lineRule="exact"/>
        <w:rPr>
          <w:rFonts w:ascii="Arial" w:cs="Arial" w:eastAsia="Arial" w:hAnsi="Arial"/>
          <w:sz w:val="18"/>
          <w:szCs w:val="18"/>
          <w:color w:val="auto"/>
        </w:rPr>
      </w:pPr>
    </w:p>
    <w:p>
      <w:pPr>
        <w:ind w:left="740" w:right="1560" w:hanging="368"/>
        <w:spacing w:after="0" w:line="291"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stock-based compensation.</w:t>
      </w:r>
    </w:p>
    <w:p>
      <w:pPr>
        <w:ind w:left="740" w:right="180"/>
        <w:spacing w:after="0" w:line="292" w:lineRule="auto"/>
        <w:rPr>
          <w:rFonts w:ascii="Arial" w:cs="Arial" w:eastAsia="Arial" w:hAnsi="Arial"/>
          <w:sz w:val="16"/>
          <w:szCs w:val="16"/>
          <w:color w:val="auto"/>
        </w:rPr>
      </w:pPr>
      <w:r>
        <w:rPr>
          <w:rFonts w:ascii="Arial" w:cs="Arial" w:eastAsia="Arial" w:hAnsi="Arial"/>
          <w:sz w:val="16"/>
          <w:szCs w:val="16"/>
          <w:color w:val="auto"/>
        </w:rPr>
        <w:t>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recent redomiciliation to the United States in the prior fiscal year. The expected term of options with a performance condition was set to the contractual term of 10 years. The contractual term was used options with performance condition were awarded to C-Suite executives and the Company assumes that they will hold them longer than rank and file executives.</w:t>
      </w:r>
    </w:p>
    <w:p>
      <w:pPr>
        <w:spacing w:after="0" w:line="162" w:lineRule="exact"/>
        <w:rPr>
          <w:rFonts w:ascii="Arial" w:cs="Arial" w:eastAsia="Arial" w:hAnsi="Arial"/>
          <w:sz w:val="16"/>
          <w:szCs w:val="16"/>
          <w:color w:val="auto"/>
        </w:rPr>
      </w:pPr>
    </w:p>
    <w:p>
      <w:pPr>
        <w:ind w:left="740" w:right="42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our Consolidated Financial Statements included in this Annual Report for additional detail on share-based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 likely than not that a portion of the deferred tax asset will not be realized.</w:t>
      </w:r>
    </w:p>
    <w:p>
      <w:pPr>
        <w:spacing w:after="0" w:line="19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Consolidated Financial Statements included in this Annual Report for additional detail on 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During the year ended June 30, 2021, we invested cash in money market funds, which are classified as cash equivalents and carried at fair value in the accompanying consolidated balance sheet included in this Annual Report on Form 10-K. The fair value of our cash equivalents is subject to changes in market interest rates. Our earnings and cash flows are subject to fluctuations due to changes in interest rates, principally in connection with our cash and cash equivalents. We do not believe we are materially exposed to changes in interest rates related to our cash and cash equivalents, and we do not currently use interest rate derivative instruments or hedging transactions to manage exposure to interest rate changes. We estimate that a 100 basis point, or 1%, unfavorable change in interest rates would have a minimal impact to the fair value of our cash equivalents as of June 30, 2021.</w:t>
      </w:r>
    </w:p>
    <w:p>
      <w:pPr>
        <w:spacing w:after="0" w:line="164"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We have evaluated the potential credit risk exposure for our accounts receivable in accordance with ASC 326, Financial Instruments - Credit Losses. See note 2, for further discussion.</w:t>
      </w:r>
    </w:p>
    <w:p>
      <w:pPr>
        <w:spacing w:after="0" w:line="170"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We primarily operate in the United States with minimal activity outside the U.S. We are primarily exposed to foreign exchange risk with respect to recognized assets and liabilities due to vendors in countries outside the United States which are typically paid in Euro and Australian dollars. We do not enter into hedging transactions and do not purchase derivative instruments.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supplementary data are attached hereto beginning on Page F-1 and are incorporated by reference herein.</w:t>
      </w:r>
    </w:p>
    <w:p>
      <w:pPr>
        <w:spacing w:after="0" w:line="329" w:lineRule="exact"/>
        <w:rPr>
          <w:sz w:val="20"/>
          <w:szCs w:val="20"/>
          <w:color w:val="auto"/>
        </w:rPr>
      </w:pPr>
    </w:p>
    <w:p>
      <w:pPr>
        <w:ind w:right="10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June 30, 2021. Based on this evaluation, our chief executive officer and chief financial officer concluded that our disclosure controls and procedures were effective as of June 30,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internal control over financial reporting as of June 30, 2021,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June 30, 2021.</w:t>
      </w:r>
    </w:p>
    <w:p>
      <w:pPr>
        <w:spacing w:after="0" w:line="192" w:lineRule="exact"/>
        <w:rPr>
          <w:sz w:val="20"/>
          <w:szCs w:val="20"/>
          <w:color w:val="auto"/>
        </w:rPr>
      </w:pPr>
    </w:p>
    <w:p>
      <w:pPr>
        <w:ind w:right="540" w:firstLine="749"/>
        <w:spacing w:after="0" w:line="308" w:lineRule="auto"/>
        <w:rPr>
          <w:sz w:val="20"/>
          <w:szCs w:val="20"/>
          <w:color w:val="auto"/>
        </w:rPr>
      </w:pPr>
      <w:r>
        <w:rPr>
          <w:rFonts w:ascii="Arial" w:cs="Arial" w:eastAsia="Arial" w:hAnsi="Arial"/>
          <w:sz w:val="17"/>
          <w:szCs w:val="17"/>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During the year ended June 30, 2021, there were no material changes made in our internal control over financial reporting (as such term is defined in Rules 13a-15(f) and 15d-15(f) of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Disclosure Controls and Procedures</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right="4420"/>
        <w:spacing w:after="0" w:line="377" w:lineRule="auto"/>
        <w:rPr>
          <w:sz w:val="20"/>
          <w:szCs w:val="20"/>
          <w:color w:val="auto"/>
        </w:rPr>
      </w:pPr>
      <w:r>
        <w:rPr>
          <w:rFonts w:ascii="Arial" w:cs="Arial" w:eastAsia="Arial" w:hAnsi="Arial"/>
          <w:sz w:val="18"/>
          <w:szCs w:val="18"/>
          <w:b w:val="1"/>
          <w:bCs w:val="1"/>
          <w:color w:val="auto"/>
        </w:rPr>
        <w:t>Item 10. DIRECTORS, EXECUTIVE OFFICERS AND CORPORATE GOVERNANCE Directors and Executive Officers</w:t>
      </w:r>
    </w:p>
    <w:p>
      <w:pPr>
        <w:spacing w:after="0" w:line="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table sets forth our directors and executive officers, their ages and the positions they held as of the date of this Annual Report. All of our directors and executive officers may be contacted at our registered office located at 28159 Avenue Stanford, Suite 220, Valencia, CA 91355.</w:t>
      </w: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8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 First Elected or Appointed</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Non-Executive Chairman</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64</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Jeremy Curnock Cook</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71</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Louis Drapeau</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77</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Professor Suzanne Crowe</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69</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January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63</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Jan Stern Reed</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61</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Dr. Michael Perry</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Executive Director and Chief Executive Officer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61</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Michael Holder</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Kathy McGee</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Chief Operating Officer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56</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Erin Liberto</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Commercial Officer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Andrew Quick</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Chief Technology Officer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50</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Donna Shiroma</w:t>
            </w:r>
          </w:p>
        </w:tc>
        <w:tc>
          <w:tcPr>
            <w:tcW w:w="18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8"/>
              </w:rPr>
              <w:t>General Counsel</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58</w:t>
            </w:r>
          </w:p>
        </w:tc>
        <w:tc>
          <w:tcPr>
            <w:tcW w:w="1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7"/>
              </w:rPr>
              <w:t>June 2018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Lou Panaccio </w:t>
      </w:r>
      <w:r>
        <w:rPr>
          <w:rFonts w:ascii="Arial" w:cs="Arial" w:eastAsia="Arial" w:hAnsi="Arial"/>
          <w:sz w:val="16"/>
          <w:szCs w:val="16"/>
          <w:color w:val="auto"/>
        </w:rPr>
        <w:t>has served as Non-Executive Chairman of the Board of Directors since July 2014. Mr. Panaccio is a successful healthcare businessman with</w:t>
      </w:r>
      <w:r>
        <w:rPr>
          <w:rFonts w:ascii="Arial" w:cs="Arial" w:eastAsia="Arial" w:hAnsi="Arial"/>
          <w:sz w:val="16"/>
          <w:szCs w:val="16"/>
          <w:b w:val="1"/>
          <w:bCs w:val="1"/>
          <w:color w:val="auto"/>
        </w:rPr>
        <w:t xml:space="preserve"> </w:t>
      </w:r>
      <w:r>
        <w:rPr>
          <w:rFonts w:ascii="Arial" w:cs="Arial" w:eastAsia="Arial" w:hAnsi="Arial"/>
          <w:sz w:val="16"/>
          <w:szCs w:val="16"/>
          <w:color w:val="auto"/>
        </w:rPr>
        <w:t>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Non-Executive Chairman of Genera Biosystems Limited until June 2019, and a Non-Executive Director of Rhythm Biosciences Limited, a publicly listed (ASX) development-stage medical diagnostics company.</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Mr. Panaccio is qualified to serve on our board of directors based on his extensive experience in the healthcare services and life sciences and his experience serving on boards.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Jeremy Curnock Cook </w:t>
      </w:r>
      <w:r>
        <w:rPr>
          <w:rFonts w:ascii="Arial" w:cs="Arial" w:eastAsia="Arial" w:hAnsi="Arial"/>
          <w:sz w:val="17"/>
          <w:szCs w:val="17"/>
          <w:color w:val="auto"/>
        </w:rPr>
        <w:t>has served as a Non-Executive Director of the Board since October 2012. Mr. Curnock Cook is currently the Managing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Bioscience Managers Pty Ltd, a formerly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From November 2005, he also serves as a Director for AmpliPhi Biosciences Corporation, Inc. (which merged to Armata Pharmaceuticals, Inc. in May 2019), a public (NYSE) clinical-stage biotechnology company focused on the development of bacteriophage-based therapies for the treatment of antibiotic-resistant bacterial infections. He also serves as a Director for Sea Dragon Limited, a public (NZX) company processing fish oils into marine bioactive compounds. Mr. Curnock Cook previously served as a Non-Executive Director of Phylogica Limited, a public (ASX) company developing next generation intracellular biological therapeutics.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Mr. Curnock Cook is qualified to serve on our board of directors based on his extensive experience in the life sciences.</w:t>
      </w:r>
    </w:p>
    <w:p>
      <w:pPr>
        <w:spacing w:after="0" w:line="22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color w:val="auto"/>
        </w:rPr>
        <w:t xml:space="preserve">Louis Drapeau </w:t>
      </w:r>
      <w:r>
        <w:rPr>
          <w:rFonts w:ascii="Arial" w:cs="Arial" w:eastAsia="Arial" w:hAnsi="Arial"/>
          <w:sz w:val="16"/>
          <w:szCs w:val="16"/>
          <w:color w:val="auto"/>
        </w:rPr>
        <w:t>has served as Non-Executive Director of our board since January 2016. Mr. Drapeau has considerable expertise in both the biotech sector</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 the financial reporting and other requirements of U.S. public companies. From March 2011 until May 2019, Mr. Drapeau served as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We believe Mr. Drapeau is qualified to serve on our board of directors based on his experience with financial reporting and other requirements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companies, and considerable expertise in the biotech sector.</w:t>
      </w:r>
    </w:p>
    <w:p>
      <w:pPr>
        <w:spacing w:after="0" w:line="207"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b w:val="1"/>
          <w:bCs w:val="1"/>
          <w:color w:val="auto"/>
        </w:rPr>
        <w:t xml:space="preserve">Professor Suzanne Crowe AO </w:t>
      </w:r>
      <w:r>
        <w:rPr>
          <w:rFonts w:ascii="Arial" w:cs="Arial" w:eastAsia="Arial" w:hAnsi="Arial"/>
          <w:sz w:val="16"/>
          <w:szCs w:val="16"/>
          <w:color w:val="auto"/>
        </w:rPr>
        <w:t>has served as a Non-Executive Director since January 2016. Australian-based, she is a physician-scientist and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19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Professor Crowe is qualified to serve on our board of directors based on her technical experience and extensive expertise in supporting companies with their medical and scientific strategies.</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James Corbett </w:t>
      </w:r>
      <w:r>
        <w:rPr>
          <w:rFonts w:ascii="Arial" w:cs="Arial" w:eastAsia="Arial" w:hAnsi="Arial"/>
          <w:sz w:val="17"/>
          <w:szCs w:val="17"/>
          <w:color w:val="auto"/>
        </w:rPr>
        <w:t>has served as a Non-Executive Director of our board of directors since July 2021. He has approximately 40 years of leadership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Mr. Corbett is qualified to serve on our board of directors based on his global commercial and operating expertise in supporting companies with their medical and scientific strategies.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Jan Stern Reed </w:t>
      </w:r>
      <w:r>
        <w:rPr>
          <w:rFonts w:ascii="Arial" w:cs="Arial" w:eastAsia="Arial" w:hAnsi="Arial"/>
          <w:sz w:val="17"/>
          <w:szCs w:val="17"/>
          <w:color w:val="auto"/>
        </w:rPr>
        <w:t>has served as a Non-Executive Director of our board of directors since July 2021. She has more than 35 years of legal, management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leadership experience primarily within the healthcare industry, and brings significant expertise in corporate governance, compliance and risk management. 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 leading provider of innovative, minimally invasive medical devices for vascular access, peripheral vascular disease and oncology.</w:t>
      </w:r>
    </w:p>
    <w:p>
      <w:pPr>
        <w:spacing w:after="0" w:line="18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believe Ms. Reed is qualified to serve on our board of directors based on her executive leadership experience in legal, corporate governance, risk management, health care regulatory, compliance, manufacturing, and strategic business matters, as well as her extensive experience with acquisitions and employee development.</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Dr. Michael Perry </w:t>
      </w:r>
      <w:r>
        <w:rPr>
          <w:rFonts w:ascii="Arial" w:cs="Arial" w:eastAsia="Arial" w:hAnsi="Arial"/>
          <w:sz w:val="17"/>
          <w:szCs w:val="17"/>
          <w:color w:val="auto"/>
        </w:rPr>
        <w:t>was appointed Chief Executive Officer and Executive Director in June 2017. Prior to this appointment, Dr. Perry served as a 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 that treat intractable diseases by silencing genes. He is also a Director at BioScience Managers Pty Ltd.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Dr. Perry is qualified to serve on our board of directors based on our review of his experience, qualifications, attributes and skills, including his executive leadership experience in the healthcare and biotechnology industries.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 xml:space="preserve">Michael Holder </w:t>
      </w:r>
      <w:r>
        <w:rPr>
          <w:rFonts w:ascii="Arial" w:cs="Arial" w:eastAsia="Arial" w:hAnsi="Arial"/>
          <w:sz w:val="17"/>
          <w:szCs w:val="17"/>
          <w:color w:val="auto"/>
        </w:rPr>
        <w:t>was appointed Chief Financial Officer in March 2021. Mr. Holder is a seasoned executive with more than 25 years of experience serving</w:t>
      </w:r>
      <w:r>
        <w:rPr>
          <w:rFonts w:ascii="Arial" w:cs="Arial" w:eastAsia="Arial" w:hAnsi="Arial"/>
          <w:sz w:val="17"/>
          <w:szCs w:val="17"/>
          <w:b w:val="1"/>
          <w:bCs w:val="1"/>
          <w:color w:val="auto"/>
        </w:rPr>
        <w:t xml:space="preserve"> </w:t>
      </w:r>
      <w:r>
        <w:rPr>
          <w:rFonts w:ascii="Arial" w:cs="Arial" w:eastAsia="Arial" w:hAnsi="Arial"/>
          <w:sz w:val="17"/>
          <w:szCs w:val="17"/>
          <w:color w:val="auto"/>
        </w:rPr>
        <w:t>in senior financial, executive management and board roles with leading companies in the medtech, biotech and pharma industries. Most recently, Mr. Holder served as Chief Financial Officer of ImmuneCyte Inc., a global clinical stage biopharmaceutical company with innovative cell and gene immune-oncology therapeutics. Prior to that, Mr. Holder served as CEO and Portfolio Manager of Carolina Longevity Institute, a global investment company focused on medtech, biotech and pharma investments in the healthspan and human longevity sectors. Prior to that, Mr. Holder was CFO, and then promoted to Chairman and CEO of Organ Transport Systems, Inc. a medical device company in the organ transplantation industry. Prior to that, Mr. Holder was CFO and then promoted to Vice President of Sales, Operations and Finance of Premier Sourcing Partners, the information and medical technology subsidiary of Premier Inc. Prior to that, Mr. Holder was CFO of BeaconEye Inc., a publicly traded medtech company; Vice President of Heartland Capital Partners, the Sam Walton family controlled private equity fund; and Principal in the Corporate Development Group of AMR Corporation, a former Fortune 500 transportation and information technology company.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Holder holds a Master of Business Administration from the Wharton School of Business at the University of Pennsylvania and a Bachelor of Science in Business Administration from the Kenan-Flagler Business School at the University of North Carolina at Chapel Hill.</w:t>
      </w:r>
    </w:p>
    <w:p>
      <w:pPr>
        <w:spacing w:after="0" w:line="38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Kathy McGee </w:t>
      </w:r>
      <w:r>
        <w:rPr>
          <w:rFonts w:ascii="Arial" w:cs="Arial" w:eastAsia="Arial" w:hAnsi="Arial"/>
          <w:sz w:val="17"/>
          <w:szCs w:val="17"/>
          <w:color w:val="auto"/>
        </w:rPr>
        <w:t>was appointed Chief Operating Officer in December 2020. She brings more than 25 years of biopharmaceutical and life sciences</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to AVITA Medical, most recently serving as President of CnA Consulting Group, which focuses on providing specialized consulting services to the life sciences industry. Prior to CnA Consulting, Ms. McGee was the Vice President of West Coast Operations at Shire Pharmaceuticals Regenerative Medicine Division, formerly Advanced BioHealing, where she was a part of the leadership team responsible for manufacturing operations, strategic planning, capital expansion, and real estate. At Advanced BioHealing, Ms. McGee served as the Senior Vice President of Operations and General Manager, with responsibility for the company’s manufacturing operations in La Jolla, CA. She has also held senior operations leadership roles at Smith and Nephew and Advanced Tissue Sciences. She earned her Bachelor of Science in Chemistry and Mathematics from University College Galway Ireland, and holds a Master’s degree in Business and Management from Webster University</w:t>
      </w:r>
    </w:p>
    <w:p>
      <w:pPr>
        <w:spacing w:after="0" w:line="172"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20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United States, Europe, and Asia Pacific. Ms. Liberto holds an International MBA with a concentration in Global Marketing from Thunderbird School of Global Management in Arizona and a Bachelor of Commerce from McMaster University in Canada.</w:t>
      </w:r>
    </w:p>
    <w:p>
      <w:pPr>
        <w:spacing w:after="0" w:line="154" w:lineRule="exact"/>
        <w:rPr>
          <w:sz w:val="20"/>
          <w:szCs w:val="20"/>
          <w:color w:val="auto"/>
        </w:rPr>
      </w:pPr>
    </w:p>
    <w:p>
      <w:pPr>
        <w:jc w:val="both"/>
        <w:ind w:right="640"/>
        <w:spacing w:after="0" w:line="293"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July 2010. Mr. Quick has more than 25 years of experience in medical device design, development, clinical research and medical affairs.</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Donna Shiroma </w:t>
      </w:r>
      <w:r>
        <w:rPr>
          <w:rFonts w:ascii="Arial" w:cs="Arial" w:eastAsia="Arial" w:hAnsi="Arial"/>
          <w:sz w:val="16"/>
          <w:szCs w:val="16"/>
          <w:color w:val="auto"/>
        </w:rPr>
        <w:t>has served as General Counsel since June 2018. Ms. Shiroma has more than 20 years of legal and compliance experience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Astrex Pharmaceuticals from 2017 to 2018, Ascend Therapeutics from 2008 to 2017, PDL BioPharma from 2006 to 2008, and several Johnson &amp; Johnson companies. Ms. Shiroma holds a B.S. in Environmental Sciences from University of California, Berkley, and a Juris Doctor degree from Santa Clara University School of Law. She is licensed in the State of California as an attorney.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directors are elected for a term of one year and until their respective successors are elected and qualified, or until their earlier resignation, disqualification or removal. Our executive officers are appointed by our board of directors and hold office for such terms as may be prescribed by our board of directors and until their successors are appointed, or until their earlier resignation or removal.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family relationships between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directors or executive officers has been involved in any of the following events during the past ten years:</w:t>
      </w:r>
    </w:p>
    <w:p>
      <w:pPr>
        <w:spacing w:after="0" w:line="117" w:lineRule="exact"/>
        <w:rPr>
          <w:sz w:val="20"/>
          <w:szCs w:val="20"/>
          <w:color w:val="auto"/>
        </w:rPr>
      </w:pPr>
    </w:p>
    <w:p>
      <w:pPr>
        <w:ind w:left="1140" w:right="20" w:hanging="498"/>
        <w:spacing w:after="0" w:line="308"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bankruptcy petition filed by or against any business or property of such person or any partnership or business in which such person was a general partner or executive officer either at the time of the bankruptcy or within two years prior to that time;</w:t>
      </w:r>
    </w:p>
    <w:p>
      <w:pPr>
        <w:spacing w:after="0" w:line="38" w:lineRule="exact"/>
        <w:rPr>
          <w:rFonts w:ascii="Arial" w:cs="Arial" w:eastAsia="Arial" w:hAnsi="Arial"/>
          <w:sz w:val="17"/>
          <w:szCs w:val="17"/>
          <w:color w:val="auto"/>
        </w:rPr>
      </w:pPr>
    </w:p>
    <w:p>
      <w:pPr>
        <w:ind w:left="1140" w:right="160" w:hanging="498"/>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conviction in a criminal proceeding or being a named subject of a pending criminal proceeding (excluding traffic violations and other minor offences);</w:t>
      </w:r>
    </w:p>
    <w:p>
      <w:pPr>
        <w:spacing w:after="0" w:line="62" w:lineRule="exact"/>
        <w:rPr>
          <w:rFonts w:ascii="Arial" w:cs="Arial" w:eastAsia="Arial" w:hAnsi="Arial"/>
          <w:sz w:val="18"/>
          <w:szCs w:val="18"/>
          <w:color w:val="auto"/>
        </w:rPr>
      </w:pPr>
    </w:p>
    <w:p>
      <w:pPr>
        <w:ind w:left="1140" w:hanging="498"/>
        <w:spacing w:after="0" w:line="263"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p>
      <w:pPr>
        <w:spacing w:after="0" w:line="75" w:lineRule="exact"/>
        <w:rPr>
          <w:rFonts w:ascii="Arial" w:cs="Arial" w:eastAsia="Arial" w:hAnsi="Arial"/>
          <w:sz w:val="18"/>
          <w:szCs w:val="18"/>
          <w:color w:val="auto"/>
        </w:rPr>
      </w:pPr>
    </w:p>
    <w:p>
      <w:pPr>
        <w:ind w:left="1140" w:right="540" w:hanging="498"/>
        <w:spacing w:after="0" w:line="34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5" w:lineRule="exact"/>
        <w:rPr>
          <w:rFonts w:ascii="Arial" w:cs="Arial" w:eastAsia="Arial" w:hAnsi="Arial"/>
          <w:sz w:val="16"/>
          <w:szCs w:val="16"/>
          <w:color w:val="auto"/>
        </w:rPr>
      </w:pPr>
    </w:p>
    <w:p>
      <w:pPr>
        <w:ind w:left="1140" w:right="220" w:hanging="498"/>
        <w:spacing w:after="0" w:line="296"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and-desist order, or removal or prohibition order; or (iii) any law or regulation prohibiting mail or wire fraud or fraud in connection with any business entity; or</w:t>
      </w:r>
    </w:p>
    <w:p>
      <w:pPr>
        <w:spacing w:after="0" w:line="53" w:lineRule="exact"/>
        <w:rPr>
          <w:rFonts w:ascii="Arial" w:cs="Arial" w:eastAsia="Arial" w:hAnsi="Arial"/>
          <w:sz w:val="16"/>
          <w:szCs w:val="16"/>
          <w:color w:val="auto"/>
        </w:rPr>
      </w:pPr>
    </w:p>
    <w:p>
      <w:pPr>
        <w:ind w:left="1140" w:right="160" w:hanging="498"/>
        <w:spacing w:after="0" w:line="259"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Gender Diversity</w:t>
      </w:r>
    </w:p>
    <w:p>
      <w:pPr>
        <w:spacing w:after="0" w:line="229"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Under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the Company is required to set measurable objectives for achieving gender diversity in the composition of its board, senior executives and workforce generally.</w:t>
      </w:r>
    </w:p>
    <w:p>
      <w:pPr>
        <w:spacing w:after="0" w:line="170"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the Company’s 2020 Form 10-K, the Company confirmed that it had set a target of having at least 30% of its directors being of each gender by 2024. As at the date of this Annual Report, the Company has almost achieved that target as the directors of the Company are 28.6% female and 71.4% male.</w:t>
      </w:r>
    </w:p>
    <w:p>
      <w:pPr>
        <w:spacing w:after="0" w:line="184"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The Company is also in the process of developing measurable objectives for achieving gender diversity in the composition of its senior executives and workforce generally in accordance with its Code of Ethics and Business Conduct. The Company will disclose its measurable objectives, the time period for achieving those objectives and the Company’s progress towards achieving those objectives in future reporting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Evaluations</w:t>
      </w:r>
    </w:p>
    <w:p>
      <w:pPr>
        <w:spacing w:after="0" w:line="121"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Company undertook an evaluation of the performance of the board of directors and the Company’s senior executive team during the fiscal year ended June 30, 2021. An evaluation of the board of directors was completed on October 7, 2020 and an evaluation of the performance of the Company’s senior executive team was completed during March 2021. The Company has not yet undertaken an evaluation of the performance of its committees and individual directors in respect of the fiscal year ended June 30,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adopted a Code of Conduct, or the Code, that constitutes a “code of ethics” as that term is defined in paragraph (b) of Item 406 of Regulation S-K and that applies to our executive officers, management and employees of the Company. A copy of the Code is included as Exhibit 14.1 to this Annual Report and is available on our website at www.avitamedical.com.</w:t>
      </w:r>
    </w:p>
    <w:p>
      <w:pPr>
        <w:spacing w:after="0" w:line="184" w:lineRule="exact"/>
        <w:rPr>
          <w:sz w:val="20"/>
          <w:szCs w:val="20"/>
          <w:color w:val="auto"/>
        </w:rPr>
      </w:pPr>
    </w:p>
    <w:p>
      <w:pPr>
        <w:ind w:right="80" w:firstLine="749"/>
        <w:spacing w:after="0" w:line="308" w:lineRule="auto"/>
        <w:rPr>
          <w:sz w:val="20"/>
          <w:szCs w:val="20"/>
          <w:color w:val="auto"/>
        </w:rPr>
      </w:pPr>
      <w:r>
        <w:rPr>
          <w:rFonts w:ascii="Arial" w:cs="Arial" w:eastAsia="Arial" w:hAnsi="Arial"/>
          <w:sz w:val="17"/>
          <w:szCs w:val="17"/>
          <w:color w:val="auto"/>
        </w:rPr>
        <w:t>If we make any amendments to the Code or grant any waivers, including any implicit waiver, from a provision of the Code, we will disclose the nature of such amendment or waiver on our website. The information on our website is not incorporated by reference into this Annual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fiscal year ended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Our board of directors consists of seven members. Directors are elected at our annual general meeting of stockholders, and hold office for a term of one year and until their successors have been elected and qualified or until the earlier of their resignation or removal. Any newly created directorship or any vacancy occurring on our board of directors may be filled only by a majority of the remaining members of our board, even if such majority is less than a quorum, and each director so elected shall hold office until the expiration of the term of office of the director whom he or she has replaced or until his or her successor is elected and qualified. Under ASX Listing Rule 14.4, any directors of the Company (except a managing director) must not hold office without re-election past the third annual general meeting following the director’s appointment or three years, whichever is longer.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240" w:firstLine="749"/>
        <w:spacing w:after="0" w:line="254" w:lineRule="auto"/>
        <w:rPr>
          <w:sz w:val="20"/>
          <w:szCs w:val="20"/>
          <w:color w:val="auto"/>
        </w:rPr>
      </w:pPr>
      <w:r>
        <w:rPr>
          <w:rFonts w:ascii="Arial" w:cs="Arial" w:eastAsia="Arial" w:hAnsi="Arial"/>
          <w:sz w:val="18"/>
          <w:szCs w:val="18"/>
          <w:color w:val="auto"/>
        </w:rPr>
        <w:t>Our board of directors has established an audit committee, a compensation committee and a nomination and corporate governance committee, each of which operates pursuant to a written charter adopted by our board of directors. Our board of directors may also establish other committees from time to time to assist the board of directors. The composition and functioning of all of our committees comply with all applicable requirements of the Sarbanes-Oxley Act, NASDAQ and SEC rules and regulations and the ASX Listing Rules and also align with the ASX Corporate Governance Council’s 4</w:t>
      </w:r>
      <w:r>
        <w:rPr>
          <w:rFonts w:ascii="Arial" w:cs="Arial" w:eastAsia="Arial" w:hAnsi="Arial"/>
          <w:sz w:val="15"/>
          <w:szCs w:val="15"/>
          <w:color w:val="auto"/>
        </w:rPr>
        <w:t>th</w:t>
      </w:r>
      <w:r>
        <w:rPr>
          <w:rFonts w:ascii="Arial" w:cs="Arial" w:eastAsia="Arial" w:hAnsi="Arial"/>
          <w:sz w:val="18"/>
          <w:szCs w:val="18"/>
          <w:color w:val="auto"/>
        </w:rPr>
        <w:t xml:space="preserve"> Edition Corporate Governance Principles and Recommendations. Each committee has a charter, which is available on our website at www.avitamedical.com. As of the date of this report, the composition of our audit, compensation and nomination and corporate governance committees were as follows: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1600" w:type="dxa"/>
            <w:vAlign w:val="bottom"/>
          </w:tcPr>
          <w:p>
            <w:pPr>
              <w:jc w:val="center"/>
              <w:ind w:left="79"/>
              <w:spacing w:after="0"/>
              <w:rPr>
                <w:sz w:val="20"/>
                <w:szCs w:val="20"/>
                <w:color w:val="auto"/>
              </w:rPr>
            </w:pPr>
            <w:r>
              <w:rPr>
                <w:rFonts w:ascii="Arial" w:cs="Arial" w:eastAsia="Arial" w:hAnsi="Arial"/>
                <w:sz w:val="14"/>
                <w:szCs w:val="14"/>
                <w:b w:val="1"/>
                <w:bCs w:val="1"/>
                <w:color w:val="auto"/>
                <w:w w:val="94"/>
              </w:rPr>
              <w:t>Nomination and</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2620" w:type="dxa"/>
            <w:vAlign w:val="bottom"/>
            <w:vMerge w:val="restart"/>
          </w:tcPr>
          <w:p>
            <w:pPr>
              <w:jc w:val="center"/>
              <w:ind w:left="1333"/>
              <w:spacing w:after="0"/>
              <w:rPr>
                <w:sz w:val="20"/>
                <w:szCs w:val="20"/>
                <w:color w:val="auto"/>
              </w:rPr>
            </w:pPr>
            <w:r>
              <w:rPr>
                <w:rFonts w:ascii="Arial" w:cs="Arial" w:eastAsia="Arial" w:hAnsi="Arial"/>
                <w:sz w:val="14"/>
                <w:szCs w:val="14"/>
                <w:b w:val="1"/>
                <w:bCs w:val="1"/>
                <w:color w:val="auto"/>
                <w:w w:val="91"/>
              </w:rPr>
              <w:t>Independent</w:t>
            </w:r>
          </w:p>
        </w:tc>
        <w:tc>
          <w:tcPr>
            <w:tcW w:w="13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600" w:type="dxa"/>
            <w:vAlign w:val="bottom"/>
          </w:tcPr>
          <w:p>
            <w:pPr>
              <w:jc w:val="center"/>
              <w:ind w:left="59"/>
              <w:spacing w:after="0" w:line="149" w:lineRule="exact"/>
              <w:rPr>
                <w:sz w:val="20"/>
                <w:szCs w:val="20"/>
                <w:color w:val="auto"/>
              </w:rPr>
            </w:pPr>
            <w:r>
              <w:rPr>
                <w:rFonts w:ascii="Arial" w:cs="Arial" w:eastAsia="Arial" w:hAnsi="Arial"/>
                <w:sz w:val="14"/>
                <w:szCs w:val="14"/>
                <w:b w:val="1"/>
                <w:bCs w:val="1"/>
                <w:color w:val="auto"/>
                <w:w w:val="93"/>
              </w:rPr>
              <w:t>Corporate Governance</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600" w:type="dxa"/>
            <w:vAlign w:val="bottom"/>
          </w:tcPr>
          <w:p>
            <w:pPr>
              <w:jc w:val="center"/>
              <w:ind w:left="79"/>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2620" w:type="dxa"/>
            <w:vAlign w:val="bottom"/>
            <w:shd w:val="clear" w:color="auto" w:fill="CFF0FC"/>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Member</w:t>
            </w: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Jeremy Curnock Cook</w:t>
            </w:r>
          </w:p>
        </w:tc>
        <w:tc>
          <w:tcPr>
            <w:tcW w:w="2620" w:type="dxa"/>
            <w:vAlign w:val="bottom"/>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600" w:type="dxa"/>
            <w:vAlign w:val="bottom"/>
          </w:tcPr>
          <w:p>
            <w:pPr>
              <w:jc w:val="center"/>
              <w:ind w:left="79"/>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Louis Drapeau</w:t>
            </w:r>
          </w:p>
        </w:tc>
        <w:tc>
          <w:tcPr>
            <w:tcW w:w="2620" w:type="dxa"/>
            <w:vAlign w:val="bottom"/>
            <w:shd w:val="clear" w:color="auto" w:fill="CFF0FC"/>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Member</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Chair</w:t>
            </w:r>
          </w:p>
        </w:tc>
        <w:tc>
          <w:tcPr>
            <w:tcW w:w="1600" w:type="dxa"/>
            <w:vAlign w:val="bottom"/>
            <w:shd w:val="clear" w:color="auto" w:fill="CFF0FC"/>
          </w:tcPr>
          <w:p>
            <w:pPr>
              <w:jc w:val="center"/>
              <w:ind w:left="79"/>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Professor Suzanne Crowe</w:t>
            </w:r>
          </w:p>
        </w:tc>
        <w:tc>
          <w:tcPr>
            <w:tcW w:w="2620" w:type="dxa"/>
            <w:vAlign w:val="bottom"/>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060" w:type="dxa"/>
            <w:vAlign w:val="bottom"/>
          </w:tcPr>
          <w:p>
            <w:pPr>
              <w:spacing w:after="0"/>
              <w:rPr>
                <w:sz w:val="18"/>
                <w:szCs w:val="18"/>
                <w:color w:val="auto"/>
              </w:rPr>
            </w:pPr>
          </w:p>
        </w:tc>
        <w:tc>
          <w:tcPr>
            <w:tcW w:w="1600" w:type="dxa"/>
            <w:vAlign w:val="bottom"/>
          </w:tcPr>
          <w:p>
            <w:pPr>
              <w:jc w:val="center"/>
              <w:ind w:left="79"/>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2620" w:type="dxa"/>
            <w:vAlign w:val="bottom"/>
            <w:shd w:val="clear" w:color="auto" w:fill="CFF0FC"/>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Jan Stern Reed*</w:t>
            </w:r>
          </w:p>
        </w:tc>
        <w:tc>
          <w:tcPr>
            <w:tcW w:w="2620" w:type="dxa"/>
            <w:vAlign w:val="bottom"/>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*Directors were appointed July 1, 2021 and were not part of any Committees during the fiscal year.</w:t>
      </w:r>
    </w:p>
    <w:p>
      <w:pPr>
        <w:spacing w:after="0" w:line="225"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During the fiscal year ended June 30, 2021, the Board of Directors met a total of nine times (August 7, 2020, August 25, 2020, September 30, 2020, October 8, 2020, November 17, 2020, December 22. 2020, January 6, 2021, February 10, 2021, and May 11, 2021) and had full attendance of each Board of Directors member (six Board of Directors members) at six of those meetings, as well as attendance by at least four Board of Directors members at all nine meetings.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Arial" w:cs="Arial" w:eastAsia="Arial" w:hAnsi="Arial"/>
          <w:sz w:val="15"/>
          <w:szCs w:val="15"/>
          <w:color w:val="auto"/>
        </w:rPr>
        <w:t>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w:t>
      </w:r>
    </w:p>
    <w:p>
      <w:pPr>
        <w:spacing w:after="0" w:line="76"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registered public accounting firm, and such other duties as may be directed by our board of directors. The Audit Committee is also required to assess risk management in conjunction with the board.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Audit Committee currently consists of three board members, each of whom satisfies the “independence” requirements of the SEC,</w:t>
      </w:r>
    </w:p>
    <w:p>
      <w:pPr>
        <w:spacing w:after="0" w:line="2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NASDAQ Marketplace Rules, the ASX Listing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Our Audit Committee is currently composed of Louis Drapeau, Lou Panaccio, and Jeremy Curnock Cook (who joined the Audit Committee in April 2021) until a new director is assigned to replace Jeremy Curnock Cook. Each qualifies as an “independent director” within the meaning of NASDAQ Marketplace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Mr. Drapeau is the chairman of the audit committee (being an independent director who is not the chair of the board). The Audit Committee meets at least two times per year. During the fiscal year ended June 30, 2021, the Audit Committee met a total of four times (August 25, 2020, November 9, 2020, February 10, 2021, and May 10, 2021). For the February 10, 2021 Audit Committee meeting, the Audit Committee was only comprised of two members (due to there being a vacancy as a result of a prior director resigning from their role as a director of the Company with effect from November 9, 2020 and prior to Mr. Curnock Cook joining the Audit Committee in April 2021). All other meetings had full Audit Committee members in attendance. In addition, all four meetings had the Chief Executive Officer in attendance.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has determined that Louis Drapeau is an “audit committee financial expert,” as defined in item 407(d)(5)(ii) of Regulations S-K.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Our board of directors has established a Compensation Committee, which is comprised of independent directors, within the meaning of NASDAQ Marketplace Rules and also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The Compensation Committee is responsible for reviewing the salary, incentives and other benefits of our directors, senior executive officers and employees, and to make recommendations on such matters for approval by our board of directors. The Compensation Committee is also responsible for overseeing and advising our board of directors with regard to the adoption of policies that govern our compensation programs. Suzanne Crowe, Louis Drapeau, and Jeremy Curnock Cook are the current members of the Compensation Committee and each qualifies as an “independent director” within the meaning of NASDAQ Marketplace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Professor Crowe is the chairman of this committee (being an independent director who is not the chair of the board). During the fiscal year ended June 30, 2021, the Compensation Committee met a total of five times (August 7, 2020, October 8, 2020, November 5, 2020, February 10, 2021, and May 6, 2021) and had full attendance of each Compensation Committee member (three Compensation Committee members) at all five of those meetings.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and Corporate Governance Committee</w:t>
      </w:r>
    </w:p>
    <w:p>
      <w:pPr>
        <w:spacing w:after="0" w:line="121"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Our board of directors has established a Nomination and Corporate Governance Committee. Under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our Nomination and Corporate Governance Committee should have at least three members, a majority of whom are independent director and should also be chaired by an independent director. Suzanne Crowe, Louis Drapeau, and Jeremy Cook are the current members of the Nomination and Corporate Governance Committee and each qualifies as an “independent director” within the meaning of NASDAQ Marketplace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Professor Crowe is the chairman of this committee (being an independent director). The Nomination and Corporate Governance Committee is responsible for identifying individuals qualified to become members of our board of directors, recommending nominees for election at the stockholders meetings or to fill vacancies that arise on our board of directors, and recommending qualified and experienced directors to serve on the committees of our board of directors. In addition, the Nomination and Corporate Governance Committee is responsible for leading the board of directors to complete a self-evaluation of the board, its committees, and the individual directors. During the fiscal year ended June 30, 2021, the Nomination and Corporate Governance Committee met six times (August 7, 2020, October 8, 2020, November 5, 2020, February 9, 2021, April 13, 2021, and May 6, 2021) and had full attendance of each Nomination and Corporate Governance Committee member (three Nomination and Corporate Governance Committee members) at all six of those meetings.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particulars of the compensation paid to our “named executive officers” of our company are set out in the summary compensation below. For the fiscal year ended June 31, 2021, our “named executive officers” and their positions were as follows:</w:t>
      </w:r>
    </w:p>
    <w:p>
      <w:pPr>
        <w:spacing w:after="0" w:line="62" w:lineRule="exact"/>
        <w:rPr>
          <w:sz w:val="20"/>
          <w:szCs w:val="20"/>
          <w:color w:val="auto"/>
        </w:rPr>
      </w:pPr>
    </w:p>
    <w:p>
      <w:pPr>
        <w:ind w:left="420" w:hanging="358"/>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Michael Perry, </w:t>
      </w:r>
      <w:r>
        <w:rPr>
          <w:rFonts w:ascii="Arial" w:cs="Arial" w:eastAsia="Arial" w:hAnsi="Arial"/>
          <w:sz w:val="18"/>
          <w:szCs w:val="18"/>
          <w:i w:val="1"/>
          <w:iCs w:val="1"/>
          <w:color w:val="auto"/>
        </w:rPr>
        <w:t>Chief Executive Officer</w:t>
      </w:r>
    </w:p>
    <w:p>
      <w:pPr>
        <w:spacing w:after="0" w:line="117" w:lineRule="exact"/>
        <w:rPr>
          <w:rFonts w:ascii="Arial" w:cs="Arial" w:eastAsia="Arial" w:hAnsi="Arial"/>
          <w:sz w:val="18"/>
          <w:szCs w:val="18"/>
          <w:color w:val="auto"/>
        </w:rPr>
      </w:pPr>
    </w:p>
    <w:p>
      <w:pPr>
        <w:ind w:left="420" w:hanging="358"/>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Michael Holder, </w:t>
      </w:r>
      <w:r>
        <w:rPr>
          <w:rFonts w:ascii="Arial" w:cs="Arial" w:eastAsia="Arial" w:hAnsi="Arial"/>
          <w:sz w:val="18"/>
          <w:szCs w:val="18"/>
          <w:i w:val="1"/>
          <w:iCs w:val="1"/>
          <w:color w:val="auto"/>
        </w:rPr>
        <w:t>Chief Financial Officer</w:t>
      </w:r>
    </w:p>
    <w:p>
      <w:pPr>
        <w:spacing w:after="0" w:line="117" w:lineRule="exact"/>
        <w:rPr>
          <w:rFonts w:ascii="Arial" w:cs="Arial" w:eastAsia="Arial" w:hAnsi="Arial"/>
          <w:sz w:val="18"/>
          <w:szCs w:val="18"/>
          <w:color w:val="auto"/>
        </w:rPr>
      </w:pPr>
    </w:p>
    <w:p>
      <w:pPr>
        <w:ind w:left="420" w:hanging="358"/>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Kathy McGee, </w:t>
      </w:r>
      <w:r>
        <w:rPr>
          <w:rFonts w:ascii="Arial" w:cs="Arial" w:eastAsia="Arial" w:hAnsi="Arial"/>
          <w:sz w:val="18"/>
          <w:szCs w:val="18"/>
          <w:i w:val="1"/>
          <w:iCs w:val="1"/>
          <w:color w:val="auto"/>
        </w:rPr>
        <w:t>Chief Operating Officer</w:t>
      </w:r>
    </w:p>
    <w:p>
      <w:pPr>
        <w:spacing w:after="0" w:line="117" w:lineRule="exact"/>
        <w:rPr>
          <w:rFonts w:ascii="Arial" w:cs="Arial" w:eastAsia="Arial" w:hAnsi="Arial"/>
          <w:sz w:val="18"/>
          <w:szCs w:val="18"/>
          <w:color w:val="auto"/>
        </w:rPr>
      </w:pPr>
    </w:p>
    <w:p>
      <w:pPr>
        <w:ind w:left="420" w:hanging="358"/>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Erin Liberto, </w:t>
      </w:r>
      <w:r>
        <w:rPr>
          <w:rFonts w:ascii="Arial" w:cs="Arial" w:eastAsia="Arial" w:hAnsi="Arial"/>
          <w:sz w:val="18"/>
          <w:szCs w:val="18"/>
          <w:i w:val="1"/>
          <w:iCs w:val="1"/>
          <w:color w:val="auto"/>
        </w:rPr>
        <w:t>Chief Commercial Officer</w:t>
      </w:r>
    </w:p>
    <w:p>
      <w:pPr>
        <w:spacing w:after="0" w:line="117" w:lineRule="exact"/>
        <w:rPr>
          <w:rFonts w:ascii="Arial" w:cs="Arial" w:eastAsia="Arial" w:hAnsi="Arial"/>
          <w:sz w:val="18"/>
          <w:szCs w:val="18"/>
          <w:color w:val="auto"/>
        </w:rPr>
      </w:pPr>
    </w:p>
    <w:p>
      <w:pPr>
        <w:ind w:left="420" w:hanging="358"/>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Andrew Quick, </w:t>
      </w:r>
      <w:r>
        <w:rPr>
          <w:rFonts w:ascii="Arial" w:cs="Arial" w:eastAsia="Arial" w:hAnsi="Arial"/>
          <w:sz w:val="18"/>
          <w:szCs w:val="18"/>
          <w:i w:val="1"/>
          <w:iCs w:val="1"/>
          <w:color w:val="auto"/>
        </w:rPr>
        <w:t>Chief Technology Officer</w:t>
      </w:r>
    </w:p>
    <w:p>
      <w:pPr>
        <w:spacing w:after="0" w:line="117" w:lineRule="exact"/>
        <w:rPr>
          <w:rFonts w:ascii="Arial" w:cs="Arial" w:eastAsia="Arial" w:hAnsi="Arial"/>
          <w:sz w:val="18"/>
          <w:szCs w:val="18"/>
          <w:color w:val="auto"/>
        </w:rPr>
      </w:pPr>
    </w:p>
    <w:p>
      <w:pPr>
        <w:ind w:left="420" w:hanging="358"/>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Donna Shiroma, </w:t>
      </w:r>
      <w:r>
        <w:rPr>
          <w:rFonts w:ascii="Arial" w:cs="Arial" w:eastAsia="Arial" w:hAnsi="Arial"/>
          <w:sz w:val="18"/>
          <w:szCs w:val="18"/>
          <w:i w:val="1"/>
          <w:iCs w:val="1"/>
          <w:color w:val="auto"/>
        </w:rPr>
        <w:t>General Counsel</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Salary (1)</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 (2)</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Awards (3)</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Awards (4)</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 (5)</w:t>
            </w:r>
          </w:p>
        </w:tc>
        <w:tc>
          <w:tcPr>
            <w:tcW w:w="50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55"/>
        </w:trPr>
        <w:tc>
          <w:tcPr>
            <w:tcW w:w="3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3"/>
                <w:szCs w:val="13"/>
                <w:color w:val="auto"/>
              </w:rPr>
            </w:pPr>
          </w:p>
        </w:tc>
        <w:tc>
          <w:tcPr>
            <w:tcW w:w="800" w:type="dxa"/>
            <w:vAlign w:val="bottom"/>
            <w:tcBorders>
              <w:top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Michael Perry</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497,087</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414,960</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146,800</w:t>
            </w:r>
          </w:p>
        </w:tc>
        <w:tc>
          <w:tcPr>
            <w:tcW w:w="5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1,058,847</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Chief Executive Officer</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475,000</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415,625</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15,424,774</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991,473</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17,306,872</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475,000</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365,750</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594,425</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50,746</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1,485,921</w:t>
            </w:r>
          </w:p>
        </w:tc>
        <w:tc>
          <w:tcPr>
            <w:tcW w:w="100" w:type="dxa"/>
            <w:vAlign w:val="bottom"/>
            <w:shd w:val="clear" w:color="auto" w:fill="CFF0FC"/>
          </w:tcPr>
          <w:p>
            <w:pPr>
              <w:spacing w:after="0"/>
              <w:rPr>
                <w:sz w:val="14"/>
                <w:szCs w:val="14"/>
                <w:color w:val="auto"/>
              </w:rPr>
            </w:pPr>
          </w:p>
        </w:tc>
      </w:tr>
      <w:tr>
        <w:trPr>
          <w:trHeight w:val="157"/>
        </w:trPr>
        <w:tc>
          <w:tcPr>
            <w:tcW w:w="3500" w:type="dxa"/>
            <w:vAlign w:val="bottom"/>
          </w:tcPr>
          <w:p>
            <w:pPr>
              <w:spacing w:after="0" w:line="157" w:lineRule="exact"/>
              <w:rPr>
                <w:sz w:val="20"/>
                <w:szCs w:val="20"/>
                <w:color w:val="auto"/>
              </w:rPr>
            </w:pPr>
            <w:r>
              <w:rPr>
                <w:rFonts w:ascii="Arial" w:cs="Arial" w:eastAsia="Arial" w:hAnsi="Arial"/>
                <w:sz w:val="14"/>
                <w:szCs w:val="14"/>
                <w:color w:val="auto"/>
              </w:rPr>
              <w:t>Michael Holder</w:t>
            </w:r>
          </w:p>
        </w:tc>
        <w:tc>
          <w:tcPr>
            <w:tcW w:w="20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2021</w:t>
            </w: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114,423</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1,966,472</w:t>
            </w:r>
          </w:p>
        </w:tc>
        <w:tc>
          <w:tcPr>
            <w:tcW w:w="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51,008</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(12)</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2,131,903</w:t>
            </w:r>
          </w:p>
        </w:tc>
        <w:tc>
          <w:tcPr>
            <w:tcW w:w="100" w:type="dxa"/>
            <w:vAlign w:val="bottom"/>
          </w:tcPr>
          <w:p>
            <w:pPr>
              <w:spacing w:after="0"/>
              <w:rPr>
                <w:sz w:val="13"/>
                <w:szCs w:val="13"/>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7"/>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Kathy McGee</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199,646</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35,350</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1,893,473</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21,427</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2,149,896</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Chief Operating Officer</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57"/>
        </w:trPr>
        <w:tc>
          <w:tcPr>
            <w:tcW w:w="3500" w:type="dxa"/>
            <w:vAlign w:val="bottom"/>
          </w:tcPr>
          <w:p>
            <w:pPr>
              <w:spacing w:after="0" w:line="157" w:lineRule="exact"/>
              <w:rPr>
                <w:sz w:val="20"/>
                <w:szCs w:val="20"/>
                <w:color w:val="auto"/>
              </w:rPr>
            </w:pPr>
            <w:r>
              <w:rPr>
                <w:rFonts w:ascii="Arial" w:cs="Arial" w:eastAsia="Arial" w:hAnsi="Arial"/>
                <w:sz w:val="14"/>
                <w:szCs w:val="14"/>
                <w:color w:val="auto"/>
              </w:rPr>
              <w:t>Erin Liberto,</w:t>
            </w:r>
          </w:p>
        </w:tc>
        <w:tc>
          <w:tcPr>
            <w:tcW w:w="20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2021</w:t>
            </w: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335,572</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125,058</w:t>
            </w:r>
          </w:p>
        </w:tc>
        <w:tc>
          <w:tcPr>
            <w:tcW w:w="1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54,636</w:t>
            </w:r>
          </w:p>
        </w:tc>
        <w:tc>
          <w:tcPr>
            <w:tcW w:w="5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515,266</w:t>
            </w:r>
          </w:p>
        </w:tc>
        <w:tc>
          <w:tcPr>
            <w:tcW w:w="100" w:type="dxa"/>
            <w:vAlign w:val="bottom"/>
          </w:tcPr>
          <w:p>
            <w:pPr>
              <w:spacing w:after="0"/>
              <w:rPr>
                <w:sz w:val="13"/>
                <w:szCs w:val="13"/>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Chief Commercial Officer</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310,539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114,548</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50,452</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475,540</w:t>
            </w:r>
          </w:p>
        </w:tc>
        <w:tc>
          <w:tcPr>
            <w:tcW w:w="100" w:type="dxa"/>
            <w:vAlign w:val="bottom"/>
          </w:tcPr>
          <w:p>
            <w:pPr>
              <w:spacing w:after="0"/>
              <w:rPr>
                <w:sz w:val="14"/>
                <w:szCs w:val="14"/>
                <w:color w:val="auto"/>
              </w:rPr>
            </w:pPr>
          </w:p>
        </w:tc>
      </w:tr>
      <w:tr>
        <w:trPr>
          <w:trHeight w:val="167"/>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285,000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105,000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350,162</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46,030</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786,192</w:t>
            </w:r>
          </w:p>
        </w:tc>
        <w:tc>
          <w:tcPr>
            <w:tcW w:w="100" w:type="dxa"/>
            <w:vAlign w:val="bottom"/>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Andrew Quick</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329,648</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117,936</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44,113</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491,697</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Chief Technology Officer</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314,717</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97,231</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42,319</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454,267</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288,750</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85,000</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691,617</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43,194</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1,108,560</w:t>
            </w:r>
          </w:p>
        </w:tc>
        <w:tc>
          <w:tcPr>
            <w:tcW w:w="100" w:type="dxa"/>
            <w:vAlign w:val="bottom"/>
            <w:shd w:val="clear" w:color="auto" w:fill="CFF0FC"/>
          </w:tcPr>
          <w:p>
            <w:pPr>
              <w:spacing w:after="0"/>
              <w:rPr>
                <w:sz w:val="14"/>
                <w:szCs w:val="14"/>
                <w:color w:val="auto"/>
              </w:rPr>
            </w:pPr>
          </w:p>
        </w:tc>
      </w:tr>
      <w:tr>
        <w:trPr>
          <w:trHeight w:val="157"/>
        </w:trPr>
        <w:tc>
          <w:tcPr>
            <w:tcW w:w="3500" w:type="dxa"/>
            <w:vAlign w:val="bottom"/>
          </w:tcPr>
          <w:p>
            <w:pPr>
              <w:spacing w:after="0" w:line="157" w:lineRule="exact"/>
              <w:rPr>
                <w:sz w:val="20"/>
                <w:szCs w:val="20"/>
                <w:color w:val="auto"/>
              </w:rPr>
            </w:pPr>
            <w:r>
              <w:rPr>
                <w:rFonts w:ascii="Arial" w:cs="Arial" w:eastAsia="Arial" w:hAnsi="Arial"/>
                <w:sz w:val="14"/>
                <w:szCs w:val="14"/>
                <w:color w:val="auto"/>
              </w:rPr>
              <w:t>Donna Shiroma</w:t>
            </w:r>
          </w:p>
        </w:tc>
        <w:tc>
          <w:tcPr>
            <w:tcW w:w="20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2021</w:t>
            </w: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335,572</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116,721</w:t>
            </w:r>
          </w:p>
        </w:tc>
        <w:tc>
          <w:tcPr>
            <w:tcW w:w="1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21,413</w:t>
            </w:r>
          </w:p>
        </w:tc>
        <w:tc>
          <w:tcPr>
            <w:tcW w:w="5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473,706</w:t>
            </w:r>
          </w:p>
        </w:tc>
        <w:tc>
          <w:tcPr>
            <w:tcW w:w="100" w:type="dxa"/>
            <w:vAlign w:val="bottom"/>
          </w:tcPr>
          <w:p>
            <w:pPr>
              <w:spacing w:after="0"/>
              <w:rPr>
                <w:sz w:val="13"/>
                <w:szCs w:val="13"/>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General Counsel</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313,064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103,022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60,136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36,090</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512,312</w:t>
            </w:r>
          </w:p>
        </w:tc>
        <w:tc>
          <w:tcPr>
            <w:tcW w:w="100" w:type="dxa"/>
            <w:vAlign w:val="bottom"/>
          </w:tcPr>
          <w:p>
            <w:pPr>
              <w:spacing w:after="0"/>
              <w:rPr>
                <w:sz w:val="14"/>
                <w:szCs w:val="14"/>
                <w:color w:val="auto"/>
              </w:rPr>
            </w:pPr>
          </w:p>
        </w:tc>
      </w:tr>
      <w:tr>
        <w:trPr>
          <w:trHeight w:val="167"/>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83,000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570,754</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28,981</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982,734</w:t>
            </w:r>
          </w:p>
        </w:tc>
        <w:tc>
          <w:tcPr>
            <w:tcW w:w="100" w:type="dxa"/>
            <w:vAlign w:val="bottom"/>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Sean Ekins</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(6)</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102,340</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113,250</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14,268</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229,858</w:t>
            </w:r>
          </w:p>
        </w:tc>
        <w:tc>
          <w:tcPr>
            <w:tcW w:w="100" w:type="dxa"/>
            <w:vAlign w:val="bottom"/>
            <w:shd w:val="clear" w:color="auto" w:fill="CFF0FC"/>
          </w:tcPr>
          <w:p>
            <w:pPr>
              <w:spacing w:after="0"/>
              <w:rPr>
                <w:sz w:val="14"/>
                <w:szCs w:val="14"/>
                <w:color w:val="auto"/>
              </w:rPr>
            </w:pPr>
          </w:p>
        </w:tc>
      </w:tr>
      <w:tr>
        <w:trPr>
          <w:trHeight w:val="143"/>
        </w:trPr>
        <w:tc>
          <w:tcPr>
            <w:tcW w:w="35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Former Interim Chief Principal Financial and Accounting</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Officer</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57"/>
        </w:trPr>
        <w:tc>
          <w:tcPr>
            <w:tcW w:w="3500" w:type="dxa"/>
            <w:vAlign w:val="bottom"/>
          </w:tcPr>
          <w:p>
            <w:pPr>
              <w:spacing w:after="0" w:line="157" w:lineRule="exact"/>
              <w:rPr>
                <w:sz w:val="20"/>
                <w:szCs w:val="20"/>
                <w:color w:val="auto"/>
              </w:rPr>
            </w:pPr>
            <w:r>
              <w:rPr>
                <w:rFonts w:ascii="Arial" w:cs="Arial" w:eastAsia="Arial" w:hAnsi="Arial"/>
                <w:sz w:val="14"/>
                <w:szCs w:val="14"/>
                <w:color w:val="auto"/>
              </w:rPr>
              <w:t>David McIntyre</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w w:val="93"/>
              </w:rPr>
              <w:t>(7)</w:t>
            </w: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2021</w:t>
            </w: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166,957</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52,154</w:t>
            </w:r>
          </w:p>
        </w:tc>
        <w:tc>
          <w:tcPr>
            <w:tcW w:w="5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219,111</w:t>
            </w:r>
          </w:p>
        </w:tc>
        <w:tc>
          <w:tcPr>
            <w:tcW w:w="100" w:type="dxa"/>
            <w:vAlign w:val="bottom"/>
          </w:tcPr>
          <w:p>
            <w:pPr>
              <w:spacing w:after="0"/>
              <w:rPr>
                <w:sz w:val="13"/>
                <w:szCs w:val="13"/>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Former Chief Financial Officer</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242,079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25,062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1,804,073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3,702,477</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59,659</w:t>
            </w: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800" w:type="dxa"/>
            <w:vAlign w:val="bottom"/>
          </w:tcPr>
          <w:p>
            <w:pPr>
              <w:jc w:val="right"/>
              <w:spacing w:after="0"/>
              <w:rPr>
                <w:sz w:val="20"/>
                <w:szCs w:val="20"/>
                <w:color w:val="auto"/>
              </w:rPr>
            </w:pPr>
            <w:r>
              <w:rPr>
                <w:rFonts w:ascii="Arial" w:cs="Arial" w:eastAsia="Arial" w:hAnsi="Arial"/>
                <w:sz w:val="14"/>
                <w:szCs w:val="14"/>
                <w:color w:val="auto"/>
              </w:rPr>
              <w:t>5,833,350</w:t>
            </w:r>
          </w:p>
        </w:tc>
        <w:tc>
          <w:tcPr>
            <w:tcW w:w="100" w:type="dxa"/>
            <w:vAlign w:val="bottom"/>
          </w:tcPr>
          <w:p>
            <w:pPr>
              <w:spacing w:after="0"/>
              <w:rPr>
                <w:sz w:val="14"/>
                <w:szCs w:val="14"/>
                <w:color w:val="auto"/>
              </w:rPr>
            </w:pPr>
          </w:p>
        </w:tc>
      </w:tr>
      <w:tr>
        <w:trPr>
          <w:trHeight w:val="167"/>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Timothy Rooney, former</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(8)</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36,101</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661,825</w:t>
            </w:r>
          </w:p>
        </w:tc>
        <w:tc>
          <w:tcPr>
            <w:tcW w:w="5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697,926</w:t>
            </w:r>
          </w:p>
        </w:tc>
        <w:tc>
          <w:tcPr>
            <w:tcW w:w="100" w:type="dxa"/>
            <w:vAlign w:val="bottom"/>
            <w:shd w:val="clear" w:color="auto" w:fill="CFF0FC"/>
          </w:tcPr>
          <w:p>
            <w:pPr>
              <w:spacing w:after="0"/>
              <w:rPr>
                <w:sz w:val="14"/>
                <w:szCs w:val="14"/>
                <w:color w:val="auto"/>
              </w:rPr>
            </w:pPr>
          </w:p>
        </w:tc>
      </w:tr>
      <w:tr>
        <w:trPr>
          <w:trHeight w:val="143"/>
        </w:trPr>
        <w:tc>
          <w:tcPr>
            <w:tcW w:w="35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Chief Administrative Officer and Former Chief Financial</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Officer</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315,716</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143,280</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100,226</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24,319</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583,542</w:t>
            </w:r>
          </w:p>
        </w:tc>
        <w:tc>
          <w:tcPr>
            <w:tcW w:w="100" w:type="dxa"/>
            <w:vAlign w:val="bottom"/>
            <w:shd w:val="clear" w:color="auto" w:fill="CFF0FC"/>
          </w:tcPr>
          <w:p>
            <w:pPr>
              <w:spacing w:after="0"/>
              <w:rPr>
                <w:sz w:val="14"/>
                <w:szCs w:val="14"/>
                <w:color w:val="auto"/>
              </w:rPr>
            </w:pPr>
          </w:p>
        </w:tc>
      </w:tr>
      <w:tr>
        <w:trPr>
          <w:trHeight w:val="162"/>
        </w:trPr>
        <w:tc>
          <w:tcPr>
            <w:tcW w:w="3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316,000</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105,000</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229,459</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28,390</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678,848</w:t>
            </w:r>
          </w:p>
        </w:tc>
        <w:tc>
          <w:tcPr>
            <w:tcW w:w="100" w:type="dxa"/>
            <w:vAlign w:val="bottom"/>
            <w:shd w:val="clear" w:color="auto" w:fill="CFF0FC"/>
          </w:tcPr>
          <w:p>
            <w:pPr>
              <w:spacing w:after="0"/>
              <w:rPr>
                <w:sz w:val="14"/>
                <w:szCs w:val="14"/>
                <w:color w:val="auto"/>
              </w:rPr>
            </w:pPr>
          </w:p>
        </w:tc>
      </w:tr>
      <w:tr>
        <w:trPr>
          <w:trHeight w:val="157"/>
        </w:trPr>
        <w:tc>
          <w:tcPr>
            <w:tcW w:w="3500" w:type="dxa"/>
            <w:vAlign w:val="bottom"/>
          </w:tcPr>
          <w:p>
            <w:pPr>
              <w:spacing w:after="0" w:line="157" w:lineRule="exact"/>
              <w:rPr>
                <w:sz w:val="20"/>
                <w:szCs w:val="20"/>
                <w:color w:val="auto"/>
              </w:rPr>
            </w:pPr>
            <w:r>
              <w:rPr>
                <w:rFonts w:ascii="Arial" w:cs="Arial" w:eastAsia="Arial" w:hAnsi="Arial"/>
                <w:sz w:val="14"/>
                <w:szCs w:val="14"/>
                <w:color w:val="auto"/>
              </w:rPr>
              <w:t>Dale Sander</w:t>
            </w:r>
          </w:p>
        </w:tc>
        <w:tc>
          <w:tcPr>
            <w:tcW w:w="20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2021</w:t>
            </w:r>
          </w:p>
        </w:tc>
        <w:tc>
          <w:tcPr>
            <w:tcW w:w="6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Former Chief Financial Officer</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82"/>
        </w:trPr>
        <w:tc>
          <w:tcPr>
            <w:tcW w:w="35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3"/>
              </w:rPr>
              <w:t>(9)</w:t>
            </w:r>
          </w:p>
        </w:tc>
        <w:tc>
          <w:tcPr>
            <w:tcW w:w="440" w:type="dxa"/>
            <w:vAlign w:val="bottom"/>
          </w:tcPr>
          <w:p>
            <w:pPr>
              <w:jc w:val="right"/>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273,239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175,500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350,162</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227,231</w:t>
            </w: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800" w:type="dxa"/>
            <w:vAlign w:val="bottom"/>
          </w:tcPr>
          <w:p>
            <w:pPr>
              <w:jc w:val="right"/>
              <w:spacing w:after="0"/>
              <w:rPr>
                <w:sz w:val="20"/>
                <w:szCs w:val="20"/>
                <w:color w:val="auto"/>
              </w:rPr>
            </w:pPr>
            <w:r>
              <w:rPr>
                <w:rFonts w:ascii="Arial" w:cs="Arial" w:eastAsia="Arial" w:hAnsi="Arial"/>
                <w:sz w:val="14"/>
                <w:szCs w:val="14"/>
                <w:color w:val="auto"/>
              </w:rPr>
              <w:t>1,026,131</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3" w:lineRule="exact"/>
        <w:rPr>
          <w:sz w:val="20"/>
          <w:szCs w:val="20"/>
          <w:color w:val="auto"/>
        </w:rPr>
      </w:pPr>
    </w:p>
    <w:p>
      <w:pPr>
        <w:ind w:left="500" w:right="480" w:hanging="492"/>
        <w:spacing w:after="0" w:line="258"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represent dollar value of base salary (cash and non-cash) earned by the named executive officer during the fiscal year covered.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in this column represent dollar value of bonus (cash and non-cash) earned by the named executive officer during the fiscal year covered.</w:t>
      </w:r>
    </w:p>
    <w:p>
      <w:pPr>
        <w:spacing w:after="0" w:line="32"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1" w:lineRule="exact"/>
        <w:rPr>
          <w:rFonts w:ascii="Arial" w:cs="Arial" w:eastAsia="Arial" w:hAnsi="Arial"/>
          <w:sz w:val="18"/>
          <w:szCs w:val="18"/>
          <w:color w:val="auto"/>
        </w:rPr>
      </w:pPr>
    </w:p>
    <w:p>
      <w:pPr>
        <w:ind w:left="500" w:right="140" w:hanging="492"/>
        <w:spacing w:after="0" w:line="28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related criteria, including continuation of employment over the relevant vesting period.</w:t>
      </w:r>
    </w:p>
    <w:p>
      <w:pPr>
        <w:spacing w:after="0" w:line="2" w:lineRule="exact"/>
        <w:rPr>
          <w:rFonts w:ascii="Arial" w:cs="Arial" w:eastAsia="Arial" w:hAnsi="Arial"/>
          <w:sz w:val="16"/>
          <w:szCs w:val="16"/>
          <w:color w:val="auto"/>
        </w:rPr>
      </w:pPr>
    </w:p>
    <w:p>
      <w:pPr>
        <w:ind w:left="500" w:right="40" w:hanging="492"/>
        <w:spacing w:after="0" w:line="28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in this column represent all other compensation for the covered fiscal year that the smaller reporting company could not properly report in any other column of the Summary Compensation Table. This includes the 401-k Match, superannuation (pension) and health care benefits.</w:t>
      </w:r>
    </w:p>
    <w:p>
      <w:pPr>
        <w:spacing w:after="0" w:line="1" w:lineRule="exact"/>
        <w:rPr>
          <w:rFonts w:ascii="Arial" w:cs="Arial" w:eastAsia="Arial" w:hAnsi="Arial"/>
          <w:sz w:val="16"/>
          <w:szCs w:val="16"/>
          <w:color w:val="auto"/>
        </w:rPr>
      </w:pPr>
    </w:p>
    <w:p>
      <w:pPr>
        <w:ind w:left="520" w:right="240" w:hanging="490"/>
        <w:spacing w:after="0" w:line="250" w:lineRule="auto"/>
        <w:tabs>
          <w:tab w:leader="none" w:pos="4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Former Interim Chief Principal Financial and Accounting Officer from November 24, 2020 – March 22, 2021. Salary represents amounts earned during this period.</w:t>
      </w:r>
    </w:p>
    <w:p>
      <w:pPr>
        <w:spacing w:after="0" w:line="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McIntyre resigned as Chief Financial Officer as of November 23,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Rooney’s employment with the Company ended on July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Sander resigned as Chief Financial Officer as of May 15, 2019.</w:t>
      </w:r>
    </w:p>
    <w:p>
      <w:pPr>
        <w:spacing w:after="0" w:line="9" w:lineRule="exact"/>
        <w:rPr>
          <w:rFonts w:ascii="Arial" w:cs="Arial" w:eastAsia="Arial" w:hAnsi="Arial"/>
          <w:sz w:val="18"/>
          <w:szCs w:val="18"/>
          <w:color w:val="auto"/>
        </w:rPr>
      </w:pPr>
    </w:p>
    <w:p>
      <w:pPr>
        <w:ind w:left="520" w:right="560" w:hanging="490"/>
        <w:spacing w:after="0" w:line="260" w:lineRule="auto"/>
        <w:tabs>
          <w:tab w:leader="none" w:pos="513"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Comprises (a) $114,408 in relation to the travel, flight and accommodation costs associated with the executive commuting from his home on Colorado to our offices in Valencia, California (including an amount necessary to gross up these cost for income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tax purposes under U.S. federal, California and Colorado State laws); (b) $26,217 associated with medical benefits (including an amount necessary to gross up these cost for income tax purposes under U.S. federal, California and Colorado State laws), and (c) $6,175 associated with 401-k matching contributions.</w:t>
      </w:r>
    </w:p>
    <w:p>
      <w:pPr>
        <w:spacing w:after="0" w:line="3" w:lineRule="exact"/>
        <w:rPr>
          <w:sz w:val="20"/>
          <w:szCs w:val="20"/>
          <w:color w:val="auto"/>
        </w:rPr>
      </w:pPr>
    </w:p>
    <w:p>
      <w:pPr>
        <w:ind w:left="500" w:right="120" w:hanging="492"/>
        <w:spacing w:after="0" w:line="265"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Comprises (a) $204,682 in relation to the travel, flight and accommodation costs associated with the executive commuting from his home on Colorado to our offices in Valencia, California (including an amount necessary to gross up these cost for income tax purposes under U.S. federal, California and Colorado State laws); (b) $723,620 associated with profession legal, financial and tax advice associated with the conclusion of various employment, financial and income tax issues in connection with the executive’s revised employment arrangement (including an amount necessary to gross up these cost for income tax purposes under U.S. federal, California and Colorado State laws); and (c) $50,419 associated with medical benefits (including an amount necessary to gross up these cost for income tax purposes under U.S. federal, California and Colorado State laws), and (d) $12,752 associated with 401-k matching contributions.</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Comprises $47,923 of relocation expenses and $3,085 of 401(k) employer match contribution.</w:t>
      </w:r>
    </w:p>
    <w:p>
      <w:pPr>
        <w:spacing w:after="0" w:line="9" w:lineRule="exact"/>
        <w:rPr>
          <w:rFonts w:ascii="Arial" w:cs="Arial" w:eastAsia="Arial" w:hAnsi="Arial"/>
          <w:sz w:val="18"/>
          <w:szCs w:val="18"/>
          <w:color w:val="auto"/>
        </w:rPr>
      </w:pPr>
    </w:p>
    <w:p>
      <w:pPr>
        <w:ind w:left="500" w:right="40" w:hanging="492"/>
        <w:spacing w:after="0" w:line="28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Comprises (a) $35,945 in relation to the travel, flight and accommodation costs associated with the executive commuting from his home in New Jersey to our offices in Valencia, California (including an amount necessary to gross up these costs for income tax purposes under relevant U.S. federal, California and New Jersey income tax laws); $16,712 associated with health care benefits pursuant to the Company’s health care plan; and</w:t>
      </w:r>
    </w:p>
    <w:p>
      <w:pPr>
        <w:spacing w:after="0" w:line="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(b) $9,001 associated with 401-k matching contributions.</w:t>
      </w:r>
    </w:p>
    <w:p>
      <w:pPr>
        <w:spacing w:after="0" w:line="9" w:lineRule="exact"/>
        <w:rPr>
          <w:rFonts w:ascii="Arial" w:cs="Arial" w:eastAsia="Arial" w:hAnsi="Arial"/>
          <w:sz w:val="16"/>
          <w:szCs w:val="16"/>
          <w:color w:val="auto"/>
        </w:rPr>
      </w:pPr>
    </w:p>
    <w:p>
      <w:pPr>
        <w:ind w:left="460" w:hanging="430"/>
        <w:spacing w:after="0"/>
        <w:tabs>
          <w:tab w:leader="none" w:pos="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Includes severance payments of $661,825, as part of employment agreement.</w:t>
      </w:r>
    </w:p>
    <w:p>
      <w:pPr>
        <w:spacing w:after="0" w:line="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severance payments of $187,788, and health care benefits of $39,443 pursuant to the Company’s health care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outlines the specified terms of the relevant employment contracts for the Named Executive Officers of the Company and non-</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Employee Directors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Arial" w:cs="Arial" w:eastAsia="Arial" w:hAnsi="Arial"/>
                <w:sz w:val="14"/>
                <w:szCs w:val="14"/>
                <w:b w:val="1"/>
                <w:bCs w:val="1"/>
                <w:color w:val="auto"/>
              </w:rPr>
              <w:t>Role</w:t>
            </w:r>
          </w:p>
        </w:tc>
        <w:tc>
          <w:tcPr>
            <w:tcW w:w="180" w:type="dxa"/>
            <w:vAlign w:val="bottom"/>
          </w:tcPr>
          <w:p>
            <w:pPr>
              <w:spacing w:after="0"/>
              <w:rPr>
                <w:sz w:val="14"/>
                <w:szCs w:val="14"/>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Contract Duration</w:t>
            </w:r>
          </w:p>
        </w:tc>
        <w:tc>
          <w:tcPr>
            <w:tcW w:w="2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Period of Notice</w:t>
            </w:r>
          </w:p>
        </w:tc>
        <w:tc>
          <w:tcPr>
            <w:tcW w:w="100" w:type="dxa"/>
            <w:vAlign w:val="bottom"/>
          </w:tcPr>
          <w:p>
            <w:pPr>
              <w:spacing w:after="0"/>
              <w:rPr>
                <w:sz w:val="14"/>
                <w:szCs w:val="14"/>
                <w:color w:val="auto"/>
              </w:rPr>
            </w:pPr>
          </w:p>
        </w:tc>
        <w:tc>
          <w:tcPr>
            <w:tcW w:w="2960" w:type="dxa"/>
            <w:vAlign w:val="bottom"/>
            <w:gridSpan w:val="2"/>
          </w:tcPr>
          <w:p>
            <w:pPr>
              <w:ind w:left="760"/>
              <w:spacing w:after="0"/>
              <w:rPr>
                <w:sz w:val="20"/>
                <w:szCs w:val="20"/>
                <w:color w:val="auto"/>
              </w:rPr>
            </w:pPr>
            <w:r>
              <w:rPr>
                <w:rFonts w:ascii="Arial" w:cs="Arial" w:eastAsia="Arial" w:hAnsi="Arial"/>
                <w:sz w:val="14"/>
                <w:szCs w:val="14"/>
                <w:b w:val="1"/>
                <w:bCs w:val="1"/>
                <w:color w:val="auto"/>
              </w:rPr>
              <w:t>Termination payments</w:t>
            </w:r>
          </w:p>
        </w:tc>
        <w:tc>
          <w:tcPr>
            <w:tcW w:w="0" w:type="dxa"/>
            <w:vAlign w:val="bottom"/>
          </w:tcPr>
          <w:p>
            <w:pPr>
              <w:spacing w:after="0"/>
              <w:rPr>
                <w:sz w:val="1"/>
                <w:szCs w:val="1"/>
                <w:color w:val="auto"/>
              </w:rPr>
            </w:pPr>
          </w:p>
        </w:tc>
      </w:tr>
      <w:tr>
        <w:trPr>
          <w:trHeight w:val="30"/>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 xml:space="preserve">provided for by contract </w:t>
            </w:r>
            <w:r>
              <w:rPr>
                <w:rFonts w:ascii="Arial" w:cs="Arial" w:eastAsia="Arial" w:hAnsi="Arial"/>
                <w:sz w:val="14"/>
                <w:szCs w:val="14"/>
                <w:color w:val="auto"/>
              </w:rPr>
              <w:t>(1)</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940" w:type="dxa"/>
            <w:vAlign w:val="bottom"/>
            <w:tcBorders>
              <w:bottom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304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Chief Executive Officer</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Dr. Michael Perry</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Voluntary Termination: not</w:t>
            </w:r>
          </w:p>
        </w:tc>
        <w:tc>
          <w:tcPr>
            <w:tcW w:w="30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12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(CEO)</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92"/>
              </w:rPr>
              <w:t>less than 30 days nor more than</w:t>
            </w:r>
          </w:p>
        </w:tc>
        <w:tc>
          <w:tcPr>
            <w:tcW w:w="10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90 days.</w:t>
            </w:r>
          </w:p>
        </w:tc>
        <w:tc>
          <w:tcPr>
            <w:tcW w:w="10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Termination for Good</w:t>
            </w:r>
          </w:p>
        </w:tc>
        <w:tc>
          <w:tcPr>
            <w:tcW w:w="1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w w:val="94"/>
              </w:rPr>
              <w:t>Reason: Not to exceed 90 days</w:t>
            </w:r>
          </w:p>
        </w:tc>
        <w:tc>
          <w:tcPr>
            <w:tcW w:w="100" w:type="dxa"/>
            <w:vAlign w:val="bottom"/>
            <w:tcBorders>
              <w:bottom w:val="single" w:sz="8" w:color="CFF0FC"/>
            </w:tcBorders>
            <w:shd w:val="clear" w:color="auto" w:fill="CFF0FC"/>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6"/>
                <w:szCs w:val="16"/>
                <w:b w:val="1"/>
                <w:bCs w:val="1"/>
                <w:color w:val="auto"/>
                <w:w w:val="98"/>
              </w:rPr>
              <w:t>Chief Financial Officer</w:t>
            </w:r>
          </w:p>
        </w:tc>
        <w:tc>
          <w:tcPr>
            <w:tcW w:w="18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Michael Holder</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3-month notice period</w:t>
            </w: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9 months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Chief Operating Officer</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Kathy McGee</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3-month notice period</w:t>
            </w:r>
          </w:p>
        </w:tc>
        <w:tc>
          <w:tcPr>
            <w:tcW w:w="30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9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(COO)</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Arial" w:cs="Arial" w:eastAsia="Arial" w:hAnsi="Arial"/>
                <w:sz w:val="16"/>
                <w:szCs w:val="16"/>
                <w:b w:val="1"/>
                <w:bCs w:val="1"/>
                <w:color w:val="auto"/>
              </w:rPr>
              <w:t>Chief Commercial</w:t>
            </w:r>
          </w:p>
        </w:tc>
        <w:tc>
          <w:tcPr>
            <w:tcW w:w="180" w:type="dxa"/>
            <w:vAlign w:val="bottom"/>
          </w:tcPr>
          <w:p>
            <w:pPr>
              <w:spacing w:after="0"/>
              <w:rPr>
                <w:sz w:val="16"/>
                <w:szCs w:val="16"/>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Erin Liberto</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No notice period</w:t>
            </w: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6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220"/>
              <w:spacing w:after="0"/>
              <w:rPr>
                <w:sz w:val="20"/>
                <w:szCs w:val="20"/>
                <w:color w:val="auto"/>
              </w:rPr>
            </w:pPr>
            <w:r>
              <w:rPr>
                <w:rFonts w:ascii="Arial" w:cs="Arial" w:eastAsia="Arial" w:hAnsi="Arial"/>
                <w:sz w:val="16"/>
                <w:szCs w:val="16"/>
                <w:b w:val="1"/>
                <w:bCs w:val="1"/>
                <w:color w:val="auto"/>
              </w:rPr>
              <w:t>Officer (CCO)</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Chief Technology</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Andrew Quick</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No notice period</w:t>
            </w:r>
          </w:p>
        </w:tc>
        <w:tc>
          <w:tcPr>
            <w:tcW w:w="30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6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Officer (CTO)</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6"/>
                <w:szCs w:val="16"/>
                <w:b w:val="1"/>
                <w:bCs w:val="1"/>
                <w:color w:val="auto"/>
              </w:rPr>
              <w:t>General Counsel (GC)</w:t>
            </w:r>
          </w:p>
        </w:tc>
        <w:tc>
          <w:tcPr>
            <w:tcW w:w="18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Donna Shiroma</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No notice period</w:t>
            </w: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6 months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Non-Executive</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Lou Panaccio</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No notice period</w:t>
            </w:r>
          </w:p>
        </w:tc>
        <w:tc>
          <w:tcPr>
            <w:tcW w:w="30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Chairman</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Arial" w:cs="Arial" w:eastAsia="Arial" w:hAnsi="Arial"/>
                <w:sz w:val="16"/>
                <w:szCs w:val="16"/>
                <w:b w:val="1"/>
                <w:bCs w:val="1"/>
                <w:color w:val="auto"/>
                <w:w w:val="93"/>
              </w:rPr>
              <w:t>All other Non-Executive</w:t>
            </w:r>
          </w:p>
        </w:tc>
        <w:tc>
          <w:tcPr>
            <w:tcW w:w="180" w:type="dxa"/>
            <w:vAlign w:val="bottom"/>
          </w:tcPr>
          <w:p>
            <w:pPr>
              <w:spacing w:after="0"/>
              <w:rPr>
                <w:sz w:val="16"/>
                <w:szCs w:val="16"/>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Jeremy Curnock Cook</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No notice period</w:t>
            </w:r>
          </w:p>
        </w:tc>
        <w:tc>
          <w:tcPr>
            <w:tcW w:w="100" w:type="dxa"/>
            <w:vAlign w:val="bottom"/>
          </w:tcPr>
          <w:p>
            <w:pPr>
              <w:spacing w:after="0"/>
              <w:rPr>
                <w:sz w:val="16"/>
                <w:szCs w:val="16"/>
                <w:color w:val="auto"/>
              </w:rPr>
            </w:pPr>
          </w:p>
        </w:tc>
        <w:tc>
          <w:tcPr>
            <w:tcW w:w="2940" w:type="dxa"/>
            <w:vAlign w:val="bottom"/>
          </w:tcPr>
          <w:p>
            <w:pPr>
              <w:ind w:left="2580"/>
              <w:spacing w:after="0"/>
              <w:rPr>
                <w:sz w:val="20"/>
                <w:szCs w:val="20"/>
                <w:color w:val="auto"/>
              </w:rPr>
            </w:pPr>
            <w:r>
              <w:rPr>
                <w:rFonts w:ascii="Arial" w:cs="Arial" w:eastAsia="Arial" w:hAnsi="Arial"/>
                <w:sz w:val="16"/>
                <w:szCs w:val="16"/>
                <w:color w:val="auto"/>
                <w:w w:val="88"/>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220"/>
              <w:spacing w:after="0"/>
              <w:rPr>
                <w:sz w:val="20"/>
                <w:szCs w:val="20"/>
                <w:color w:val="auto"/>
              </w:rPr>
            </w:pPr>
            <w:r>
              <w:rPr>
                <w:rFonts w:ascii="Arial" w:cs="Arial" w:eastAsia="Arial" w:hAnsi="Arial"/>
                <w:sz w:val="16"/>
                <w:szCs w:val="16"/>
                <w:b w:val="1"/>
                <w:bCs w:val="1"/>
                <w:color w:val="auto"/>
              </w:rPr>
              <w:t>Directors</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Louis Drapeau</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No notice period</w:t>
            </w:r>
          </w:p>
        </w:tc>
        <w:tc>
          <w:tcPr>
            <w:tcW w:w="100" w:type="dxa"/>
            <w:vAlign w:val="bottom"/>
            <w:shd w:val="clear" w:color="auto" w:fill="CFF0FC"/>
          </w:tcPr>
          <w:p>
            <w:pPr>
              <w:spacing w:after="0"/>
              <w:rPr>
                <w:sz w:val="19"/>
                <w:szCs w:val="19"/>
                <w:color w:val="auto"/>
              </w:rPr>
            </w:pPr>
          </w:p>
        </w:tc>
        <w:tc>
          <w:tcPr>
            <w:tcW w:w="2940" w:type="dxa"/>
            <w:vAlign w:val="bottom"/>
            <w:shd w:val="clear" w:color="auto" w:fill="CFF0FC"/>
          </w:tcPr>
          <w:p>
            <w:pPr>
              <w:ind w:left="2580"/>
              <w:spacing w:after="0"/>
              <w:rPr>
                <w:sz w:val="20"/>
                <w:szCs w:val="20"/>
                <w:color w:val="auto"/>
              </w:rPr>
            </w:pPr>
            <w:r>
              <w:rPr>
                <w:rFonts w:ascii="Arial" w:cs="Arial" w:eastAsia="Arial" w:hAnsi="Arial"/>
                <w:sz w:val="16"/>
                <w:szCs w:val="16"/>
                <w:color w:val="auto"/>
                <w:w w:val="88"/>
              </w:rPr>
              <w:t>None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James Corbett</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No notice period</w:t>
            </w:r>
          </w:p>
        </w:tc>
        <w:tc>
          <w:tcPr>
            <w:tcW w:w="100" w:type="dxa"/>
            <w:vAlign w:val="bottom"/>
          </w:tcPr>
          <w:p>
            <w:pPr>
              <w:spacing w:after="0"/>
              <w:rPr>
                <w:sz w:val="17"/>
                <w:szCs w:val="17"/>
                <w:color w:val="auto"/>
              </w:rPr>
            </w:pPr>
          </w:p>
        </w:tc>
        <w:tc>
          <w:tcPr>
            <w:tcW w:w="2940" w:type="dxa"/>
            <w:vAlign w:val="bottom"/>
          </w:tcPr>
          <w:p>
            <w:pPr>
              <w:ind w:left="2580"/>
              <w:spacing w:after="0"/>
              <w:rPr>
                <w:sz w:val="20"/>
                <w:szCs w:val="20"/>
                <w:color w:val="auto"/>
              </w:rPr>
            </w:pPr>
            <w:r>
              <w:rPr>
                <w:rFonts w:ascii="Arial" w:cs="Arial" w:eastAsia="Arial" w:hAnsi="Arial"/>
                <w:sz w:val="16"/>
                <w:szCs w:val="16"/>
                <w:color w:val="auto"/>
                <w:w w:val="88"/>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Jan Stern Reed</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No notice period</w:t>
            </w:r>
          </w:p>
        </w:tc>
        <w:tc>
          <w:tcPr>
            <w:tcW w:w="100" w:type="dxa"/>
            <w:vAlign w:val="bottom"/>
            <w:shd w:val="clear" w:color="auto" w:fill="CFF0FC"/>
          </w:tcPr>
          <w:p>
            <w:pPr>
              <w:spacing w:after="0"/>
              <w:rPr>
                <w:sz w:val="19"/>
                <w:szCs w:val="19"/>
                <w:color w:val="auto"/>
              </w:rPr>
            </w:pPr>
          </w:p>
        </w:tc>
        <w:tc>
          <w:tcPr>
            <w:tcW w:w="2940" w:type="dxa"/>
            <w:vAlign w:val="bottom"/>
            <w:shd w:val="clear" w:color="auto" w:fill="CFF0FC"/>
          </w:tcPr>
          <w:p>
            <w:pPr>
              <w:ind w:left="2580"/>
              <w:spacing w:after="0"/>
              <w:rPr>
                <w:sz w:val="20"/>
                <w:szCs w:val="20"/>
                <w:color w:val="auto"/>
              </w:rPr>
            </w:pPr>
            <w:r>
              <w:rPr>
                <w:rFonts w:ascii="Arial" w:cs="Arial" w:eastAsia="Arial" w:hAnsi="Arial"/>
                <w:sz w:val="16"/>
                <w:szCs w:val="16"/>
                <w:color w:val="auto"/>
                <w:w w:val="88"/>
              </w:rPr>
              <w:t>None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Professor Suzanne Crowe</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No notice period</w:t>
            </w:r>
          </w:p>
        </w:tc>
        <w:tc>
          <w:tcPr>
            <w:tcW w:w="100" w:type="dxa"/>
            <w:vAlign w:val="bottom"/>
          </w:tcPr>
          <w:p>
            <w:pPr>
              <w:spacing w:after="0"/>
              <w:rPr>
                <w:sz w:val="17"/>
                <w:szCs w:val="17"/>
                <w:color w:val="auto"/>
              </w:rPr>
            </w:pPr>
          </w:p>
        </w:tc>
        <w:tc>
          <w:tcPr>
            <w:tcW w:w="2940" w:type="dxa"/>
            <w:vAlign w:val="bottom"/>
          </w:tcPr>
          <w:p>
            <w:pPr>
              <w:ind w:left="2580"/>
              <w:spacing w:after="0"/>
              <w:rPr>
                <w:sz w:val="20"/>
                <w:szCs w:val="20"/>
                <w:color w:val="auto"/>
              </w:rPr>
            </w:pPr>
            <w:r>
              <w:rPr>
                <w:rFonts w:ascii="Arial" w:cs="Arial" w:eastAsia="Arial" w:hAnsi="Arial"/>
                <w:sz w:val="16"/>
                <w:szCs w:val="16"/>
                <w:color w:val="auto"/>
                <w:w w:val="88"/>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40" w:hanging="368"/>
        <w:spacing w:after="0" w:line="255"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Severance payments only in the event of employment termination for involuntary termination without cause or termination for good reason. Good reason is defined as (i) a material diminution in executive’s authority, duties or responsibilities in effect at the time of this agreement; (ii) any reduction in the executive’s then-current base salary, (iii) relocation of executive’s principal place of work by a distance of fifty miles or more from the executive’s then current principal place of work without the executive’s consent; (iv) material breach by the company of any provision of the executive’s employment agreement or (v) the occurrence of a change in control provided (i) through (iv) if such conduct is not cured within thirty days of receipt of written notice by the executive.</w:t>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Principles</w:t>
      </w:r>
    </w:p>
    <w:p>
      <w:pPr>
        <w:spacing w:after="0" w:line="229"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The Compensation Committee has a formal Compensation Governance Framework which, at the core, consists of a revised Compensation Committee Charter (the “</w:t>
      </w:r>
      <w:r>
        <w:rPr>
          <w:rFonts w:ascii="Arial" w:cs="Arial" w:eastAsia="Arial" w:hAnsi="Arial"/>
          <w:sz w:val="16"/>
          <w:szCs w:val="16"/>
          <w:b w:val="1"/>
          <w:bCs w:val="1"/>
          <w:color w:val="auto"/>
        </w:rPr>
        <w:t>Charter</w:t>
      </w:r>
      <w:r>
        <w:rPr>
          <w:rFonts w:ascii="Arial" w:cs="Arial" w:eastAsia="Arial" w:hAnsi="Arial"/>
          <w:sz w:val="16"/>
          <w:szCs w:val="16"/>
          <w:color w:val="auto"/>
        </w:rPr>
        <w:t>”). The Charter outlines responsibilities and duties of the members, sets forth the frequency of meetings, establishes and reviews the overall compensation philosophy of the Company as well as review and approve the executive compensation program for the Chief Executive Officer and other executive officers, and make appropriate recommendations to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340" w:firstLine="749"/>
        <w:spacing w:after="0" w:line="257" w:lineRule="auto"/>
        <w:rPr>
          <w:sz w:val="20"/>
          <w:szCs w:val="20"/>
          <w:color w:val="auto"/>
        </w:rPr>
      </w:pPr>
      <w:r>
        <w:rPr>
          <w:rFonts w:ascii="Arial" w:cs="Arial" w:eastAsia="Arial" w:hAnsi="Arial"/>
          <w:sz w:val="18"/>
          <w:szCs w:val="18"/>
          <w:color w:val="auto"/>
        </w:rPr>
        <w:t>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w:t>
      </w:r>
    </w:p>
    <w:p>
      <w:pPr>
        <w:spacing w:after="0" w:line="18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Additionally, the Compensation Committee is responsible for evaluating the performance of the Company’s key senior executives. Our Chief Executive Officer and other members of management regularly discuss our compensation issues with Compensation Committee members. Subject to Compensation Committee review, modification and approval, our Chief Executive Officer typically makes recommendations respecting bonuses and equity incentive awards for the other members of the executive management team. The Compensation Committee establishes all bonus and equity incentive awards for all executive members of the management team.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philosophy reflects our fundamental objectives:</w:t>
      </w:r>
    </w:p>
    <w:p>
      <w:pPr>
        <w:spacing w:after="0" w:line="23"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competitive rewards to attract, motivate and retain highly skilled directors and executives;</w:t>
      </w:r>
    </w:p>
    <w:p>
      <w:pPr>
        <w:spacing w:after="0" w:line="9" w:lineRule="exact"/>
        <w:rPr>
          <w:rFonts w:ascii="Arial" w:cs="Arial" w:eastAsia="Arial" w:hAnsi="Arial"/>
          <w:sz w:val="18"/>
          <w:szCs w:val="18"/>
          <w:color w:val="auto"/>
        </w:rPr>
      </w:pPr>
    </w:p>
    <w:p>
      <w:pPr>
        <w:ind w:left="740" w:right="80" w:hanging="368"/>
        <w:spacing w:after="0" w:line="258"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align our executive officers’ interests with those of our stockholders by rewarding short-term and long-term performance to increase stockholder value; and</w:t>
      </w: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appropriate, demanding performance hurdles as a prerequisite to payment of variable executive compensation.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229" w:lineRule="exact"/>
        <w:rPr>
          <w:sz w:val="20"/>
          <w:szCs w:val="20"/>
          <w:color w:val="auto"/>
        </w:rPr>
      </w:pPr>
    </w:p>
    <w:p>
      <w:pPr>
        <w:ind w:right="640" w:firstLine="749"/>
        <w:spacing w:after="0" w:line="277" w:lineRule="auto"/>
        <w:rPr>
          <w:sz w:val="20"/>
          <w:szCs w:val="20"/>
          <w:color w:val="auto"/>
        </w:rPr>
      </w:pPr>
      <w:r>
        <w:rPr>
          <w:rFonts w:ascii="Arial" w:cs="Arial" w:eastAsia="Arial" w:hAnsi="Arial"/>
          <w:sz w:val="18"/>
          <w:szCs w:val="18"/>
          <w:color w:val="auto"/>
        </w:rPr>
        <w:t>We endeavor to maintain sound governance standards consistent with our executive compensation policies and practices. The following summarizes our executive compensation and related policies and practices:</w:t>
      </w:r>
    </w:p>
    <w:p>
      <w:pPr>
        <w:spacing w:after="0" w:line="170"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 Independent Compensation Committee;</w:t>
      </w:r>
    </w:p>
    <w:p>
      <w:pPr>
        <w:spacing w:after="0" w:line="23" w:lineRule="exact"/>
        <w:rPr>
          <w:rFonts w:ascii="Arial" w:cs="Arial" w:eastAsia="Arial" w:hAnsi="Arial"/>
          <w:sz w:val="18"/>
          <w:szCs w:val="18"/>
          <w:color w:val="auto"/>
        </w:rPr>
      </w:pPr>
    </w:p>
    <w:p>
      <w:pPr>
        <w:ind w:left="740" w:right="180" w:hanging="368"/>
        <w:spacing w:after="0" w:line="258"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an Independent Compensation Advisor/Firm When Needed. For fiscal year ended June 30, 20201, the Company utilized a third party for industry benchmarking information;</w:t>
      </w:r>
    </w:p>
    <w:p>
      <w:pPr>
        <w:ind w:left="740" w:right="60" w:hanging="368"/>
        <w:spacing w:after="0" w:line="250"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acceptability to stockholders through transparency and engagement, and ensuring that compensation frameworks and practices are appropriate to the circumstances of the Company as it evolves; and</w:t>
      </w:r>
    </w:p>
    <w:p>
      <w:pPr>
        <w:ind w:left="740" w:right="40" w:hanging="368"/>
        <w:spacing w:after="0" w:line="277"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annual review and approval of our compensation strategy, including a review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Objectives for Fiscal Year Ending June 30, 2021</w:t>
      </w:r>
    </w:p>
    <w:p>
      <w:pPr>
        <w:spacing w:after="0" w:line="229" w:lineRule="exact"/>
        <w:rPr>
          <w:sz w:val="20"/>
          <w:szCs w:val="20"/>
          <w:color w:val="auto"/>
        </w:rPr>
      </w:pPr>
    </w:p>
    <w:p>
      <w:pPr>
        <w:ind w:right="160" w:firstLine="749"/>
        <w:spacing w:after="0" w:line="255" w:lineRule="auto"/>
        <w:rPr>
          <w:sz w:val="20"/>
          <w:szCs w:val="20"/>
          <w:color w:val="auto"/>
        </w:rPr>
      </w:pPr>
      <w:r>
        <w:rPr>
          <w:rFonts w:ascii="Arial" w:cs="Arial" w:eastAsia="Arial" w:hAnsi="Arial"/>
          <w:sz w:val="18"/>
          <w:szCs w:val="18"/>
          <w:color w:val="auto"/>
        </w:rPr>
        <w:t>We believe that the compensation of our executive officers should be directly linked to the achievement of specific objectives that are expected to increase stockholder value. In furtherance of this goal, the main focus of executives and of performance assessment was to increase U.S. revenue in calendar year 2021 over 2020 revenues, complete enrollment in the vitiligo program, complete recruitment of soft tissue subjects required for interim analysis, progress scientific research in our two partnerships in epidermolysis bullosa and rejuvenation/telomerase, expand our intellectual property portfolio with patent submissions resulting from scientific research activities and/or in-house development along with entering into new business development opportunities.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Objective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aims to reward executives with a level and mix of compensation commensurate with their position and responsibilities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so as to:</w:t>
      </w:r>
    </w:p>
    <w:p>
      <w:pPr>
        <w:spacing w:after="0" w:line="9" w:lineRule="exact"/>
        <w:rPr>
          <w:sz w:val="20"/>
          <w:szCs w:val="20"/>
          <w:color w:val="auto"/>
        </w:rPr>
      </w:pPr>
    </w:p>
    <w:p>
      <w:pPr>
        <w:ind w:left="800" w:right="300" w:hanging="360"/>
        <w:spacing w:after="0" w:line="250"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reward executives for Company and individual performance against targets set by reference to appropriate benchmarks as well as to specific short- and long-term goals of the Company;</w:t>
      </w:r>
    </w:p>
    <w:p>
      <w:pPr>
        <w:ind w:left="800" w:hanging="360"/>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align the interests of executives with those of stockholders; and</w:t>
      </w:r>
    </w:p>
    <w:p>
      <w:pPr>
        <w:spacing w:after="0" w:line="9" w:lineRule="exact"/>
        <w:rPr>
          <w:rFonts w:ascii="Arial" w:cs="Arial" w:eastAsia="Arial" w:hAnsi="Arial"/>
          <w:sz w:val="18"/>
          <w:szCs w:val="18"/>
          <w:color w:val="auto"/>
        </w:rPr>
      </w:pPr>
    </w:p>
    <w:p>
      <w:pPr>
        <w:ind w:left="800" w:hanging="360"/>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ensure total compensation is competitive by market standards.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Framework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broad framework for the Compensation Committee requires the Committee to ensure that</w:t>
      </w:r>
    </w:p>
    <w:p>
      <w:pPr>
        <w:spacing w:after="0" w:line="23" w:lineRule="exact"/>
        <w:rPr>
          <w:sz w:val="20"/>
          <w:szCs w:val="20"/>
          <w:color w:val="auto"/>
        </w:rPr>
      </w:pPr>
    </w:p>
    <w:p>
      <w:pPr>
        <w:ind w:left="740" w:right="600" w:hanging="368"/>
        <w:spacing w:after="0" w:line="250"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compensation packages may involve a balance between fixed and incentive pay, reflection short and/or long-term performance objectives appropriate to the Company’s objectives;</w:t>
      </w:r>
    </w:p>
    <w:p>
      <w:pPr>
        <w:ind w:left="740" w:right="320" w:hanging="368"/>
        <w:spacing w:after="0" w:line="281"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executives’ compensation is structured in a manner designed to link reward to corporate performances but at the same time, linking those corporate goals to strong individual performances but requires all executives to be aligned in working towards achieving the same goals; and</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recommendations are made to our board with respect to the quantum of bonuses to be paid to executives.</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that the Company adopts a different compensation structure for its Non-Executive Directors, the Compensation Committee shall document its reasons for the purpose of disclosure to stakeholders.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w:t>
      </w:r>
    </w:p>
    <w:p>
      <w:pPr>
        <w:spacing w:after="0" w:line="22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Compensation Committee determines the level and make-up of the Chief Executive Officer’s compensation. The Compensation Committee reviews and approves the corporate goals and objectives relevant to the Chief Executive Officer’s compensation and evaluates the Chief Executive Officer’s performance in light of those goals and objectives, on an annual basis. The Compensation Committee takes advice from the Chief Executive Officer with input from industry benchmarking data to set and approve all other executive compensation. To assist in achieving the Company’s objectives, the Compensation Committee links the nature and number of officers’ emoluments to the Company’s performance. Compensation may consist of the following key elements:</w:t>
      </w:r>
    </w:p>
    <w:p>
      <w:pPr>
        <w:spacing w:after="0" w:line="84" w:lineRule="exact"/>
        <w:rPr>
          <w:sz w:val="20"/>
          <w:szCs w:val="20"/>
          <w:color w:val="auto"/>
        </w:rPr>
      </w:pPr>
    </w:p>
    <w:p>
      <w:pPr>
        <w:ind w:left="1120" w:hanging="356"/>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Compensation</w:t>
      </w:r>
    </w:p>
    <w:p>
      <w:pPr>
        <w:spacing w:after="0" w:line="117" w:lineRule="exact"/>
        <w:rPr>
          <w:rFonts w:ascii="Arial" w:cs="Arial" w:eastAsia="Arial" w:hAnsi="Arial"/>
          <w:sz w:val="18"/>
          <w:szCs w:val="18"/>
          <w:color w:val="auto"/>
        </w:rPr>
      </w:pPr>
    </w:p>
    <w:p>
      <w:pPr>
        <w:ind w:left="1120" w:hanging="356"/>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Variable Compensation</w:t>
      </w:r>
    </w:p>
    <w:p>
      <w:pPr>
        <w:spacing w:after="0" w:line="113" w:lineRule="exact"/>
        <w:rPr>
          <w:rFonts w:ascii="Arial" w:cs="Arial" w:eastAsia="Arial" w:hAnsi="Arial"/>
          <w:sz w:val="18"/>
          <w:szCs w:val="18"/>
          <w:color w:val="auto"/>
        </w:rPr>
      </w:pPr>
    </w:p>
    <w:p>
      <w:pPr>
        <w:ind w:left="1120" w:hanging="356"/>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 Term Incentive (“</w:t>
      </w:r>
      <w:r>
        <w:rPr>
          <w:rFonts w:ascii="Arial" w:cs="Arial" w:eastAsia="Arial" w:hAnsi="Arial"/>
          <w:sz w:val="18"/>
          <w:szCs w:val="18"/>
          <w:b w:val="1"/>
          <w:bCs w:val="1"/>
          <w:color w:val="auto"/>
        </w:rPr>
        <w:t>STI</w:t>
      </w:r>
      <w:r>
        <w:rPr>
          <w:rFonts w:ascii="Arial" w:cs="Arial" w:eastAsia="Arial" w:hAnsi="Arial"/>
          <w:sz w:val="18"/>
          <w:szCs w:val="18"/>
          <w:color w:val="auto"/>
        </w:rPr>
        <w:t>”) and/or</w:t>
      </w:r>
    </w:p>
    <w:p>
      <w:pPr>
        <w:spacing w:after="0" w:line="117" w:lineRule="exact"/>
        <w:rPr>
          <w:rFonts w:ascii="Arial" w:cs="Arial" w:eastAsia="Arial" w:hAnsi="Arial"/>
          <w:sz w:val="18"/>
          <w:szCs w:val="18"/>
          <w:color w:val="auto"/>
        </w:rPr>
      </w:pPr>
    </w:p>
    <w:p>
      <w:pPr>
        <w:ind w:left="1120" w:hanging="356"/>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 Term Incentive (“</w:t>
      </w:r>
      <w:r>
        <w:rPr>
          <w:rFonts w:ascii="Arial" w:cs="Arial" w:eastAsia="Arial" w:hAnsi="Arial"/>
          <w:sz w:val="18"/>
          <w:szCs w:val="18"/>
          <w:b w:val="1"/>
          <w:bCs w:val="1"/>
          <w:color w:val="auto"/>
        </w:rPr>
        <w:t>LTI</w:t>
      </w:r>
      <w:r>
        <w:rPr>
          <w:rFonts w:ascii="Arial" w:cs="Arial" w:eastAsia="Arial" w:hAnsi="Arial"/>
          <w:sz w:val="18"/>
          <w:szCs w:val="18"/>
          <w:color w:val="auto"/>
        </w:rPr>
        <w:t>”)</w:t>
      </w:r>
    </w:p>
    <w:p>
      <w:pPr>
        <w:spacing w:after="0" w:line="229"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The proportion of fixed compensation and variable compensation (potential short term and long-term incentives) is established for each executive by the Compensation Committee annually.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Compensation Objective and Structure</w:t>
      </w:r>
    </w:p>
    <w:p>
      <w:pPr>
        <w:spacing w:after="0" w:line="229"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The level of fixed compensation is set to provide a base level of compensation which is both appropriate to the position and is competitive in the market. Fixed Compensation is reviewed annually by the Compensation Committee and the process consists of a review of Company-wide and individual performance and relevant comparative compensation in the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Compensation –STI Objective and Structure</w:t>
      </w:r>
    </w:p>
    <w:p>
      <w:pPr>
        <w:spacing w:after="0" w:line="229"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objective of variable compensation is to link the achievement of the Company’s operational targets with the compensation received by the executives charged with meeting those targets. The Company’s operational targets are set by the Compensation Committee and the targets are based upon financial and non-financial measures. For fiscal year ended June 30, 2021, STI objectives consisted mainly of non-financial measures, primarily based around commercialization of the RECELL System in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The target range was between 25-75% of base salary for the named executive officers. The Company’s STI objectives are designed to:</w:t>
      </w:r>
    </w:p>
    <w:p>
      <w:pPr>
        <w:spacing w:after="0" w:line="248" w:lineRule="exact"/>
        <w:rPr>
          <w:sz w:val="20"/>
          <w:szCs w:val="20"/>
          <w:color w:val="auto"/>
        </w:rPr>
      </w:pPr>
    </w:p>
    <w:p>
      <w:pPr>
        <w:ind w:left="1120" w:hanging="356"/>
        <w:spacing w:after="0"/>
        <w:tabs>
          <w:tab w:leader="none" w:pos="11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Motivate senior executives to achieve the short-term annual objectives linked to Company success and shareholder value creation;</w:t>
      </w:r>
    </w:p>
    <w:p>
      <w:pPr>
        <w:spacing w:after="0" w:line="34" w:lineRule="exact"/>
        <w:rPr>
          <w:rFonts w:ascii="Arial" w:cs="Arial" w:eastAsia="Arial" w:hAnsi="Arial"/>
          <w:sz w:val="17"/>
          <w:szCs w:val="17"/>
          <w:color w:val="auto"/>
        </w:rPr>
      </w:pPr>
    </w:p>
    <w:p>
      <w:pPr>
        <w:ind w:left="1120" w:hanging="356"/>
        <w:spacing w:after="0"/>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Create a strong link between performance and reward;</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 company success with the senior executives that contribute to it;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Create a component of the employment cost that is responsive to short to medium term changes in the circumstances of the Company.</w:t>
      </w:r>
    </w:p>
    <w:p>
      <w:pPr>
        <w:spacing w:after="0" w:line="3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key objectives were assessed by the Compensation Committee as being fully met. All named executive officers achieved 100% of the maximum bonus available to them under the STI plan and were paid in the current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Retirement, Termination for Cause, or Resignation without Good Reason Arrangements</w:t>
      </w:r>
    </w:p>
    <w:p>
      <w:pPr>
        <w:spacing w:after="0" w:line="121"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The Company does not have any agreements or plans in place for the named executive officers that would provide additional compensation in connection with a resignation, retirement, termination for cause, or resignation without good reason.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Involuntary Termination, Resignation without Good Reason or Change-In-Control</w:t>
      </w:r>
    </w:p>
    <w:p>
      <w:pPr>
        <w:spacing w:after="0" w:line="229"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employment agreements provide for the following severance payments upon termination by us without cause or by the employee for good reason: (i) payment of the employee’s then-current base salary for a period of six months (in the case of the CCO, CTO and GC), nine months (in the case of COO and CFO) or twelve months (in the case of the CEO),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any unpaid vacation, and (iii) any unpaid expense reimbursements due and owing. Payment in each case is subject to the employee’s execution of a release.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regarding outstanding equity awards held by our named executive officers as of June 30, 2021.</w:t>
      </w:r>
    </w:p>
    <w:p>
      <w:pPr>
        <w:spacing w:after="0" w:line="200" w:lineRule="exact"/>
        <w:rPr>
          <w:sz w:val="20"/>
          <w:szCs w:val="20"/>
          <w:color w:val="auto"/>
        </w:rPr>
      </w:pPr>
    </w:p>
    <w:p>
      <w:pPr>
        <w:spacing w:after="0" w:line="242" w:lineRule="exact"/>
        <w:rPr>
          <w:sz w:val="20"/>
          <w:szCs w:val="20"/>
          <w:color w:val="auto"/>
        </w:rPr>
      </w:pPr>
    </w:p>
    <w:p>
      <w:pPr>
        <w:jc w:val="right"/>
        <w:ind w:right="1180"/>
        <w:spacing w:after="0"/>
        <w:tabs>
          <w:tab w:leader="none" w:pos="80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6350</wp:posOffset>
            </wp:positionV>
            <wp:extent cx="54089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1"/>
              </w:rPr>
              <w:t>Option exercise</w:t>
            </w: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options (#)</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Option expiration date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gridSpan w:val="2"/>
            <w:vMerge w:val="continue"/>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exercisable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price ($)</w:t>
            </w:r>
          </w:p>
        </w:tc>
        <w:tc>
          <w:tcPr>
            <w:tcW w:w="38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64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Michael Perry, Chief</w:t>
            </w:r>
          </w:p>
        </w:tc>
        <w:tc>
          <w:tcPr>
            <w:tcW w:w="1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4"/>
                <w:szCs w:val="14"/>
                <w:color w:val="auto"/>
              </w:rPr>
              <w:t>Executive Officer (3)</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tcPr>
          <w:p>
            <w:pPr>
              <w:spacing w:after="0"/>
              <w:rPr>
                <w:sz w:val="17"/>
                <w:szCs w:val="17"/>
                <w:color w:val="auto"/>
              </w:rPr>
            </w:pPr>
          </w:p>
        </w:tc>
        <w:tc>
          <w:tcPr>
            <w:tcW w:w="12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3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11/30/2028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Michael Holder, Chief</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4"/>
                <w:szCs w:val="14"/>
                <w:color w:val="auto"/>
              </w:rPr>
              <w:t>Financial Officer</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$19.91 - $22.25</w:t>
            </w:r>
          </w:p>
        </w:tc>
        <w:tc>
          <w:tcPr>
            <w:tcW w:w="380" w:type="dxa"/>
            <w:vAlign w:val="bottom"/>
          </w:tcPr>
          <w:p>
            <w:pPr>
              <w:jc w:val="right"/>
              <w:spacing w:after="0"/>
              <w:rPr>
                <w:sz w:val="20"/>
                <w:szCs w:val="20"/>
                <w:color w:val="auto"/>
              </w:rPr>
            </w:pPr>
            <w:r>
              <w:rPr>
                <w:rFonts w:ascii="Arial" w:cs="Arial" w:eastAsia="Arial" w:hAnsi="Arial"/>
                <w:sz w:val="14"/>
                <w:szCs w:val="14"/>
                <w:color w:val="auto"/>
              </w:rPr>
              <w:t>(2 )</w:t>
            </w:r>
          </w:p>
        </w:tc>
        <w:tc>
          <w:tcPr>
            <w:tcW w:w="2000" w:type="dxa"/>
            <w:vAlign w:val="bottom"/>
          </w:tcPr>
          <w:p>
            <w:pPr>
              <w:jc w:val="center"/>
              <w:spacing w:after="0"/>
              <w:rPr>
                <w:sz w:val="20"/>
                <w:szCs w:val="20"/>
                <w:color w:val="auto"/>
              </w:rPr>
            </w:pPr>
            <w:r>
              <w:rPr>
                <w:rFonts w:ascii="Arial" w:cs="Arial" w:eastAsia="Arial" w:hAnsi="Arial"/>
                <w:sz w:val="14"/>
                <w:szCs w:val="14"/>
                <w:color w:val="auto"/>
                <w:w w:val="92"/>
              </w:rPr>
              <w:t>3/22/31 - 5/11/31</w:t>
            </w:r>
          </w:p>
        </w:tc>
        <w:tc>
          <w:tcPr>
            <w:tcW w:w="28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60" w:type="dxa"/>
            <w:vAlign w:val="bottom"/>
            <w:gridSpan w:val="2"/>
          </w:tcPr>
          <w:p>
            <w:pPr>
              <w:spacing w:after="0"/>
              <w:rPr>
                <w:sz w:val="20"/>
                <w:szCs w:val="20"/>
                <w:color w:val="auto"/>
              </w:rPr>
            </w:pPr>
            <w:r>
              <w:rPr>
                <w:rFonts w:ascii="Arial" w:cs="Arial" w:eastAsia="Arial" w:hAnsi="Arial"/>
                <w:sz w:val="14"/>
                <w:szCs w:val="14"/>
                <w:color w:val="auto"/>
              </w:rPr>
              <w:t>Kathy McGee, Chief</w:t>
            </w: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color w:val="auto"/>
                <w:w w:val="91"/>
              </w:rPr>
              <w:t>3/4/2031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Operating Officer</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128,000</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21.88</w:t>
            </w:r>
          </w:p>
        </w:tc>
        <w:tc>
          <w:tcPr>
            <w:tcW w:w="38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Erin Liberto, Chief</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6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2000" w:type="dxa"/>
            <w:vAlign w:val="bottom"/>
            <w:vMerge w:val="restart"/>
          </w:tcPr>
          <w:p>
            <w:pPr>
              <w:jc w:val="center"/>
              <w:spacing w:after="0"/>
              <w:rPr>
                <w:sz w:val="20"/>
                <w:szCs w:val="20"/>
                <w:color w:val="auto"/>
              </w:rPr>
            </w:pPr>
            <w:r>
              <w:rPr>
                <w:rFonts w:ascii="Arial" w:cs="Arial" w:eastAsia="Arial" w:hAnsi="Arial"/>
                <w:sz w:val="14"/>
                <w:szCs w:val="14"/>
                <w:color w:val="auto"/>
                <w:w w:val="94"/>
              </w:rPr>
              <w:t>9/6/2027 -11/30/2028</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9"/>
        </w:trPr>
        <w:tc>
          <w:tcPr>
            <w:tcW w:w="1660" w:type="dxa"/>
            <w:vAlign w:val="bottom"/>
            <w:gridSpan w:val="2"/>
          </w:tcPr>
          <w:p>
            <w:pPr>
              <w:spacing w:after="0"/>
              <w:rPr>
                <w:sz w:val="20"/>
                <w:szCs w:val="20"/>
                <w:color w:val="auto"/>
              </w:rPr>
            </w:pPr>
            <w:r>
              <w:rPr>
                <w:rFonts w:ascii="Arial" w:cs="Arial" w:eastAsia="Arial" w:hAnsi="Arial"/>
                <w:sz w:val="14"/>
                <w:szCs w:val="14"/>
                <w:color w:val="auto"/>
              </w:rPr>
              <w:t>Commercial Officer</w:t>
            </w:r>
          </w:p>
        </w:tc>
        <w:tc>
          <w:tcPr>
            <w:tcW w:w="1120" w:type="dxa"/>
            <w:vAlign w:val="bottom"/>
          </w:tcPr>
          <w:p>
            <w:pPr>
              <w:jc w:val="right"/>
              <w:spacing w:after="0"/>
              <w:rPr>
                <w:sz w:val="20"/>
                <w:szCs w:val="20"/>
                <w:color w:val="auto"/>
              </w:rPr>
            </w:pPr>
            <w:r>
              <w:rPr>
                <w:rFonts w:ascii="Arial" w:cs="Arial" w:eastAsia="Arial" w:hAnsi="Arial"/>
                <w:sz w:val="14"/>
                <w:szCs w:val="14"/>
                <w:color w:val="auto"/>
              </w:rPr>
              <w:t>77,900</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42,900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$5.03 - $6.38</w:t>
            </w:r>
          </w:p>
        </w:tc>
        <w:tc>
          <w:tcPr>
            <w:tcW w:w="38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60" w:type="dxa"/>
            <w:vAlign w:val="bottom"/>
            <w:gridSpan w:val="2"/>
          </w:tcPr>
          <w:p>
            <w:pPr>
              <w:spacing w:after="0"/>
              <w:rPr>
                <w:sz w:val="20"/>
                <w:szCs w:val="20"/>
                <w:color w:val="auto"/>
              </w:rPr>
            </w:pPr>
            <w:r>
              <w:rPr>
                <w:rFonts w:ascii="Arial" w:cs="Arial" w:eastAsia="Arial" w:hAnsi="Arial"/>
                <w:sz w:val="14"/>
                <w:szCs w:val="14"/>
                <w:color w:val="auto"/>
              </w:rPr>
              <w:t>Andrew Quick, Chief</w:t>
            </w: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2000" w:type="dxa"/>
            <w:vAlign w:val="bottom"/>
            <w:vMerge w:val="restart"/>
          </w:tcPr>
          <w:p>
            <w:pPr>
              <w:jc w:val="center"/>
              <w:spacing w:after="0"/>
              <w:rPr>
                <w:sz w:val="20"/>
                <w:szCs w:val="20"/>
                <w:color w:val="auto"/>
              </w:rPr>
            </w:pPr>
            <w:r>
              <w:rPr>
                <w:rFonts w:ascii="Arial" w:cs="Arial" w:eastAsia="Arial" w:hAnsi="Arial"/>
                <w:sz w:val="14"/>
                <w:szCs w:val="14"/>
                <w:color w:val="auto"/>
                <w:w w:val="94"/>
              </w:rPr>
              <w:t>5/18/2027 - 4/1/2029</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01"/>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Technology Officer</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82,993</w:t>
            </w:r>
          </w:p>
        </w:tc>
        <w:tc>
          <w:tcPr>
            <w:tcW w:w="6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37,806</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$5.99 - $21.35</w:t>
            </w:r>
          </w:p>
        </w:tc>
        <w:tc>
          <w:tcPr>
            <w:tcW w:w="38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Donna Shiroma, General</w:t>
            </w:r>
          </w:p>
        </w:tc>
        <w:tc>
          <w:tcPr>
            <w:tcW w:w="11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6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2000" w:type="dxa"/>
            <w:vAlign w:val="bottom"/>
            <w:vMerge w:val="restart"/>
          </w:tcPr>
          <w:p>
            <w:pPr>
              <w:jc w:val="center"/>
              <w:spacing w:after="0"/>
              <w:rPr>
                <w:sz w:val="20"/>
                <w:szCs w:val="20"/>
                <w:color w:val="auto"/>
              </w:rPr>
            </w:pPr>
            <w:r>
              <w:rPr>
                <w:rFonts w:ascii="Arial" w:cs="Arial" w:eastAsia="Arial" w:hAnsi="Arial"/>
                <w:sz w:val="14"/>
                <w:szCs w:val="14"/>
                <w:color w:val="auto"/>
                <w:w w:val="92"/>
              </w:rPr>
              <w:t>6/25/2028 - 11/30/2028</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4"/>
                <w:szCs w:val="14"/>
                <w:color w:val="auto"/>
              </w:rPr>
              <w:t>Counsel</w:t>
            </w:r>
          </w:p>
        </w:tc>
        <w:tc>
          <w:tcPr>
            <w:tcW w:w="1120" w:type="dxa"/>
            <w:vAlign w:val="bottom"/>
          </w:tcPr>
          <w:p>
            <w:pPr>
              <w:jc w:val="right"/>
              <w:spacing w:after="0"/>
              <w:rPr>
                <w:sz w:val="20"/>
                <w:szCs w:val="20"/>
                <w:color w:val="auto"/>
              </w:rPr>
            </w:pPr>
            <w:r>
              <w:rPr>
                <w:rFonts w:ascii="Arial" w:cs="Arial" w:eastAsia="Arial" w:hAnsi="Arial"/>
                <w:sz w:val="14"/>
                <w:szCs w:val="14"/>
                <w:color w:val="auto"/>
              </w:rPr>
              <w:t>60,400</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47,400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$4.38 - $6.38</w:t>
            </w:r>
          </w:p>
        </w:tc>
        <w:tc>
          <w:tcPr>
            <w:tcW w:w="3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-1706245</wp:posOffset>
            </wp:positionV>
            <wp:extent cx="6523355" cy="317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23355" cy="3175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-1071880</wp:posOffset>
            </wp:positionV>
            <wp:extent cx="6523355" cy="316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23355" cy="31686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-540385</wp:posOffset>
            </wp:positionV>
            <wp:extent cx="6489065" cy="317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8906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Market or payout</w:t>
            </w: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 shares,</w:t>
            </w:r>
          </w:p>
        </w:tc>
        <w:tc>
          <w:tcPr>
            <w:tcW w:w="2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value of unearned</w:t>
            </w:r>
          </w:p>
        </w:tc>
      </w:tr>
      <w:tr>
        <w:trPr>
          <w:trHeight w:val="148"/>
        </w:trPr>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 or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shares, units or</w:t>
            </w:r>
          </w:p>
        </w:tc>
      </w:tr>
      <w:tr>
        <w:trPr>
          <w:trHeight w:val="148"/>
        </w:trPr>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 have not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other rights have</w:t>
            </w:r>
          </w:p>
        </w:tc>
      </w:tr>
      <w:tr>
        <w:trPr>
          <w:trHeight w:val="17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vested (#)</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not vested ($) (1)</w:t>
            </w:r>
          </w:p>
        </w:tc>
      </w:tr>
      <w:tr>
        <w:trPr>
          <w:trHeight w:val="494"/>
        </w:trPr>
        <w:tc>
          <w:tcPr>
            <w:tcW w:w="1120" w:type="dxa"/>
            <w:vAlign w:val="bottom"/>
          </w:tcPr>
          <w:p>
            <w:pPr>
              <w:ind w:left="720"/>
              <w:spacing w:after="0"/>
              <w:rPr>
                <w:sz w:val="20"/>
                <w:szCs w:val="20"/>
                <w:color w:val="auto"/>
              </w:rPr>
            </w:pPr>
            <w:r>
              <w:rPr>
                <w:rFonts w:ascii="Arial" w:cs="Arial" w:eastAsia="Arial" w:hAnsi="Arial"/>
                <w:sz w:val="14"/>
                <w:szCs w:val="14"/>
                <w:color w:val="auto"/>
                <w:w w:val="88"/>
              </w:rPr>
              <w:t>95,014</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1,949,687</w:t>
            </w:r>
          </w:p>
        </w:tc>
      </w:tr>
      <w:tr>
        <w:trPr>
          <w:trHeight w:val="500"/>
        </w:trPr>
        <w:tc>
          <w:tcPr>
            <w:tcW w:w="1120" w:type="dxa"/>
            <w:vAlign w:val="bottom"/>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99"/>
        </w:trPr>
        <w:tc>
          <w:tcPr>
            <w:tcW w:w="126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8"/>
        </w:trPr>
        <w:tc>
          <w:tcPr>
            <w:tcW w:w="1120" w:type="dxa"/>
            <w:vAlign w:val="bottom"/>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99"/>
        </w:trPr>
        <w:tc>
          <w:tcPr>
            <w:tcW w:w="1120" w:type="dxa"/>
            <w:vAlign w:val="bottom"/>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338"/>
        </w:trPr>
        <w:tc>
          <w:tcPr>
            <w:tcW w:w="1120" w:type="dxa"/>
            <w:vAlign w:val="bottom"/>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bl>
    <w:p>
      <w:pPr>
        <w:spacing w:after="0" w:line="79" w:lineRule="exact"/>
        <w:rPr>
          <w:sz w:val="20"/>
          <w:szCs w:val="20"/>
          <w:color w:val="auto"/>
        </w:rPr>
      </w:pPr>
    </w:p>
    <w:p>
      <w:pPr>
        <w:sectPr>
          <w:pgSz w:w="11900" w:h="16838" w:orient="portrait"/>
          <w:cols w:equalWidth="0" w:num="2">
            <w:col w:w="8360" w:space="40"/>
            <w:col w:w="2740"/>
          </w:cols>
          <w:pgMar w:left="320" w:top="125" w:right="439" w:bottom="1440" w:gutter="0" w:footer="0" w:header="0"/>
          <w:type w:val="continuous"/>
        </w:sectPr>
      </w:pPr>
    </w:p>
    <w:p>
      <w:pPr>
        <w:ind w:left="500" w:hanging="492"/>
        <w:spacing w:after="0" w:line="258"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in this column are calculated by multiplying the closing market price of the Company’s stock as of June 30, 2021 by the number of shares or units of stock awards.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range of exercise price and expiration dates as options were granted on different dates throughout their tenure.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November 26, 2019 shareholders approved the equivalent of 395,543 long term incentives that vest over tenure and performance metrics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21"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Our board seeks to set aggregate compensation at a level which provides the Company with the ability to attract and retain directors of the highest caliber, whilst incurring a cost which is acceptable to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7" w:lineRule="exact"/>
        <w:rPr>
          <w:sz w:val="20"/>
          <w:szCs w:val="20"/>
          <w:color w:val="auto"/>
        </w:rPr>
      </w:pPr>
    </w:p>
    <w:p>
      <w:pPr>
        <w:ind w:right="460" w:firstLine="749"/>
        <w:spacing w:after="0" w:line="255" w:lineRule="auto"/>
        <w:rPr>
          <w:sz w:val="20"/>
          <w:szCs w:val="20"/>
          <w:color w:val="auto"/>
        </w:rPr>
      </w:pPr>
      <w:r>
        <w:rPr>
          <w:rFonts w:ascii="Arial" w:cs="Arial" w:eastAsia="Arial" w:hAnsi="Arial"/>
          <w:sz w:val="18"/>
          <w:szCs w:val="18"/>
          <w:color w:val="auto"/>
        </w:rPr>
        <w:t>The amount of aggregate compensation sought to be approved by stockholders and the fee structure is to be commercially acceptable, competitive and subject to an annual review. Our board considers industry benchmarking data regarding the fees paid to Non-Executive Directors of comparable companies when undertaking the annual review process.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w:t>
      </w:r>
    </w:p>
    <w:p>
      <w:pPr>
        <w:spacing w:after="0" w:line="2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In accordance with best practice corporate governance, the structure of Non-Executive Director and Senior Management compensation is separate and distinct. The Constitution of our former parent company AVITA Medical and the ASX Listing Rules specify that the aggregate compensation of Non-Executive Directors shall be determined from time to time by a general meeting. The latest determination was at the Annual General Meeting held on November 2020 when shareholders approved an aggregate compensation of $600,000 per year in respect of fees payable to Non-Executive Directors. Each director receives a fee for being a director of the Company and includes attendance and participation at board and committee meetings. The Non-Executive Directors do not participate in any incentive programs.</w:t>
      </w:r>
    </w:p>
    <w:p>
      <w:pPr>
        <w:spacing w:after="0" w:line="178"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following table sets forth certain information regarding the compensation earned by or awarded to each non-employee director who served on our board during the fiscal year ended June 30, 2021. We do not provide separate compensation to our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executive directors, such as Dr. Michael Perry, our Chief Executive Officer. Dr. Perry’s compensation is reported in this Annual Report under “Item 11. Executive Compensation.”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Equity-settled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Elements of</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Short-term</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Post-employment</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Share-based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Not Related to</w:t>
            </w:r>
          </w:p>
        </w:tc>
        <w:tc>
          <w:tcPr>
            <w:tcW w:w="0" w:type="dxa"/>
            <w:vAlign w:val="bottom"/>
          </w:tcPr>
          <w:p>
            <w:pPr>
              <w:spacing w:after="0"/>
              <w:rPr>
                <w:sz w:val="1"/>
                <w:szCs w:val="1"/>
                <w:color w:val="auto"/>
              </w:rPr>
            </w:pPr>
          </w:p>
        </w:tc>
      </w:tr>
      <w:tr>
        <w:trPr>
          <w:trHeight w:val="166"/>
        </w:trPr>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Benefits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Benefits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89"/>
              </w:rPr>
              <w:t>Salary, fees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401K Match and</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88"/>
              <w:spacing w:after="0" w:line="158" w:lineRule="exact"/>
              <w:rPr>
                <w:sz w:val="20"/>
                <w:szCs w:val="20"/>
                <w:color w:val="auto"/>
              </w:rPr>
            </w:pPr>
            <w:r>
              <w:rPr>
                <w:rFonts w:ascii="Arial" w:cs="Arial" w:eastAsia="Arial" w:hAnsi="Arial"/>
                <w:sz w:val="14"/>
                <w:szCs w:val="14"/>
                <w:color w:val="auto"/>
                <w:w w:val="92"/>
              </w:rPr>
              <w:t>and leave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480"/>
              <w:spacing w:after="0" w:line="158" w:lineRule="exact"/>
              <w:rPr>
                <w:sz w:val="20"/>
                <w:szCs w:val="20"/>
                <w:color w:val="auto"/>
              </w:rPr>
            </w:pPr>
            <w:r>
              <w:rPr>
                <w:rFonts w:ascii="Arial" w:cs="Arial" w:eastAsia="Arial" w:hAnsi="Arial"/>
                <w:sz w:val="14"/>
                <w:szCs w:val="14"/>
                <w:color w:val="auto"/>
                <w:w w:val="91"/>
              </w:rPr>
              <w:t>Superannuation</w:t>
            </w:r>
          </w:p>
        </w:tc>
        <w:tc>
          <w:tcPr>
            <w:tcW w:w="920" w:type="dxa"/>
            <w:vAlign w:val="bottom"/>
          </w:tcPr>
          <w:p>
            <w:pPr>
              <w:jc w:val="center"/>
              <w:spacing w:after="0" w:line="158" w:lineRule="exact"/>
              <w:rPr>
                <w:sz w:val="20"/>
                <w:szCs w:val="20"/>
                <w:color w:val="auto"/>
              </w:rPr>
            </w:pPr>
            <w:r>
              <w:rPr>
                <w:rFonts w:ascii="Arial" w:cs="Arial" w:eastAsia="Arial" w:hAnsi="Arial"/>
                <w:sz w:val="14"/>
                <w:szCs w:val="14"/>
                <w:color w:val="auto"/>
                <w:w w:val="92"/>
              </w:rPr>
              <w:t>Shares/Units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Non-Executive Directors</w:t>
            </w:r>
          </w:p>
        </w:tc>
        <w:tc>
          <w:tcPr>
            <w:tcW w:w="1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L Panaccio - Chairman</w:t>
            </w:r>
          </w:p>
        </w:tc>
        <w:tc>
          <w:tcPr>
            <w:tcW w:w="1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90,191</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8,568</w:t>
            </w:r>
          </w:p>
        </w:tc>
        <w:tc>
          <w:tcPr>
            <w:tcW w:w="340" w:type="dxa"/>
            <w:vAlign w:val="bottom"/>
          </w:tcPr>
          <w:p>
            <w:pPr>
              <w:spacing w:after="0"/>
              <w:rPr>
                <w:sz w:val="14"/>
                <w:szCs w:val="14"/>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98,759</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J Curnock Cook</w:t>
            </w: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71,074</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71,074</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L Drapeau</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79,146</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79,146</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D McDonald</w:t>
            </w: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36,259</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36,259</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S Crowe</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68,220</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6,481</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74,701</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J Corbett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J Reed</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5"/>
        </w:trPr>
        <w:tc>
          <w:tcPr>
            <w:tcW w:w="2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Non-Executive Directors</w:t>
            </w:r>
          </w:p>
        </w:tc>
        <w:tc>
          <w:tcPr>
            <w:tcW w:w="1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344,890</w:t>
            </w:r>
          </w:p>
        </w:tc>
        <w:tc>
          <w:tcPr>
            <w:tcW w:w="3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15,049</w:t>
            </w:r>
          </w:p>
        </w:tc>
        <w:tc>
          <w:tcPr>
            <w:tcW w:w="3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768"/>
              <w:spacing w:after="0" w:line="155" w:lineRule="exact"/>
              <w:rPr>
                <w:sz w:val="20"/>
                <w:szCs w:val="20"/>
                <w:color w:val="auto"/>
              </w:rPr>
            </w:pPr>
            <w:r>
              <w:rPr>
                <w:rFonts w:ascii="Arial" w:cs="Arial" w:eastAsia="Arial" w:hAnsi="Arial"/>
                <w:sz w:val="14"/>
                <w:szCs w:val="14"/>
                <w:b w:val="1"/>
                <w:bCs w:val="1"/>
                <w:color w:val="auto"/>
                <w:w w:val="76"/>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b w:val="1"/>
                <w:bCs w:val="1"/>
                <w:color w:val="auto"/>
                <w:w w:val="73"/>
              </w:rPr>
              <w:t>-</w:t>
            </w:r>
          </w:p>
        </w:tc>
        <w:tc>
          <w:tcPr>
            <w:tcW w:w="3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359,939</w:t>
            </w:r>
          </w:p>
        </w:tc>
        <w:tc>
          <w:tcPr>
            <w:tcW w:w="120" w:type="dxa"/>
            <w:vAlign w:val="bottom"/>
            <w:tcBorders>
              <w:bottom w:val="single" w:sz="8" w:color="CFF0FC"/>
            </w:tcBorders>
            <w:shd w:val="clear" w:color="auto" w:fill="CFF0FC"/>
          </w:tcPr>
          <w:p>
            <w:pPr>
              <w:spacing w:after="0"/>
              <w:rPr>
                <w:sz w:val="13"/>
                <w:szCs w:val="13"/>
                <w:color w:val="auto"/>
              </w:rPr>
            </w:pPr>
          </w:p>
        </w:tc>
        <w:tc>
          <w:tcPr>
            <w:tcW w:w="1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Board members appointed July 1, 2021.</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60" w:firstLine="749"/>
        <w:spacing w:after="0" w:line="296" w:lineRule="auto"/>
        <w:rPr>
          <w:sz w:val="20"/>
          <w:szCs w:val="20"/>
          <w:color w:val="auto"/>
        </w:rPr>
      </w:pPr>
      <w:r>
        <w:rPr>
          <w:rFonts w:ascii="Arial" w:cs="Arial" w:eastAsia="Arial" w:hAnsi="Arial"/>
          <w:sz w:val="16"/>
          <w:szCs w:val="16"/>
          <w:color w:val="auto"/>
        </w:rPr>
        <w:t>During fiscal year ended June 30, 2021, Suzanne Crowe, Louis Drapeau, and Jeremy Curnock Cook served as members of our Compensation Committee. None of the members of our Compensation Committee were an officer, former officer or employee of the Company during the period ended June 30, 2021. None of the members of our Compensation Committee had any relationship requiring disclosure by us under any paragraph of Item 404 of Regulation S-K. None of our executive officers currently serve, nor in the past fiscal year have served, as a member of the board of directors or Compensation Committee of any entity that has one or more executive officers serving on our board of directors or Compensation Committee.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Stockholders and Management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following table provides certain information regarding the ownership of our common stock (including our CDIs), as of July 31, 2021 by each person or group of affiliated persons known to us to be the beneficial owner of more than 5% of our common stock (including our CDIs); each of our named executive officers; each of our directors; and all of our executive officers and directors as a group. The table also sets out the names of all persons (of which the Company is aware) who have disclosed pursuant to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that they are “substantial shareholders” of the Company and carry 5% or more of the voting rights attached to the issued securities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640" w:type="dxa"/>
            <w:vAlign w:val="bottom"/>
          </w:tcPr>
          <w:p>
            <w:pPr>
              <w:jc w:val="center"/>
              <w:ind w:left="179"/>
              <w:spacing w:after="0"/>
              <w:rPr>
                <w:sz w:val="20"/>
                <w:szCs w:val="20"/>
                <w:color w:val="auto"/>
              </w:rPr>
            </w:pPr>
            <w:r>
              <w:rPr>
                <w:rFonts w:ascii="Arial" w:cs="Arial" w:eastAsia="Arial" w:hAnsi="Arial"/>
                <w:sz w:val="16"/>
                <w:szCs w:val="16"/>
                <w:b w:val="1"/>
                <w:bCs w:val="1"/>
                <w:color w:val="auto"/>
                <w:w w:val="92"/>
              </w:rPr>
              <w:t>Amount and</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640" w:type="dxa"/>
            <w:vAlign w:val="bottom"/>
          </w:tcPr>
          <w:p>
            <w:pPr>
              <w:jc w:val="center"/>
              <w:ind w:left="179"/>
              <w:spacing w:after="0"/>
              <w:rPr>
                <w:sz w:val="20"/>
                <w:szCs w:val="20"/>
                <w:color w:val="auto"/>
              </w:rPr>
            </w:pPr>
            <w:r>
              <w:rPr>
                <w:rFonts w:ascii="Arial" w:cs="Arial" w:eastAsia="Arial" w:hAnsi="Arial"/>
                <w:sz w:val="16"/>
                <w:szCs w:val="16"/>
                <w:b w:val="1"/>
                <w:bCs w:val="1"/>
                <w:color w:val="auto"/>
                <w:w w:val="93"/>
              </w:rPr>
              <w:t>Nature of</w:t>
            </w:r>
          </w:p>
        </w:tc>
        <w:tc>
          <w:tcPr>
            <w:tcW w:w="60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Percentage</w:t>
            </w:r>
          </w:p>
        </w:tc>
      </w:tr>
      <w:tr>
        <w:trPr>
          <w:trHeight w:val="203"/>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640" w:type="dxa"/>
            <w:vAlign w:val="bottom"/>
          </w:tcPr>
          <w:p>
            <w:pPr>
              <w:jc w:val="center"/>
              <w:ind w:left="199"/>
              <w:spacing w:after="0"/>
              <w:rPr>
                <w:sz w:val="20"/>
                <w:szCs w:val="20"/>
                <w:color w:val="auto"/>
              </w:rPr>
            </w:pPr>
            <w:r>
              <w:rPr>
                <w:rFonts w:ascii="Arial" w:cs="Arial" w:eastAsia="Arial" w:hAnsi="Arial"/>
                <w:sz w:val="16"/>
                <w:szCs w:val="16"/>
                <w:b w:val="1"/>
                <w:bCs w:val="1"/>
                <w:color w:val="auto"/>
                <w:w w:val="89"/>
              </w:rPr>
              <w:t>Beneficial</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ind w:left="20"/>
              <w:spacing w:after="0" w:line="202" w:lineRule="exact"/>
              <w:rPr>
                <w:sz w:val="20"/>
                <w:szCs w:val="20"/>
                <w:color w:val="auto"/>
              </w:rPr>
            </w:pPr>
            <w:r>
              <w:rPr>
                <w:rFonts w:ascii="Arial" w:cs="Arial" w:eastAsia="Arial" w:hAnsi="Arial"/>
                <w:sz w:val="14"/>
                <w:szCs w:val="14"/>
                <w:b w:val="1"/>
                <w:bCs w:val="1"/>
                <w:color w:val="auto"/>
              </w:rPr>
              <w:t xml:space="preserve">of Class </w:t>
            </w:r>
            <w:r>
              <w:rPr>
                <w:rFonts w:ascii="Arial" w:cs="Arial" w:eastAsia="Arial" w:hAnsi="Arial"/>
                <w:sz w:val="23"/>
                <w:szCs w:val="23"/>
                <w:b w:val="1"/>
                <w:bCs w:val="1"/>
                <w:color w:val="auto"/>
                <w:vertAlign w:val="superscript"/>
              </w:rPr>
              <w:t>(2)</w:t>
            </w:r>
          </w:p>
        </w:tc>
      </w:tr>
      <w:tr>
        <w:trPr>
          <w:trHeight w:val="220"/>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Title of Class</w:t>
            </w:r>
          </w:p>
        </w:tc>
        <w:tc>
          <w:tcPr>
            <w:tcW w:w="6840" w:type="dxa"/>
            <w:vAlign w:val="bottom"/>
          </w:tcPr>
          <w:p>
            <w:pPr>
              <w:ind w:left="360"/>
              <w:spacing w:after="0"/>
              <w:rPr>
                <w:sz w:val="20"/>
                <w:szCs w:val="20"/>
                <w:color w:val="auto"/>
              </w:rPr>
            </w:pPr>
            <w:r>
              <w:rPr>
                <w:rFonts w:ascii="Arial" w:cs="Arial" w:eastAsia="Arial" w:hAnsi="Arial"/>
                <w:sz w:val="16"/>
                <w:szCs w:val="16"/>
                <w:b w:val="1"/>
                <w:bCs w:val="1"/>
                <w:color w:val="auto"/>
              </w:rPr>
              <w:t>Name and Address of Beneficial Owner</w:t>
            </w:r>
          </w:p>
        </w:tc>
        <w:tc>
          <w:tcPr>
            <w:tcW w:w="1640" w:type="dxa"/>
            <w:vAlign w:val="bottom"/>
          </w:tcPr>
          <w:p>
            <w:pPr>
              <w:jc w:val="center"/>
              <w:ind w:left="179"/>
              <w:spacing w:after="0" w:line="220" w:lineRule="exact"/>
              <w:rPr>
                <w:sz w:val="20"/>
                <w:szCs w:val="20"/>
                <w:color w:val="auto"/>
              </w:rPr>
            </w:pPr>
            <w:r>
              <w:rPr>
                <w:rFonts w:ascii="Arial" w:cs="Arial" w:eastAsia="Arial" w:hAnsi="Arial"/>
                <w:sz w:val="15"/>
                <w:szCs w:val="15"/>
                <w:b w:val="1"/>
                <w:bCs w:val="1"/>
                <w:color w:val="auto"/>
                <w:w w:val="95"/>
              </w:rPr>
              <w:t xml:space="preserve">Ownership </w:t>
            </w:r>
            <w:r>
              <w:rPr>
                <w:rFonts w:ascii="Arial" w:cs="Arial" w:eastAsia="Arial" w:hAnsi="Arial"/>
                <w:sz w:val="25"/>
                <w:szCs w:val="25"/>
                <w:b w:val="1"/>
                <w:bCs w:val="1"/>
                <w:color w:val="auto"/>
                <w:w w:val="95"/>
                <w:vertAlign w:val="superscript"/>
              </w:rPr>
              <w:t>(1)</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auto"/>
              </w:rPr>
              <w:t>More than 5% stockholders:</w:t>
            </w:r>
          </w:p>
        </w:tc>
        <w:tc>
          <w:tcPr>
            <w:tcW w:w="1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Redmile Group, LLC, One Letterman Drive, Bldg. D, Ste D3-300, San Francisco, CA 94129</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1,668,327</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2"/>
              </w:rPr>
              <w:t>6.70%</w:t>
            </w:r>
          </w:p>
        </w:tc>
        <w:tc>
          <w:tcPr>
            <w:tcW w:w="80" w:type="dxa"/>
            <w:vAlign w:val="bottom"/>
            <w:shd w:val="clear" w:color="auto" w:fill="CFF0FC"/>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Directors and named executive officers:</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Lou Panaccio 28159 Avenue Stanford Suite 220 Valencia, CA 91355</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20,064</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6840" w:type="dxa"/>
            <w:vAlign w:val="bottom"/>
          </w:tcPr>
          <w:p>
            <w:pPr>
              <w:ind w:left="360"/>
              <w:spacing w:after="0"/>
              <w:rPr>
                <w:sz w:val="20"/>
                <w:szCs w:val="20"/>
                <w:color w:val="auto"/>
              </w:rPr>
            </w:pPr>
            <w:r>
              <w:rPr>
                <w:rFonts w:ascii="Arial" w:cs="Arial" w:eastAsia="Arial" w:hAnsi="Arial"/>
                <w:sz w:val="16"/>
                <w:szCs w:val="16"/>
                <w:color w:val="auto"/>
              </w:rPr>
              <w:t>Jeremy Curnock Cook 28159 Avenue Stanford Suite 220 Valencia, CA 91355</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Louis Drapeau 28159 Avenue Stanford Suite 220 Valencia, CA 91355</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6840" w:type="dxa"/>
            <w:vAlign w:val="bottom"/>
          </w:tcPr>
          <w:p>
            <w:pPr>
              <w:ind w:left="360"/>
              <w:spacing w:after="0"/>
              <w:rPr>
                <w:sz w:val="20"/>
                <w:szCs w:val="20"/>
                <w:color w:val="auto"/>
              </w:rPr>
            </w:pPr>
            <w:r>
              <w:rPr>
                <w:rFonts w:ascii="Arial" w:cs="Arial" w:eastAsia="Arial" w:hAnsi="Arial"/>
                <w:sz w:val="16"/>
                <w:szCs w:val="16"/>
                <w:color w:val="auto"/>
              </w:rPr>
              <w:t>Professor Suzanne Crowe 28159 Avenue Stanford Suite 220 Valencia, CA 91355</w:t>
            </w:r>
          </w:p>
        </w:tc>
        <w:tc>
          <w:tcPr>
            <w:tcW w:w="1640" w:type="dxa"/>
            <w:vAlign w:val="bottom"/>
          </w:tcPr>
          <w:p>
            <w:pPr>
              <w:jc w:val="right"/>
              <w:spacing w:after="0"/>
              <w:rPr>
                <w:sz w:val="20"/>
                <w:szCs w:val="20"/>
                <w:color w:val="auto"/>
              </w:rPr>
            </w:pPr>
            <w:r>
              <w:rPr>
                <w:rFonts w:ascii="Arial" w:cs="Arial" w:eastAsia="Arial" w:hAnsi="Arial"/>
                <w:sz w:val="16"/>
                <w:szCs w:val="16"/>
                <w:color w:val="auto"/>
              </w:rPr>
              <w:t>3,046</w:t>
            </w: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James Corbett 28159 Avenue Stanford Suite 220 Valencia, CA 91355</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6840" w:type="dxa"/>
            <w:vAlign w:val="bottom"/>
          </w:tcPr>
          <w:p>
            <w:pPr>
              <w:ind w:left="360"/>
              <w:spacing w:after="0"/>
              <w:rPr>
                <w:sz w:val="20"/>
                <w:szCs w:val="20"/>
                <w:color w:val="auto"/>
              </w:rPr>
            </w:pPr>
            <w:r>
              <w:rPr>
                <w:rFonts w:ascii="Arial" w:cs="Arial" w:eastAsia="Arial" w:hAnsi="Arial"/>
                <w:sz w:val="16"/>
                <w:szCs w:val="16"/>
                <w:color w:val="auto"/>
              </w:rPr>
              <w:t>Jan Stern Reed 28159 Avenue Stanford Suite 220 Valencia, CA 91355</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Dr. Michael Perry 28159 Avenue Stanford Suite 220 Valencia, CA 91355</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528,333</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2"/>
              </w:rPr>
              <w:t>2.12%</w:t>
            </w:r>
          </w:p>
        </w:tc>
        <w:tc>
          <w:tcPr>
            <w:tcW w:w="80" w:type="dxa"/>
            <w:vAlign w:val="bottom"/>
            <w:shd w:val="clear" w:color="auto" w:fill="CFF0FC"/>
          </w:tcPr>
          <w:p>
            <w:pPr>
              <w:spacing w:after="0"/>
              <w:rPr>
                <w:sz w:val="19"/>
                <w:szCs w:val="19"/>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6840" w:type="dxa"/>
            <w:vAlign w:val="bottom"/>
          </w:tcPr>
          <w:p>
            <w:pPr>
              <w:ind w:left="360"/>
              <w:spacing w:after="0"/>
              <w:rPr>
                <w:sz w:val="20"/>
                <w:szCs w:val="20"/>
                <w:color w:val="auto"/>
              </w:rPr>
            </w:pPr>
            <w:r>
              <w:rPr>
                <w:rFonts w:ascii="Arial" w:cs="Arial" w:eastAsia="Arial" w:hAnsi="Arial"/>
                <w:sz w:val="16"/>
                <w:szCs w:val="16"/>
                <w:color w:val="auto"/>
              </w:rPr>
              <w:t>Michael Holder 28159 Avenue Stanford Suite 220 Valencia, CA 91355</w:t>
            </w:r>
          </w:p>
        </w:tc>
        <w:tc>
          <w:tcPr>
            <w:tcW w:w="1640" w:type="dxa"/>
            <w:vAlign w:val="bottom"/>
          </w:tcPr>
          <w:p>
            <w:pPr>
              <w:jc w:val="right"/>
              <w:spacing w:after="0"/>
              <w:rPr>
                <w:sz w:val="20"/>
                <w:szCs w:val="20"/>
                <w:color w:val="auto"/>
              </w:rPr>
            </w:pPr>
            <w:r>
              <w:rPr>
                <w:rFonts w:ascii="Arial" w:cs="Arial" w:eastAsia="Arial" w:hAnsi="Arial"/>
                <w:sz w:val="16"/>
                <w:szCs w:val="16"/>
                <w:color w:val="auto"/>
              </w:rPr>
              <w:t>14,063</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Kathy McGee 28159 Avenue Stanford Suite 220 Valencia, CA 91355</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19,000</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6840" w:type="dxa"/>
            <w:vAlign w:val="bottom"/>
          </w:tcPr>
          <w:p>
            <w:pPr>
              <w:ind w:left="360"/>
              <w:spacing w:after="0"/>
              <w:rPr>
                <w:sz w:val="20"/>
                <w:szCs w:val="20"/>
                <w:color w:val="auto"/>
              </w:rPr>
            </w:pPr>
            <w:r>
              <w:rPr>
                <w:rFonts w:ascii="Arial" w:cs="Arial" w:eastAsia="Arial" w:hAnsi="Arial"/>
                <w:sz w:val="16"/>
                <w:szCs w:val="16"/>
                <w:color w:val="auto"/>
              </w:rPr>
              <w:t>Erin Liberto 28159 Avenue Stanford Suite 220 Valencia, CA 91355</w:t>
            </w:r>
          </w:p>
        </w:tc>
        <w:tc>
          <w:tcPr>
            <w:tcW w:w="1640" w:type="dxa"/>
            <w:vAlign w:val="bottom"/>
          </w:tcPr>
          <w:p>
            <w:pPr>
              <w:jc w:val="right"/>
              <w:spacing w:after="0"/>
              <w:rPr>
                <w:sz w:val="20"/>
                <w:szCs w:val="20"/>
                <w:color w:val="auto"/>
              </w:rPr>
            </w:pPr>
            <w:r>
              <w:rPr>
                <w:rFonts w:ascii="Arial" w:cs="Arial" w:eastAsia="Arial" w:hAnsi="Arial"/>
                <w:sz w:val="16"/>
                <w:szCs w:val="16"/>
                <w:color w:val="auto"/>
              </w:rPr>
              <w:t>80,400</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Andrew Quick 28159 Avenue Stanford Suite 220 Valencia, CA 91355</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82,993</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6840" w:type="dxa"/>
            <w:vAlign w:val="bottom"/>
          </w:tcPr>
          <w:p>
            <w:pPr>
              <w:ind w:left="360"/>
              <w:spacing w:after="0"/>
              <w:rPr>
                <w:sz w:val="20"/>
                <w:szCs w:val="20"/>
                <w:color w:val="auto"/>
              </w:rPr>
            </w:pPr>
            <w:r>
              <w:rPr>
                <w:rFonts w:ascii="Arial" w:cs="Arial" w:eastAsia="Arial" w:hAnsi="Arial"/>
                <w:sz w:val="16"/>
                <w:szCs w:val="16"/>
                <w:color w:val="auto"/>
              </w:rPr>
              <w:t>Donna Shiroma 28159 Avenue Stanford Suite 220 Valencia, CA 91355</w:t>
            </w:r>
          </w:p>
        </w:tc>
        <w:tc>
          <w:tcPr>
            <w:tcW w:w="1640" w:type="dxa"/>
            <w:vAlign w:val="bottom"/>
          </w:tcPr>
          <w:p>
            <w:pPr>
              <w:jc w:val="right"/>
              <w:spacing w:after="0"/>
              <w:rPr>
                <w:sz w:val="20"/>
                <w:szCs w:val="20"/>
                <w:color w:val="auto"/>
              </w:rPr>
            </w:pPr>
            <w:r>
              <w:rPr>
                <w:rFonts w:ascii="Arial" w:cs="Arial" w:eastAsia="Arial" w:hAnsi="Arial"/>
                <w:sz w:val="16"/>
                <w:szCs w:val="16"/>
                <w:color w:val="auto"/>
              </w:rPr>
              <w:t>60,400</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40" w:type="dxa"/>
            <w:vAlign w:val="bottom"/>
            <w:shd w:val="clear" w:color="auto" w:fill="CFF0FC"/>
          </w:tcPr>
          <w:p>
            <w:pPr>
              <w:ind w:left="360"/>
              <w:spacing w:after="0"/>
              <w:rPr>
                <w:sz w:val="20"/>
                <w:szCs w:val="20"/>
                <w:color w:val="auto"/>
              </w:rPr>
            </w:pPr>
            <w:r>
              <w:rPr>
                <w:rFonts w:ascii="Arial" w:cs="Arial" w:eastAsia="Arial" w:hAnsi="Arial"/>
                <w:sz w:val="16"/>
                <w:szCs w:val="16"/>
                <w:b w:val="1"/>
                <w:bCs w:val="1"/>
                <w:color w:val="auto"/>
              </w:rPr>
              <w:t>All executive officers and directors as a group (12 persons)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808,638</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2"/>
              </w:rPr>
              <w:t>3.25%</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common stock.</w:t>
      </w:r>
    </w:p>
    <w:p>
      <w:pPr>
        <w:spacing w:after="0" w:line="117" w:lineRule="exact"/>
        <w:rPr>
          <w:sz w:val="20"/>
          <w:szCs w:val="20"/>
          <w:color w:val="auto"/>
        </w:rPr>
      </w:pPr>
    </w:p>
    <w:p>
      <w:pPr>
        <w:ind w:left="500" w:right="160" w:hanging="492"/>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otherwise indicated, we believe that the beneficial owners of the common stock (and CDIs)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86" w:lineRule="exact"/>
        <w:rPr>
          <w:rFonts w:ascii="Arial" w:cs="Arial" w:eastAsia="Arial" w:hAnsi="Arial"/>
          <w:sz w:val="18"/>
          <w:szCs w:val="18"/>
          <w:color w:val="auto"/>
        </w:rPr>
      </w:pPr>
    </w:p>
    <w:p>
      <w:pPr>
        <w:ind w:left="500" w:right="340" w:hanging="492"/>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Percentage of ownership is based on 24,895,864 shares of our common stock issued (including all common stock represented by CDIs) and outstanding as of July 31, 2021. Common stock (or CDIs) subject to options or RSUs exercisable within 60 days of July 31, 2021 are deemed outstanding for purposes of computing the percentage ownership of the person holding such option or RSUs, but are not deemed outstanding for purposes of computing the percentage ownership of any other person.</w:t>
      </w:r>
    </w:p>
    <w:p>
      <w:pPr>
        <w:spacing w:after="0" w:line="186" w:lineRule="exact"/>
        <w:rPr>
          <w:rFonts w:ascii="Arial" w:cs="Arial" w:eastAsia="Arial" w:hAnsi="Arial"/>
          <w:sz w:val="18"/>
          <w:szCs w:val="18"/>
          <w:color w:val="auto"/>
        </w:rPr>
      </w:pPr>
    </w:p>
    <w:p>
      <w:pPr>
        <w:ind w:left="500" w:hanging="492"/>
        <w:spacing w:after="0" w:line="293"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Redmile Group, LLC’s beneficial ownership is comprised of 1,668,327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 Mr. Green serves as the managing member of Redmile Group, LLC, and as such has a deemed relevant interest in the shares under section 608(3) of the Corporations Act 2001(Cth).</w:t>
      </w:r>
    </w:p>
    <w:p>
      <w:pPr>
        <w:spacing w:after="0" w:line="164" w:lineRule="exact"/>
        <w:rPr>
          <w:rFonts w:ascii="Arial" w:cs="Arial" w:eastAsia="Arial" w:hAnsi="Arial"/>
          <w:sz w:val="16"/>
          <w:szCs w:val="16"/>
          <w:color w:val="auto"/>
        </w:rPr>
      </w:pPr>
    </w:p>
    <w:p>
      <w:pPr>
        <w:ind w:left="500" w:right="24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100,320 CDIs, which represent 20,064 shares of common stock. Amount includes 29,860 CDIs which represent 5,972 shares of common stock that are held by The Panaccio Superannuation Fund.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1,695 CDIs which represent 339 shares of common stock.</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15,230 CDIs which represent 3,046 shares of common stock.</w:t>
      </w:r>
    </w:p>
    <w:p>
      <w:pPr>
        <w:spacing w:after="0" w:line="225" w:lineRule="exact"/>
        <w:rPr>
          <w:rFonts w:ascii="Arial" w:cs="Arial" w:eastAsia="Arial" w:hAnsi="Arial"/>
          <w:sz w:val="18"/>
          <w:szCs w:val="18"/>
          <w:color w:val="auto"/>
        </w:rPr>
      </w:pPr>
    </w:p>
    <w:p>
      <w:pPr>
        <w:ind w:left="500" w:right="52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1,266,125 CDIs which represent 253,225 shares of common stock, which includes 631,523 CDIs (which represent 126,305 shares of common stock) held by the spouse of Dr. Perry and 101,354 shares of common stock. In addition, the amount</w:t>
      </w:r>
    </w:p>
    <w:p>
      <w:pPr>
        <w:sectPr>
          <w:pgSz w:w="11900" w:h="16838" w:orient="portrait"/>
          <w:cols w:equalWidth="0" w:num="1">
            <w:col w:w="11240"/>
          </w:cols>
          <w:pgMar w:left="320" w:top="125"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00" w:right="440"/>
        <w:spacing w:after="0" w:line="277" w:lineRule="auto"/>
        <w:rPr>
          <w:sz w:val="20"/>
          <w:szCs w:val="20"/>
          <w:color w:val="auto"/>
        </w:rPr>
      </w:pPr>
      <w:r>
        <w:rPr>
          <w:rFonts w:ascii="Arial" w:cs="Arial" w:eastAsia="Arial" w:hAnsi="Arial"/>
          <w:sz w:val="18"/>
          <w:szCs w:val="18"/>
          <w:color w:val="auto"/>
        </w:rPr>
        <w:t>includes 150,00 stock options and 23,754 RSUs which give Dr. Perry the right to acquire 173,754 shares of common stock and are exercisable within 60 days of July 31, 2021.</w:t>
      </w:r>
    </w:p>
    <w:p>
      <w:pPr>
        <w:spacing w:after="0" w:line="170"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represents stock options to acquire shares of common stock exercisable within 60 days of July 31, 2021.</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Board members effective July 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equity compensation plan information as of June 30,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Weighted-average</w:t>
            </w:r>
          </w:p>
        </w:tc>
        <w:tc>
          <w:tcPr>
            <w:tcW w:w="2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warrants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reflected in the second</w:t>
            </w: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warrants and rights</w:t>
            </w:r>
          </w:p>
        </w:tc>
        <w:tc>
          <w:tcPr>
            <w:tcW w:w="2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column)</w:t>
            </w:r>
          </w:p>
        </w:tc>
        <w:tc>
          <w:tcPr>
            <w:tcW w:w="0" w:type="dxa"/>
            <w:vAlign w:val="bottom"/>
          </w:tcPr>
          <w:p>
            <w:pPr>
              <w:spacing w:after="0"/>
              <w:rPr>
                <w:sz w:val="1"/>
                <w:szCs w:val="1"/>
                <w:color w:val="auto"/>
              </w:rPr>
            </w:pPr>
          </w:p>
        </w:tc>
      </w:tr>
      <w:tr>
        <w:trPr>
          <w:trHeight w:val="200"/>
        </w:trPr>
        <w:tc>
          <w:tcPr>
            <w:tcW w:w="3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95"/>
              </w:rPr>
              <w:t>Equity compensation plans approved by security</w:t>
            </w:r>
          </w:p>
        </w:tc>
        <w:tc>
          <w:tcPr>
            <w:tcW w:w="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holders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40"/>
              <w:spacing w:after="0"/>
              <w:rPr>
                <w:sz w:val="20"/>
                <w:szCs w:val="20"/>
                <w:color w:val="auto"/>
              </w:rPr>
            </w:pPr>
            <w:r>
              <w:rPr>
                <w:rFonts w:ascii="Arial" w:cs="Arial" w:eastAsia="Arial" w:hAnsi="Arial"/>
                <w:sz w:val="16"/>
                <w:szCs w:val="16"/>
                <w:color w:val="auto"/>
              </w:rPr>
              <w:t>2016 Equity Incentive Plan</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420" w:type="dxa"/>
            <w:vAlign w:val="bottom"/>
          </w:tcPr>
          <w:p>
            <w:pPr>
              <w:jc w:val="right"/>
              <w:spacing w:after="0"/>
              <w:rPr>
                <w:sz w:val="20"/>
                <w:szCs w:val="20"/>
                <w:color w:val="auto"/>
              </w:rPr>
            </w:pPr>
            <w:r>
              <w:rPr>
                <w:rFonts w:ascii="Arial" w:cs="Arial" w:eastAsia="Arial" w:hAnsi="Arial"/>
                <w:sz w:val="16"/>
                <w:szCs w:val="16"/>
                <w:color w:val="auto"/>
              </w:rPr>
              <w:t>1,058,295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8"/>
                <w:szCs w:val="18"/>
                <w:color w:val="auto"/>
              </w:rPr>
            </w:pPr>
          </w:p>
        </w:tc>
        <w:tc>
          <w:tcPr>
            <w:tcW w:w="2060" w:type="dxa"/>
            <w:vAlign w:val="bottom"/>
            <w:gridSpan w:val="2"/>
          </w:tcPr>
          <w:p>
            <w:pPr>
              <w:ind w:left="1560"/>
              <w:spacing w:after="0"/>
              <w:rPr>
                <w:sz w:val="20"/>
                <w:szCs w:val="20"/>
                <w:color w:val="auto"/>
              </w:rPr>
            </w:pPr>
            <w:r>
              <w:rPr>
                <w:rFonts w:ascii="Arial" w:cs="Arial" w:eastAsia="Arial" w:hAnsi="Arial"/>
                <w:sz w:val="16"/>
                <w:szCs w:val="16"/>
                <w:color w:val="auto"/>
              </w:rPr>
              <w:t>— (1)</w:t>
            </w:r>
          </w:p>
        </w:tc>
        <w:tc>
          <w:tcPr>
            <w:tcW w:w="0" w:type="dxa"/>
            <w:vAlign w:val="bottom"/>
          </w:tcPr>
          <w:p>
            <w:pPr>
              <w:spacing w:after="0"/>
              <w:rPr>
                <w:sz w:val="1"/>
                <w:szCs w:val="1"/>
                <w:color w:val="auto"/>
              </w:rPr>
            </w:pPr>
          </w:p>
        </w:tc>
      </w:tr>
      <w:tr>
        <w:trPr>
          <w:trHeight w:val="219"/>
        </w:trPr>
        <w:tc>
          <w:tcPr>
            <w:tcW w:w="3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RSU Awards</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95,014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40"/>
              <w:spacing w:after="0"/>
              <w:rPr>
                <w:sz w:val="20"/>
                <w:szCs w:val="20"/>
                <w:color w:val="auto"/>
              </w:rPr>
            </w:pPr>
            <w:r>
              <w:rPr>
                <w:rFonts w:ascii="Arial" w:cs="Arial" w:eastAsia="Arial" w:hAnsi="Arial"/>
                <w:sz w:val="16"/>
                <w:szCs w:val="16"/>
                <w:color w:val="auto"/>
              </w:rPr>
              <w:t>2020 Equity Incentive Plan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440,200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21.37</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1,309,800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Equity compensation plans not approved by</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security holders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1,593,509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13.62</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1,309,800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00" w:right="6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closing of the Redomiciliation, the 2016 Plans were terminated with respect to future grants and accordingly, there are no more shares available to be issued under the 2016 Plans.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2016 Plans were previously approved and adopted by the shareholders of AVITA Medical, the former parent company.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Australian Disclosure Requirements</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In addition to the Company’s primary listing on the NASDAQ Global Market, the Company’s shares of common stock are also quoted in the form of CDIs on the ASX and trade under the ticker symbol “AVH”. As part of our ASX listing, we are required to comply with the various disclosure requirements as set out under the ASX Listing Rules. The following information is intended to comply with the ASX Listing Rules (where that information has not been provided elsewhere in this Annual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Jurisdiction of incorporation and restrictions on the acquisition of securities</w:t>
      </w:r>
    </w:p>
    <w:p>
      <w:pPr>
        <w:spacing w:after="0" w:line="11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 xml:space="preserve">The Company is incorporated in the State of Delaware in the United States of America. As a foreign company registered in Australia, the Company is not subject to Chapters 6, 6A, 6B and 6C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dealing with the acquisition of its shares (including substantial holdings and takeovers).</w:t>
      </w:r>
    </w:p>
    <w:p>
      <w:pPr>
        <w:spacing w:after="0" w:line="184"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 restrictions on the transfer of its shares. Repurchases of the Company’s securities are governed by the safe harbor provisions set forth in Rule 10b-18 of the Securities Exchange Act of 1934. However, 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Company’s board may consider inadequate and encourage persons seeking to acquire control of the Company to first negotiate with the board.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Corporate Governance Statement</w:t>
      </w:r>
    </w:p>
    <w:p>
      <w:pPr>
        <w:spacing w:after="0" w:line="121"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board of directors and employees of the Company are committed to developing, promoting and maintaining a strong culture of good corporate governance and ethical conduct. The board of directors confirm that the Company’s corporate governance framework is generally consistent with the ASX’s Corporate Governance Council’s “Corporate Governance Principles and Recommendations” (4th Edition) (“</w:t>
      </w:r>
      <w:r>
        <w:rPr>
          <w:rFonts w:ascii="Arial" w:cs="Arial" w:eastAsia="Arial" w:hAnsi="Arial"/>
          <w:sz w:val="18"/>
          <w:szCs w:val="18"/>
          <w:b w:val="1"/>
          <w:bCs w:val="1"/>
          <w:color w:val="auto"/>
        </w:rPr>
        <w:t>ASX Governance</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Recommendations</w:t>
      </w:r>
      <w:r>
        <w:rPr>
          <w:rFonts w:ascii="Arial" w:cs="Arial" w:eastAsia="Arial" w:hAnsi="Arial"/>
          <w:sz w:val="18"/>
          <w:szCs w:val="18"/>
          <w:color w:val="auto"/>
        </w:rPr>
        <w:t>”). The Company’s Corporate Governance Statement 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available for viewing at https://ir.avitamedical.com/corporate-governance. The Corporate Governance Statement sets out the ASX Governance Recommendations and the Company’s response as to how and whether it follows those recommendations. Where the Company’s practices depart from a recommendation, the board of directors have disclosed in the Corporate Governance Statement the departure along with reasons for the adoption of its own practices. The Company’s most recent Corporate Governance Statement, dated August 26, 2021 and approved by the board of directors remains accurate as of the date of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2021, the Company’s issued share capital was as follows:</w:t>
      </w:r>
    </w:p>
    <w:p>
      <w:pPr>
        <w:spacing w:after="0" w:line="117" w:lineRule="exact"/>
        <w:rPr>
          <w:sz w:val="20"/>
          <w:szCs w:val="20"/>
          <w:color w:val="auto"/>
        </w:rPr>
      </w:pPr>
    </w:p>
    <w:p>
      <w:pPr>
        <w:ind w:left="500" w:hanging="371"/>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24,895,864 shares of common stock, of which:</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11,053,273 shares of common stock were held by 92 stockholders and quoted on NASDAQ; and</w:t>
      </w:r>
    </w:p>
    <w:p>
      <w:pPr>
        <w:spacing w:after="0" w:line="113" w:lineRule="exact"/>
        <w:rPr>
          <w:rFonts w:ascii="Arial" w:cs="Arial" w:eastAsia="Arial" w:hAnsi="Arial"/>
          <w:sz w:val="18"/>
          <w:szCs w:val="18"/>
          <w:color w:val="auto"/>
        </w:rPr>
      </w:pPr>
    </w:p>
    <w:p>
      <w:pPr>
        <w:ind w:left="1140" w:right="520" w:hanging="376"/>
        <w:spacing w:after="0" w:line="282"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13,842,591 shares of common stock were held by CHESS Depositary Nominees Pty Limited (“</w:t>
      </w:r>
      <w:r>
        <w:rPr>
          <w:rFonts w:ascii="Arial" w:cs="Arial" w:eastAsia="Arial" w:hAnsi="Arial"/>
          <w:sz w:val="18"/>
          <w:szCs w:val="18"/>
          <w:b w:val="1"/>
          <w:bCs w:val="1"/>
          <w:color w:val="auto"/>
        </w:rPr>
        <w:t>Authorised Nominee</w:t>
      </w:r>
      <w:r>
        <w:rPr>
          <w:rFonts w:ascii="Arial" w:cs="Arial" w:eastAsia="Arial" w:hAnsi="Arial"/>
          <w:sz w:val="18"/>
          <w:szCs w:val="18"/>
          <w:color w:val="auto"/>
        </w:rPr>
        <w:t>”) (on behalf of 26,390 CDI holders) representing 69,212,955 CDIs quoted on ASX.</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July 31, 2021, the following unquoted securities are on issue, which entitle the holders of those securities, upon vesting of their conversion rights, to be issued shares of common stock of the Company:</w:t>
      </w:r>
    </w:p>
    <w:p>
      <w:pPr>
        <w:spacing w:after="0" w:line="62" w:lineRule="exact"/>
        <w:rPr>
          <w:sz w:val="20"/>
          <w:szCs w:val="20"/>
          <w:color w:val="auto"/>
        </w:rPr>
      </w:pPr>
    </w:p>
    <w:p>
      <w:pPr>
        <w:ind w:left="500" w:hanging="371"/>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equivalent of 1,618,570 unquoted options held amongst 113 option holders. Specifically:</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equivalent of 150,000 options are on issue to Dr Michael Perry, CEO;</w:t>
      </w:r>
    </w:p>
    <w:p>
      <w:pPr>
        <w:spacing w:after="0" w:line="117" w:lineRule="exact"/>
        <w:rPr>
          <w:rFonts w:ascii="Arial" w:cs="Arial" w:eastAsia="Arial" w:hAnsi="Arial"/>
          <w:sz w:val="18"/>
          <w:szCs w:val="18"/>
          <w:color w:val="auto"/>
        </w:rPr>
      </w:pPr>
    </w:p>
    <w:p>
      <w:pPr>
        <w:ind w:left="1140" w:right="160" w:hanging="376"/>
        <w:spacing w:after="0" w:line="277"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equivalent of 1,468,570 options were granted (and are on issue) to 112 employees of the AVITA Group under the 2016 and 2020 stock option incentive plans; and</w:t>
      </w:r>
    </w:p>
    <w:p>
      <w:pPr>
        <w:spacing w:after="0" w:line="58" w:lineRule="exact"/>
        <w:rPr>
          <w:rFonts w:ascii="Arial" w:cs="Arial" w:eastAsia="Arial" w:hAnsi="Arial"/>
          <w:sz w:val="18"/>
          <w:szCs w:val="18"/>
          <w:color w:val="auto"/>
        </w:rPr>
      </w:pPr>
    </w:p>
    <w:p>
      <w:pPr>
        <w:ind w:left="500" w:hanging="371"/>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equivalent of 187,514 unquoted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held as follows:</w:t>
      </w:r>
    </w:p>
    <w:p>
      <w:pPr>
        <w:spacing w:after="0" w:line="121" w:lineRule="exact"/>
        <w:rPr>
          <w:rFonts w:ascii="Arial" w:cs="Arial" w:eastAsia="Arial" w:hAnsi="Arial"/>
          <w:sz w:val="18"/>
          <w:szCs w:val="18"/>
          <w:color w:val="auto"/>
        </w:rPr>
      </w:pPr>
    </w:p>
    <w:p>
      <w:pPr>
        <w:ind w:left="1140" w:hanging="376"/>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equivalent of 95,014 RSUs held by Dr Michael Perry, CEO;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equivalent of 92,500 RSUs held by 15 executives under Avita Medical’s Employee Incentive Option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00" w:firstLine="749"/>
        <w:spacing w:after="0" w:line="279" w:lineRule="auto"/>
        <w:rPr>
          <w:sz w:val="20"/>
          <w:szCs w:val="20"/>
          <w:color w:val="auto"/>
        </w:rPr>
      </w:pPr>
      <w:r>
        <w:rPr>
          <w:rFonts w:ascii="Arial" w:cs="Arial" w:eastAsia="Arial" w:hAnsi="Arial"/>
          <w:sz w:val="17"/>
          <w:szCs w:val="17"/>
          <w:color w:val="auto"/>
        </w:rPr>
        <w:t>The Company’s by-laws provide that each stockholder has one vote for every share of common stock entitled to vote held of record by such stockholder. If holders of CDIs wish to attend and vote at the Company’s general meetings, they will be able to do so. Under the ASX Listing Rules and ASX Settlement Operating Rules, the Company must allow CDI holders to attend any meeting of the holders of the underlying securities, unless relevant United States laws at the time of the meeting prevent CDI holders from attending those 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order to vote at such meetings, CDI holders have the following options:</w:t>
      </w:r>
    </w:p>
    <w:p>
      <w:pPr>
        <w:spacing w:after="0" w:line="117" w:lineRule="exact"/>
        <w:rPr>
          <w:sz w:val="20"/>
          <w:szCs w:val="20"/>
          <w:color w:val="auto"/>
        </w:rPr>
      </w:pPr>
    </w:p>
    <w:p>
      <w:pPr>
        <w:ind w:left="500" w:right="360" w:hanging="371"/>
        <w:spacing w:after="0" w:line="279"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instruct the Authorised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w:t>
      </w:r>
      <w:r>
        <w:rPr>
          <w:rFonts w:ascii="Arial" w:cs="Arial" w:eastAsia="Arial" w:hAnsi="Arial"/>
          <w:sz w:val="17"/>
          <w:szCs w:val="17"/>
          <w:b w:val="1"/>
          <w:bCs w:val="1"/>
          <w:color w:val="auto"/>
        </w:rPr>
        <w:t>CDI Voting</w:t>
      </w:r>
      <w:r>
        <w:rPr>
          <w:rFonts w:ascii="Arial" w:cs="Arial" w:eastAsia="Arial" w:hAnsi="Arial"/>
          <w:sz w:val="17"/>
          <w:szCs w:val="17"/>
          <w:color w:val="auto"/>
        </w:rPr>
        <w:t xml:space="preserve"> </w:t>
      </w:r>
      <w:r>
        <w:rPr>
          <w:rFonts w:ascii="Arial" w:cs="Arial" w:eastAsia="Arial" w:hAnsi="Arial"/>
          <w:sz w:val="17"/>
          <w:szCs w:val="17"/>
          <w:b w:val="1"/>
          <w:bCs w:val="1"/>
          <w:color w:val="auto"/>
        </w:rPr>
        <w:t>Instruction Receipt Time</w:t>
      </w:r>
      <w:r>
        <w:rPr>
          <w:rFonts w:ascii="Arial" w:cs="Arial" w:eastAsia="Arial" w:hAnsi="Arial"/>
          <w:sz w:val="17"/>
          <w:szCs w:val="17"/>
          <w:color w:val="auto"/>
        </w:rPr>
        <w:t>”), which is notified to the CDI holder in the voting instructions included in the notice of meeting; or</w:t>
      </w:r>
    </w:p>
    <w:p>
      <w:pPr>
        <w:spacing w:after="0" w:line="63" w:lineRule="exact"/>
        <w:rPr>
          <w:rFonts w:ascii="Arial" w:cs="Arial" w:eastAsia="Arial" w:hAnsi="Arial"/>
          <w:sz w:val="17"/>
          <w:szCs w:val="17"/>
          <w:color w:val="auto"/>
        </w:rPr>
      </w:pPr>
    </w:p>
    <w:p>
      <w:pPr>
        <w:jc w:val="both"/>
        <w:ind w:left="500" w:right="80" w:hanging="371"/>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 the Company that they wish to nominate themselves or a third party to be appointed as the Authorised Nominee’s proxy with respect to their common stock underlying their CDIs for the purposes of attending and voting at the meeting. The instruction form must be completed and returned to the Company’s registry prior to the CDI Voting Instruction Receipt Time.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Alternatively, a CDI holder can convert their CDIs into a holding of common stock and vote those shares of common stock at a meeting of stockholders. Such a conversion must be undertaken prior to the record date fixed by the Company’s board of directors for determining the entitlement of stockholders to attend and vote at the meeting. However, if the former CDI holder later wishes to sell their investment on the ASX, it would be necessary to convert those shares of common stock back to CDIs.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Holders of options, warrants and RSUs are not entitled to vote.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in relation to the substantial shareholders of the Company is included in this Annual Report at Item 12 of 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of Common Stock and CDI Holders at July 31, 2021</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distribution schedule of the number of holders of CDIs, categorized by the size of their holdings, based on the Company’s registers as at July 31, 2021 (assuming all issued shares of common stock are held as CDIs).</w:t>
      </w:r>
    </w:p>
    <w:p>
      <w:pPr>
        <w:spacing w:after="0" w:line="31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color w:val="auto"/>
              </w:rPr>
              <w:t>CDIs</w:t>
            </w:r>
          </w:p>
        </w:tc>
        <w:tc>
          <w:tcPr>
            <w:tcW w:w="1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20" w:type="dxa"/>
            <w:vAlign w:val="bottom"/>
            <w:gridSpan w:val="3"/>
          </w:tcPr>
          <w:p>
            <w:pPr>
              <w:ind w:left="200"/>
              <w:spacing w:after="0"/>
              <w:rPr>
                <w:sz w:val="20"/>
                <w:szCs w:val="20"/>
                <w:color w:val="auto"/>
              </w:rPr>
            </w:pPr>
            <w:r>
              <w:rPr>
                <w:rFonts w:ascii="Arial" w:cs="Arial" w:eastAsia="Arial" w:hAnsi="Arial"/>
                <w:sz w:val="18"/>
                <w:szCs w:val="18"/>
                <w:color w:val="auto"/>
              </w:rPr>
              <w:t>Number of Holders</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Number of CDIs</w:t>
            </w:r>
          </w:p>
        </w:tc>
        <w:tc>
          <w:tcPr>
            <w:tcW w:w="80" w:type="dxa"/>
            <w:vAlign w:val="bottom"/>
          </w:tcPr>
          <w:p>
            <w:pPr>
              <w:spacing w:after="0"/>
              <w:rPr>
                <w:sz w:val="19"/>
                <w:szCs w:val="19"/>
                <w:color w:val="auto"/>
              </w:rPr>
            </w:pPr>
          </w:p>
        </w:tc>
      </w:tr>
      <w:tr>
        <w:trPr>
          <w:trHeight w:val="223"/>
        </w:trPr>
        <w:tc>
          <w:tcPr>
            <w:tcW w:w="3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1 - 1000</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6,582,309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w w:val="88"/>
              </w:rPr>
              <w:t>1,001</w:t>
            </w:r>
          </w:p>
        </w:tc>
        <w:tc>
          <w:tcPr>
            <w:tcW w:w="3540" w:type="dxa"/>
            <w:vAlign w:val="bottom"/>
          </w:tcPr>
          <w:p>
            <w:pPr>
              <w:ind w:left="20"/>
              <w:spacing w:after="0"/>
              <w:rPr>
                <w:sz w:val="20"/>
                <w:szCs w:val="20"/>
                <w:color w:val="auto"/>
              </w:rPr>
            </w:pPr>
            <w:r>
              <w:rPr>
                <w:rFonts w:ascii="Arial" w:cs="Arial" w:eastAsia="Arial" w:hAnsi="Arial"/>
                <w:sz w:val="18"/>
                <w:szCs w:val="18"/>
                <w:color w:val="auto"/>
              </w:rPr>
              <w:t>- 5,000</w:t>
            </w:r>
          </w:p>
        </w:tc>
        <w:tc>
          <w:tcPr>
            <w:tcW w:w="1820" w:type="dxa"/>
            <w:vAlign w:val="bottom"/>
          </w:tcPr>
          <w:p>
            <w:pPr>
              <w:jc w:val="right"/>
              <w:spacing w:after="0"/>
              <w:rPr>
                <w:sz w:val="20"/>
                <w:szCs w:val="20"/>
                <w:color w:val="auto"/>
              </w:rPr>
            </w:pPr>
            <w:r>
              <w:rPr>
                <w:rFonts w:ascii="Arial" w:cs="Arial" w:eastAsia="Arial" w:hAnsi="Arial"/>
                <w:sz w:val="18"/>
                <w:szCs w:val="18"/>
                <w:color w:val="auto"/>
              </w:rPr>
              <w:t>6,020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14,063,894</w:t>
            </w:r>
          </w:p>
        </w:tc>
        <w:tc>
          <w:tcPr>
            <w:tcW w:w="80" w:type="dxa"/>
            <w:vAlign w:val="bottom"/>
          </w:tcPr>
          <w:p>
            <w:pPr>
              <w:spacing w:after="0"/>
              <w:rPr>
                <w:sz w:val="19"/>
                <w:szCs w:val="19"/>
                <w:color w:val="auto"/>
              </w:rPr>
            </w:pPr>
          </w:p>
        </w:tc>
      </w:tr>
      <w:tr>
        <w:trPr>
          <w:trHeight w:val="229"/>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5,001</w:t>
            </w:r>
          </w:p>
        </w:tc>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- 10,000</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7,194,726</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10,001 - 100,000</w:t>
            </w:r>
          </w:p>
        </w:tc>
        <w:tc>
          <w:tcPr>
            <w:tcW w:w="1820" w:type="dxa"/>
            <w:vAlign w:val="bottom"/>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16,845,078</w:t>
            </w:r>
          </w:p>
        </w:tc>
        <w:tc>
          <w:tcPr>
            <w:tcW w:w="80" w:type="dxa"/>
            <w:vAlign w:val="bottom"/>
          </w:tcPr>
          <w:p>
            <w:pPr>
              <w:spacing w:after="0"/>
              <w:rPr>
                <w:sz w:val="19"/>
                <w:szCs w:val="19"/>
                <w:color w:val="auto"/>
              </w:rPr>
            </w:pPr>
          </w:p>
        </w:tc>
      </w:tr>
      <w:tr>
        <w:trPr>
          <w:trHeight w:val="229"/>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100,001 - and over</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79,793,313</w:t>
            </w:r>
          </w:p>
        </w:tc>
        <w:tc>
          <w:tcPr>
            <w:tcW w:w="80" w:type="dxa"/>
            <w:vAlign w:val="bottom"/>
            <w:shd w:val="clear" w:color="auto" w:fill="CFF0FC"/>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124,479,320</w:t>
            </w:r>
          </w:p>
        </w:tc>
        <w:tc>
          <w:tcPr>
            <w:tcW w:w="8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The number of stockholders and/or CDI holders holding less than a marketable parcel of shares of common stock and/or CDIs (where a “marketable parcel” means a parcel of securities worth at least A$500, pursuant to the ASX Operating Rules) was 3,447 based on the closing market price of the Company’s common stock and CDIs as of July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is no current on-market buy-back of our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Twenty Largest CDI Holders as of July 31, 2021</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Below is a statement of the 20 largest holders of CDIs, and the number and percentage of issued CDIs held by those holders, based on the Company’s registers as July 31, 2021 (assuming all shares of common stock of the Company are held as CDIs, with 5 CDIs representing a beneficial ownership interest in one share of common stock in the Company).</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Number of</w:t>
            </w:r>
          </w:p>
        </w:tc>
        <w:tc>
          <w:tcPr>
            <w:tcW w:w="4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 of CDIs</w:t>
            </w:r>
          </w:p>
        </w:tc>
      </w:tr>
      <w:tr>
        <w:trPr>
          <w:trHeight w:val="234"/>
        </w:trPr>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Rank</w:t>
            </w:r>
          </w:p>
        </w:tc>
        <w:tc>
          <w:tcPr>
            <w:tcW w:w="200" w:type="dxa"/>
            <w:vAlign w:val="bottom"/>
            <w:tcBorders>
              <w:bottom w:val="single" w:sz="8" w:color="CFF0FC"/>
            </w:tcBorders>
          </w:tcPr>
          <w:p>
            <w:pPr>
              <w:spacing w:after="0"/>
              <w:rPr>
                <w:sz w:val="20"/>
                <w:szCs w:val="20"/>
                <w:color w:val="auto"/>
              </w:rPr>
            </w:pPr>
          </w:p>
        </w:tc>
        <w:tc>
          <w:tcPr>
            <w:tcW w:w="450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FF0FC"/>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CDIs Held  (1)</w:t>
            </w:r>
          </w:p>
        </w:tc>
        <w:tc>
          <w:tcPr>
            <w:tcW w:w="48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Borders>
              <w:bottom w:val="single" w:sz="8" w:color="CFF0FC"/>
            </w:tcBorders>
          </w:tcPr>
          <w:p>
            <w:pPr>
              <w:spacing w:after="0"/>
              <w:rPr>
                <w:sz w:val="20"/>
                <w:szCs w:val="20"/>
                <w:color w:val="auto"/>
              </w:rPr>
            </w:pPr>
          </w:p>
        </w:tc>
      </w:tr>
      <w:tr>
        <w:trPr>
          <w:trHeight w:val="223"/>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Redmile Group, LLC</w:t>
            </w:r>
          </w:p>
        </w:tc>
        <w:tc>
          <w:tcPr>
            <w:tcW w:w="2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8,341,635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The Vanguard Group, Inc.</w:t>
            </w:r>
          </w:p>
        </w:tc>
        <w:tc>
          <w:tcPr>
            <w:tcW w:w="2120" w:type="dxa"/>
            <w:vAlign w:val="bottom"/>
          </w:tcPr>
          <w:p>
            <w:pPr>
              <w:jc w:val="right"/>
              <w:spacing w:after="0"/>
              <w:rPr>
                <w:sz w:val="20"/>
                <w:szCs w:val="20"/>
                <w:color w:val="auto"/>
              </w:rPr>
            </w:pPr>
            <w:r>
              <w:rPr>
                <w:rFonts w:ascii="Arial" w:cs="Arial" w:eastAsia="Arial" w:hAnsi="Arial"/>
                <w:sz w:val="18"/>
                <w:szCs w:val="18"/>
                <w:color w:val="auto"/>
              </w:rPr>
              <w:t>6,132,985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Montgomery Investment Management Pty Ltd</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5,575,665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Pura Vida Investments, LLC</w:t>
            </w:r>
          </w:p>
        </w:tc>
        <w:tc>
          <w:tcPr>
            <w:tcW w:w="2120" w:type="dxa"/>
            <w:vAlign w:val="bottom"/>
          </w:tcPr>
          <w:p>
            <w:pPr>
              <w:jc w:val="right"/>
              <w:spacing w:after="0"/>
              <w:rPr>
                <w:sz w:val="20"/>
                <w:szCs w:val="20"/>
                <w:color w:val="auto"/>
              </w:rPr>
            </w:pPr>
            <w:r>
              <w:rPr>
                <w:rFonts w:ascii="Arial" w:cs="Arial" w:eastAsia="Arial" w:hAnsi="Arial"/>
                <w:sz w:val="18"/>
                <w:szCs w:val="18"/>
                <w:color w:val="auto"/>
              </w:rPr>
              <w:t>4,083,120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Farallon Capital Management, L.L.C.</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Blackcrane Capital, LLC</w:t>
            </w:r>
          </w:p>
        </w:tc>
        <w:tc>
          <w:tcPr>
            <w:tcW w:w="2120" w:type="dxa"/>
            <w:vAlign w:val="bottom"/>
          </w:tcPr>
          <w:p>
            <w:pPr>
              <w:jc w:val="right"/>
              <w:spacing w:after="0"/>
              <w:rPr>
                <w:sz w:val="20"/>
                <w:szCs w:val="20"/>
                <w:color w:val="auto"/>
              </w:rPr>
            </w:pPr>
            <w:r>
              <w:rPr>
                <w:rFonts w:ascii="Arial" w:cs="Arial" w:eastAsia="Arial" w:hAnsi="Arial"/>
                <w:sz w:val="18"/>
                <w:szCs w:val="18"/>
                <w:color w:val="auto"/>
              </w:rPr>
              <w:t>3,002,460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SEI Investments Management Corporation</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2,852,265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State Street Global Advisors (US)</w:t>
            </w:r>
          </w:p>
        </w:tc>
        <w:tc>
          <w:tcPr>
            <w:tcW w:w="2120" w:type="dxa"/>
            <w:vAlign w:val="bottom"/>
          </w:tcPr>
          <w:p>
            <w:pPr>
              <w:jc w:val="right"/>
              <w:spacing w:after="0"/>
              <w:rPr>
                <w:sz w:val="20"/>
                <w:szCs w:val="20"/>
                <w:color w:val="auto"/>
              </w:rPr>
            </w:pPr>
            <w:r>
              <w:rPr>
                <w:rFonts w:ascii="Arial" w:cs="Arial" w:eastAsia="Arial" w:hAnsi="Arial"/>
                <w:sz w:val="18"/>
                <w:szCs w:val="18"/>
                <w:color w:val="auto"/>
              </w:rPr>
              <w:t>2,252,995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Michael Perry</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1,772,895</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Norges Bank Investment Management (NBIM)</w:t>
            </w:r>
          </w:p>
        </w:tc>
        <w:tc>
          <w:tcPr>
            <w:tcW w:w="2120" w:type="dxa"/>
            <w:vAlign w:val="bottom"/>
          </w:tcPr>
          <w:p>
            <w:pPr>
              <w:jc w:val="right"/>
              <w:spacing w:after="0"/>
              <w:rPr>
                <w:sz w:val="20"/>
                <w:szCs w:val="20"/>
                <w:color w:val="auto"/>
              </w:rPr>
            </w:pPr>
            <w:r>
              <w:rPr>
                <w:rFonts w:ascii="Arial" w:cs="Arial" w:eastAsia="Arial" w:hAnsi="Arial"/>
                <w:sz w:val="18"/>
                <w:szCs w:val="18"/>
                <w:color w:val="auto"/>
              </w:rPr>
              <w:t>1,683,705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UBS Securities Australia Ltd.</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1,512,375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RTW Investments L.P.</w:t>
            </w:r>
          </w:p>
        </w:tc>
        <w:tc>
          <w:tcPr>
            <w:tcW w:w="2120" w:type="dxa"/>
            <w:vAlign w:val="bottom"/>
          </w:tcPr>
          <w:p>
            <w:pPr>
              <w:jc w:val="right"/>
              <w:spacing w:after="0"/>
              <w:rPr>
                <w:sz w:val="20"/>
                <w:szCs w:val="20"/>
                <w:color w:val="auto"/>
              </w:rPr>
            </w:pPr>
            <w:r>
              <w:rPr>
                <w:rFonts w:ascii="Arial" w:cs="Arial" w:eastAsia="Arial" w:hAnsi="Arial"/>
                <w:sz w:val="18"/>
                <w:szCs w:val="18"/>
                <w:color w:val="auto"/>
              </w:rPr>
              <w:t>1,400,000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BlackRock Institutional Trust Company, N.A.</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1,383,115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Millennium Management LLC</w:t>
            </w:r>
          </w:p>
        </w:tc>
        <w:tc>
          <w:tcPr>
            <w:tcW w:w="2120" w:type="dxa"/>
            <w:vAlign w:val="bottom"/>
          </w:tcPr>
          <w:p>
            <w:pPr>
              <w:jc w:val="right"/>
              <w:spacing w:after="0"/>
              <w:rPr>
                <w:sz w:val="20"/>
                <w:szCs w:val="20"/>
                <w:color w:val="auto"/>
              </w:rPr>
            </w:pPr>
            <w:r>
              <w:rPr>
                <w:rFonts w:ascii="Arial" w:cs="Arial" w:eastAsia="Arial" w:hAnsi="Arial"/>
                <w:sz w:val="18"/>
                <w:szCs w:val="18"/>
                <w:color w:val="auto"/>
              </w:rPr>
              <w:t>1,342,905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Lockheed Martin Investment Management Co.</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1,118,030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0.90%</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Geode Capital Management, L.L.C.</w:t>
            </w:r>
          </w:p>
        </w:tc>
        <w:tc>
          <w:tcPr>
            <w:tcW w:w="2120" w:type="dxa"/>
            <w:vAlign w:val="bottom"/>
          </w:tcPr>
          <w:p>
            <w:pPr>
              <w:jc w:val="right"/>
              <w:spacing w:after="0"/>
              <w:rPr>
                <w:sz w:val="20"/>
                <w:szCs w:val="20"/>
                <w:color w:val="auto"/>
              </w:rPr>
            </w:pPr>
            <w:r>
              <w:rPr>
                <w:rFonts w:ascii="Arial" w:cs="Arial" w:eastAsia="Arial" w:hAnsi="Arial"/>
                <w:sz w:val="18"/>
                <w:szCs w:val="18"/>
                <w:color w:val="auto"/>
              </w:rPr>
              <w:t>982,860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Old Mission Capital LLC</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718,210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0.58%</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BlackRock Investment Management (Australia) Ltd.</w:t>
            </w:r>
          </w:p>
        </w:tc>
        <w:tc>
          <w:tcPr>
            <w:tcW w:w="2120" w:type="dxa"/>
            <w:vAlign w:val="bottom"/>
          </w:tcPr>
          <w:p>
            <w:pPr>
              <w:jc w:val="right"/>
              <w:spacing w:after="0"/>
              <w:rPr>
                <w:sz w:val="20"/>
                <w:szCs w:val="20"/>
                <w:color w:val="auto"/>
              </w:rPr>
            </w:pPr>
            <w:r>
              <w:rPr>
                <w:rFonts w:ascii="Arial" w:cs="Arial" w:eastAsia="Arial" w:hAnsi="Arial"/>
                <w:sz w:val="18"/>
                <w:szCs w:val="18"/>
                <w:color w:val="auto"/>
              </w:rPr>
              <w:t>659,380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9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Driehaus Capital Management, LLC</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Susquehanna International Group, LLP</w:t>
            </w:r>
          </w:p>
        </w:tc>
        <w:tc>
          <w:tcPr>
            <w:tcW w:w="2120" w:type="dxa"/>
            <w:vAlign w:val="bottom"/>
          </w:tcPr>
          <w:p>
            <w:pPr>
              <w:jc w:val="right"/>
              <w:spacing w:after="0"/>
              <w:rPr>
                <w:sz w:val="20"/>
                <w:szCs w:val="20"/>
                <w:color w:val="auto"/>
              </w:rPr>
            </w:pPr>
            <w:r>
              <w:rPr>
                <w:rFonts w:ascii="Arial" w:cs="Arial" w:eastAsia="Arial" w:hAnsi="Arial"/>
                <w:sz w:val="18"/>
                <w:szCs w:val="18"/>
                <w:color w:val="auto"/>
              </w:rPr>
              <w:t>601,105</w:t>
            </w:r>
          </w:p>
        </w:tc>
        <w:tc>
          <w:tcPr>
            <w:tcW w:w="4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r>
    </w:tbl>
    <w:p>
      <w:pPr>
        <w:spacing w:after="0" w:line="200" w:lineRule="exact"/>
        <w:rPr>
          <w:sz w:val="20"/>
          <w:szCs w:val="20"/>
          <w:color w:val="auto"/>
        </w:rPr>
      </w:pPr>
    </w:p>
    <w:p>
      <w:pPr>
        <w:spacing w:after="0" w:line="230" w:lineRule="exact"/>
        <w:rPr>
          <w:sz w:val="20"/>
          <w:szCs w:val="20"/>
          <w:color w:val="auto"/>
        </w:rPr>
      </w:pPr>
    </w:p>
    <w:p>
      <w:pPr>
        <w:ind w:left="880" w:right="20" w:hanging="508"/>
        <w:spacing w:after="0" w:line="258"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Including shares of common stock represented as though they are held as CDIs (with 5 CDIs representing a beneficial ownership interest in one share of common stock in the Company).</w:t>
      </w:r>
    </w:p>
    <w:p>
      <w:pPr>
        <w:spacing w:after="0" w:line="1" w:lineRule="exact"/>
        <w:rPr>
          <w:rFonts w:ascii="Arial" w:cs="Arial" w:eastAsia="Arial" w:hAnsi="Arial"/>
          <w:sz w:val="18"/>
          <w:szCs w:val="18"/>
          <w:color w:val="auto"/>
        </w:rPr>
      </w:pPr>
    </w:p>
    <w:p>
      <w:pPr>
        <w:ind w:left="880" w:hanging="508"/>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631,525 CDIs held by the spouse of Dr. Perry.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name of our Secretary is Donna Shiroma.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ASX liaison officer who is responsible for communications with the ASX is Mark Licciardo.</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complete mailing address, including zip code, of our principal executive office is 28159 Avenue Stanford, Suite 220, Valencia, CA 91355, USA. The telephone number is +1(661) 367-9170.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address of our registered office in Australia is c/- Mertons Corporate Services Pty Ltd, Level 7, 330 Collins Street, Melbourne VIC 3000, Australia and our telephone number there is +61 3 8689 9997.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Registers of securities are held as follows:</w:t>
      </w:r>
    </w:p>
    <w:p>
      <w:pPr>
        <w:spacing w:after="0" w:line="117" w:lineRule="exact"/>
        <w:rPr>
          <w:sz w:val="20"/>
          <w:szCs w:val="20"/>
          <w:color w:val="auto"/>
        </w:rPr>
      </w:pPr>
    </w:p>
    <w:p>
      <w:pPr>
        <w:ind w:left="1140" w:right="160" w:hanging="376"/>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CDIs in Australia at Computershare Investor Services Pty Limited, Level 2, 45 St Georges Terrace, Perth WA 6000 Australia, Investor Enquiries +61 8 9323 2000 (within Australia) +61 3 9415 4677 (outside Australia); and</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common stock in the United States at Computershare Investor Services, 250 Royall Street, Canton, MA 02021 USA, Tel: 866-644-4127.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funds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advises that it has used the cash and assets in a form readily convertible to cash that it had at the time of the Company’s admission to the Official List of ASX in a way that is consistent with its business objectives.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Declaration</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As at the date of this annual report, the directors confirm that they are of the opinion that there are reasonable grounds to believe that the members of the “extended closed group” identified in Note 17, being the Company and the Australian Subsidiaries that are party to the deed of cross guarantee that is detailed in Note 17, will be able to meet any liabilities to which they are, or may become, subject, by virtue of the deed of cross guarantee.</w:t>
      </w:r>
    </w:p>
    <w:p>
      <w:pPr>
        <w:spacing w:after="0" w:line="253" w:lineRule="exact"/>
        <w:rPr>
          <w:sz w:val="20"/>
          <w:szCs w:val="20"/>
          <w:color w:val="auto"/>
        </w:rPr>
      </w:pPr>
    </w:p>
    <w:p>
      <w:pPr>
        <w:ind w:right="1780"/>
        <w:spacing w:after="0" w:line="407" w:lineRule="auto"/>
        <w:rPr>
          <w:sz w:val="20"/>
          <w:szCs w:val="20"/>
          <w:color w:val="auto"/>
        </w:rPr>
      </w:pPr>
      <w:r>
        <w:rPr>
          <w:rFonts w:ascii="Arial" w:cs="Arial" w:eastAsia="Arial" w:hAnsi="Arial"/>
          <w:sz w:val="18"/>
          <w:szCs w:val="18"/>
          <w:b w:val="1"/>
          <w:bCs w:val="1"/>
          <w:color w:val="auto"/>
        </w:rPr>
        <w:t>Item 13. CERTAIN RELATIONSHIPS AND RELATED PARTY TRANSACTIONS, AND DIRECTOR INDEPENDENCE Transactions with Related Persons</w:t>
      </w:r>
    </w:p>
    <w:p>
      <w:pPr>
        <w:spacing w:after="0" w:line="58"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Board is committed to upholding the highest legal and ethical conduct in fulfilling its responsibilities and recognizes that related-party transactions can present a heightened risk of potential or actual conflicts of interest. Accordingly, and as a general matter, it is the Company’s preference to avoid related-party transactions.</w:t>
      </w:r>
    </w:p>
    <w:p>
      <w:pPr>
        <w:spacing w:after="0" w:line="184"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Our Audit Committee has primary responsibility for reviewing and approving in advance, or ratifying, all related-party transactions. In conformance with SEC regulations, we define related persons to include our executive officers, our directors and nominees to become a director of our company, any person who is known to us to be a beneficial owner of more than 5% of any class of our voting securities, any immediate family member of any of the foregoing persons, and any firm, corporation or other entity in which any of the foregoing persons is employed, is a general partner or in which such a person has a 5% or greater beneficial ownership interest.</w:t>
      </w:r>
    </w:p>
    <w:p>
      <w:pPr>
        <w:spacing w:after="0" w:line="188"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We have several processes that we use to ensure that we identify and review all related-party transactions. Firstly, each executive officer is required to notify either our General Counsel of Chief Financial Officer of any potential transaction that could create a conflict of interest, and the General Counsel or Chief Financial Officer is required to notify the Audit Committee of the potential conflict. The directors, Chief Executive Officer, Chief Financial Officer and General Counsel are required to notify the Audit Committee of any potential transaction that could create a conflict of interest. Secondly, each year, we require our directors and executive officers to complete directors’ and officers’ questionnaires identifying any transactions with us in which the executive officer or director or their family members have an interest. The Audit Committee reviews related party transactions due to the potential for such transactions to create a conflict of interest. A conflict of interest occurs when an individual’s private interest interferes, or appears to interfere, with our interests. Our Board or its committees only approve a related party transaction if it is determined that the transaction is in the best interests of shareholders or is at least not inconsistent with those interests.</w:t>
      </w:r>
    </w:p>
    <w:p>
      <w:pPr>
        <w:spacing w:after="0" w:line="181" w:lineRule="exact"/>
        <w:rPr>
          <w:sz w:val="20"/>
          <w:szCs w:val="20"/>
          <w:color w:val="auto"/>
        </w:rPr>
      </w:pPr>
    </w:p>
    <w:p>
      <w:pPr>
        <w:ind w:right="2120" w:firstLine="749"/>
        <w:spacing w:after="0" w:line="375" w:lineRule="auto"/>
        <w:rPr>
          <w:sz w:val="20"/>
          <w:szCs w:val="20"/>
          <w:color w:val="auto"/>
        </w:rPr>
      </w:pPr>
      <w:r>
        <w:rPr>
          <w:rFonts w:ascii="Arial" w:cs="Arial" w:eastAsia="Arial" w:hAnsi="Arial"/>
          <w:sz w:val="18"/>
          <w:szCs w:val="18"/>
          <w:color w:val="auto"/>
        </w:rPr>
        <w:t xml:space="preserve">There were no such reportable relationships or related party transactions during the fiscal year ended June 30, 2021. </w:t>
      </w:r>
      <w:r>
        <w:rPr>
          <w:rFonts w:ascii="Arial" w:cs="Arial" w:eastAsia="Arial" w:hAnsi="Arial"/>
          <w:sz w:val="18"/>
          <w:szCs w:val="18"/>
          <w:b w:val="1"/>
          <w:bCs w:val="1"/>
          <w:color w:val="auto"/>
        </w:rPr>
        <w:t>Director Independence</w:t>
      </w:r>
    </w:p>
    <w:p>
      <w:pPr>
        <w:spacing w:after="0" w:line="1"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Our board of directors has determined that all members of our board of directors, except Dr. Michael Perry, are independent directors for purposes of the rules of NASDAQ and the SEC and for the purposes of the ASX Listing Rules and the ASX Corporate Governance Council’s 4</w:t>
      </w:r>
      <w:r>
        <w:rPr>
          <w:rFonts w:ascii="Arial" w:cs="Arial" w:eastAsia="Arial" w:hAnsi="Arial"/>
          <w:sz w:val="14"/>
          <w:szCs w:val="14"/>
          <w:color w:val="auto"/>
        </w:rPr>
        <w:t>th</w:t>
      </w:r>
      <w:r>
        <w:rPr>
          <w:rFonts w:ascii="Arial" w:cs="Arial" w:eastAsia="Arial" w:hAnsi="Arial"/>
          <w:sz w:val="17"/>
          <w:szCs w:val="17"/>
          <w:color w:val="auto"/>
        </w:rPr>
        <w:t xml:space="preserve"> Edition Corporate Governance Principles and Recommendations.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Perry’s executive role within the Avita Group.</w:t>
      </w:r>
    </w:p>
    <w:p>
      <w:pPr>
        <w:spacing w:after="0" w:line="176" w:lineRule="exact"/>
        <w:rPr>
          <w:sz w:val="20"/>
          <w:szCs w:val="20"/>
          <w:color w:val="auto"/>
        </w:rPr>
      </w:pPr>
    </w:p>
    <w:p>
      <w:pPr>
        <w:ind w:firstLine="749"/>
        <w:spacing w:after="0" w:line="222" w:lineRule="auto"/>
        <w:rPr>
          <w:sz w:val="20"/>
          <w:szCs w:val="20"/>
          <w:color w:val="auto"/>
        </w:rPr>
      </w:pPr>
      <w:r>
        <w:rPr>
          <w:rFonts w:ascii="Arial" w:cs="Arial" w:eastAsia="Arial" w:hAnsi="Arial"/>
          <w:sz w:val="18"/>
          <w:szCs w:val="18"/>
          <w:color w:val="auto"/>
        </w:rPr>
        <w:t>The composition and functioning of our board of directors and each of our committees complies with all applicable requirements of NASDAQ and the rules and regulations of the SEC as well as the ASX Listing Rules and the ASX Corporate Governance Council’s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Edition Corporate Governance Principles and Recommendations.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21"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Grant Thornton LLP, the U.S. member of Grant Thornton International Ltd, independent registered public accountants have served as our independent public accountant for the period ended June 30, 2021 and 2020. Grant Thornton Audit Pty Ltd, a subsidiary of Grant Thornton Australia Ltd, independent registered public accountants served as our independent public accountant prior to the redomiciliation. The following table sets forth fees billed or accrued by our independent registered public accountants during the fiscal years ended June 30, 2021, and 2020:</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June 30,</w:t>
            </w: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line="223" w:lineRule="exact"/>
              <w:rPr>
                <w:sz w:val="20"/>
                <w:szCs w:val="20"/>
                <w:color w:val="auto"/>
              </w:rPr>
            </w:pPr>
            <w:r>
              <w:rPr>
                <w:rFonts w:ascii="Arial" w:cs="Arial" w:eastAsia="Arial" w:hAnsi="Arial"/>
                <w:sz w:val="17"/>
                <w:szCs w:val="17"/>
                <w:color w:val="auto"/>
              </w:rPr>
              <w:t xml:space="preserve">Audit fees - Grant Thornton LLP </w:t>
            </w:r>
            <w:r>
              <w:rPr>
                <w:rFonts w:ascii="Arial" w:cs="Arial" w:eastAsia="Arial" w:hAnsi="Arial"/>
                <w:sz w:val="25"/>
                <w:szCs w:val="25"/>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1,038,645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265,423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line="230" w:lineRule="exact"/>
              <w:rPr>
                <w:sz w:val="20"/>
                <w:szCs w:val="20"/>
                <w:color w:val="auto"/>
              </w:rPr>
            </w:pPr>
            <w:r>
              <w:rPr>
                <w:rFonts w:ascii="Arial" w:cs="Arial" w:eastAsia="Arial" w:hAnsi="Arial"/>
                <w:sz w:val="17"/>
                <w:szCs w:val="17"/>
                <w:color w:val="auto"/>
              </w:rPr>
              <w:t xml:space="preserve">Audit fees - Grant Thornton Audit Pty Ltd </w:t>
            </w:r>
            <w:r>
              <w:rPr>
                <w:rFonts w:ascii="Arial" w:cs="Arial" w:eastAsia="Arial" w:hAnsi="Arial"/>
                <w:sz w:val="26"/>
                <w:szCs w:val="26"/>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25,845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212,147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line="230" w:lineRule="exact"/>
              <w:rPr>
                <w:sz w:val="20"/>
                <w:szCs w:val="20"/>
                <w:color w:val="auto"/>
              </w:rPr>
            </w:pPr>
            <w:r>
              <w:rPr>
                <w:rFonts w:ascii="Arial" w:cs="Arial" w:eastAsia="Arial" w:hAnsi="Arial"/>
                <w:sz w:val="17"/>
                <w:szCs w:val="17"/>
                <w:color w:val="auto"/>
              </w:rPr>
              <w:t xml:space="preserve">Tax fees - Grant Thornton LLP </w:t>
            </w:r>
            <w:r>
              <w:rPr>
                <w:rFonts w:ascii="Arial" w:cs="Arial" w:eastAsia="Arial" w:hAnsi="Arial"/>
                <w:sz w:val="26"/>
                <w:szCs w:val="26"/>
                <w:color w:val="auto"/>
                <w:vertAlign w:val="superscript"/>
              </w:rPr>
              <w:t>(2)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126,929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90,737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line="230" w:lineRule="exact"/>
              <w:rPr>
                <w:sz w:val="20"/>
                <w:szCs w:val="20"/>
                <w:color w:val="auto"/>
              </w:rPr>
            </w:pPr>
            <w:r>
              <w:rPr>
                <w:rFonts w:ascii="Arial" w:cs="Arial" w:eastAsia="Arial" w:hAnsi="Arial"/>
                <w:sz w:val="17"/>
                <w:szCs w:val="17"/>
                <w:color w:val="auto"/>
              </w:rPr>
              <w:t xml:space="preserve">Tax fees - Grant Thornton Audit Pty Ltd </w:t>
            </w:r>
            <w:r>
              <w:rPr>
                <w:rFonts w:ascii="Arial" w:cs="Arial" w:eastAsia="Arial" w:hAnsi="Arial"/>
                <w:sz w:val="26"/>
                <w:szCs w:val="26"/>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1,191,419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589,122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00" w:hanging="492"/>
        <w:spacing w:after="0" w:line="255"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Audit fees consist of fees billed for the professional services rendered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2" w:lineRule="exact"/>
        <w:rPr>
          <w:rFonts w:ascii="Arial" w:cs="Arial" w:eastAsia="Arial" w:hAnsi="Arial"/>
          <w:sz w:val="18"/>
          <w:szCs w:val="18"/>
          <w:color w:val="auto"/>
        </w:rPr>
      </w:pPr>
    </w:p>
    <w:p>
      <w:pPr>
        <w:ind w:left="500" w:right="180" w:hanging="492"/>
        <w:spacing w:after="0" w:line="26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fees include the aggregate fees billed in each of the last two fiscal years for professional services rendered by the principal accountant for tax compliance, tax advice, and tax planning.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our audit committee or the engagement to render services is entered into pursuant to pre-approval policies and procedures established by the audit committee.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140" w:hanging="498"/>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See Index to Financial Statements in Part II, Item 8 of this Annual Report.</w:t>
      </w:r>
    </w:p>
    <w:p>
      <w:pPr>
        <w:spacing w:after="0" w:line="117" w:lineRule="exact"/>
        <w:rPr>
          <w:rFonts w:ascii="Arial" w:cs="Arial" w:eastAsia="Arial" w:hAnsi="Arial"/>
          <w:sz w:val="18"/>
          <w:szCs w:val="18"/>
          <w:color w:val="auto"/>
        </w:rPr>
      </w:pPr>
    </w:p>
    <w:p>
      <w:pPr>
        <w:ind w:left="1140" w:hanging="498"/>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160" w:right="580"/>
        <w:spacing w:after="0" w:line="26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7"/>
          <w:szCs w:val="17"/>
          <w:color w:val="auto"/>
        </w:rPr>
        <w:t>The exhibits listed in the following Index to Exhibits are filed, furnished or incorporated by reference as part of this Annual Report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80" w:type="dxa"/>
            <w:vAlign w:val="bottom"/>
            <w:gridSpan w:val="20"/>
          </w:tcPr>
          <w:p>
            <w:pPr>
              <w:ind w:left="820"/>
              <w:spacing w:after="0"/>
              <w:rPr>
                <w:sz w:val="20"/>
                <w:szCs w:val="20"/>
                <w:color w:val="auto"/>
              </w:rPr>
            </w:pPr>
            <w:r>
              <w:rPr>
                <w:rFonts w:ascii="Arial" w:cs="Arial" w:eastAsia="Arial" w:hAnsi="Arial"/>
                <w:sz w:val="18"/>
                <w:szCs w:val="18"/>
                <w:b w:val="1"/>
                <w:bCs w:val="1"/>
                <w:color w:val="auto"/>
              </w:rPr>
              <w:t>EXHIBITS</w:t>
            </w:r>
          </w:p>
        </w:tc>
      </w:tr>
      <w:tr>
        <w:trPr>
          <w:trHeight w:val="342"/>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100" w:type="dxa"/>
            <w:vAlign w:val="bottom"/>
            <w:gridSpan w:val="24"/>
          </w:tcPr>
          <w:p>
            <w:pPr>
              <w:spacing w:after="0"/>
              <w:rPr>
                <w:sz w:val="20"/>
                <w:szCs w:val="20"/>
                <w:color w:val="auto"/>
              </w:rPr>
            </w:pPr>
            <w:r>
              <w:rPr>
                <w:rFonts w:ascii="Arial" w:cs="Arial" w:eastAsia="Arial" w:hAnsi="Arial"/>
                <w:sz w:val="14"/>
                <w:szCs w:val="14"/>
                <w:b w:val="1"/>
                <w:bCs w:val="1"/>
                <w:color w:val="auto"/>
              </w:rPr>
              <w:t>Exhibit</w:t>
            </w:r>
          </w:p>
        </w:tc>
      </w:tr>
      <w:tr>
        <w:trPr>
          <w:trHeight w:val="171"/>
        </w:trPr>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10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02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0100" w:type="dxa"/>
            <w:vAlign w:val="bottom"/>
            <w:tcBorders>
              <w:top w:val="single" w:sz="8" w:color="auto"/>
            </w:tcBorders>
            <w:gridSpan w:val="24"/>
          </w:tcPr>
          <w:p>
            <w:pPr>
              <w:spacing w:after="0"/>
              <w:rPr>
                <w:rFonts w:ascii="Arial" w:cs="Arial" w:eastAsia="Arial" w:hAnsi="Arial"/>
                <w:sz w:val="18"/>
                <w:szCs w:val="18"/>
                <w:color w:val="0000EE"/>
                <w:w w:val="97"/>
              </w:rPr>
            </w:pPr>
            <w:hyperlink r:id="rId89">
              <w:r>
                <w:rPr>
                  <w:rFonts w:ascii="Arial" w:cs="Arial" w:eastAsia="Arial" w:hAnsi="Arial"/>
                  <w:sz w:val="18"/>
                  <w:szCs w:val="18"/>
                  <w:color w:val="0000EE"/>
                  <w:w w:val="97"/>
                </w:rPr>
                <w:t>Scheme Implementation Agreement (incorporated by reference to Exhibit 99.2 of Form 6-K of Avita Medical Limited dated April 20,</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9">
              <w:r>
                <w:rPr>
                  <w:rFonts w:ascii="Arial" w:cs="Arial" w:eastAsia="Arial" w:hAnsi="Arial"/>
                  <w:sz w:val="18"/>
                  <w:szCs w:val="18"/>
                  <w:color w:val="0000EE"/>
                  <w:w w:val="86"/>
                </w:rPr>
                <w:t>2020)</w:t>
              </w:r>
            </w:hyperlink>
          </w:p>
        </w:tc>
        <w:tc>
          <w:tcPr>
            <w:tcW w:w="1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rPr>
            </w:pPr>
            <w:hyperlink r:id="rId90">
              <w:r>
                <w:rPr>
                  <w:rFonts w:ascii="Arial" w:cs="Arial" w:eastAsia="Arial" w:hAnsi="Arial"/>
                  <w:sz w:val="18"/>
                  <w:szCs w:val="18"/>
                  <w:color w:val="0000EE"/>
                </w:rPr>
                <w:t>Certificate of Incorporation (incorporated by reference to Exhibit 3.1 to the registrant’s Form 8-K12B filed on June 30, 2020)</w:t>
              </w:r>
            </w:hyperlink>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Certificate of Amendment of Certificate of Incorporation**</w:t>
              </w:r>
            </w:hyperlink>
          </w:p>
        </w:tc>
        <w:tc>
          <w:tcPr>
            <w:tcW w:w="4720" w:type="dxa"/>
            <w:vAlign w:val="bottom"/>
            <w:tcBorders>
              <w:top w:val="single" w:sz="8" w:color="0000EE"/>
            </w:tcBorders>
            <w:gridSpan w:val="6"/>
          </w:tcPr>
          <w:p>
            <w:pPr>
              <w:spacing w:after="0"/>
              <w:rPr>
                <w:sz w:val="24"/>
                <w:szCs w:val="24"/>
                <w:color w:val="auto"/>
              </w:rPr>
            </w:pPr>
          </w:p>
        </w:tc>
        <w:tc>
          <w:tcPr>
            <w:tcW w:w="1080" w:type="dxa"/>
            <w:vAlign w:val="bottom"/>
            <w:gridSpan w:val="12"/>
          </w:tcPr>
          <w:p>
            <w:pPr>
              <w:spacing w:after="0"/>
              <w:rPr>
                <w:sz w:val="24"/>
                <w:szCs w:val="24"/>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260" w:type="dxa"/>
            <w:vAlign w:val="bottom"/>
            <w:tcBorders>
              <w:bottom w:val="single" w:sz="8" w:color="0000EE"/>
            </w:tcBorders>
            <w:gridSpan w:val="3"/>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Amended and Restated Bylaws</w:t>
              </w:r>
            </w:hyperlink>
          </w:p>
        </w:tc>
        <w:tc>
          <w:tcPr>
            <w:tcW w:w="7840" w:type="dxa"/>
            <w:vAlign w:val="bottom"/>
            <w:gridSpan w:val="21"/>
          </w:tcPr>
          <w:p>
            <w:pPr>
              <w:spacing w:after="0"/>
              <w:rPr>
                <w:sz w:val="24"/>
                <w:szCs w:val="24"/>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8080" w:type="dxa"/>
            <w:vAlign w:val="bottom"/>
            <w:tcBorders>
              <w:bottom w:val="single" w:sz="8" w:color="0000EE"/>
            </w:tcBorders>
            <w:gridSpan w:val="11"/>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Description of Capital Stock (incorporated by reference to the registrant’s Form 8-K12B filed on June 30, 2020)</w:t>
              </w:r>
            </w:hyperlink>
          </w:p>
        </w:tc>
        <w:tc>
          <w:tcPr>
            <w:tcW w:w="2020" w:type="dxa"/>
            <w:vAlign w:val="bottom"/>
            <w:gridSpan w:val="13"/>
          </w:tcPr>
          <w:p>
            <w:pPr>
              <w:spacing w:after="0"/>
              <w:rPr>
                <w:sz w:val="24"/>
                <w:szCs w:val="24"/>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Employee Incentive Option Plan (incorporated by reference to Exhibit 4.1 of the Form 20-F of Avita Medical Limited filed September 27,</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2019)</w:t>
              </w:r>
              <w:r>
                <w:rPr>
                  <w:rFonts w:ascii="Arial" w:cs="Arial" w:eastAsia="Arial" w:hAnsi="Arial"/>
                  <w:sz w:val="18"/>
                  <w:szCs w:val="18"/>
                  <w:u w:val="single" w:color="auto"/>
                  <w:color w:val="0000EE"/>
                  <w:w w:val="89"/>
                </w:rPr>
                <w:t>†</w:t>
              </w:r>
            </w:hyperlink>
          </w:p>
        </w:tc>
        <w:tc>
          <w:tcPr>
            <w:tcW w:w="9580" w:type="dxa"/>
            <w:vAlign w:val="bottom"/>
            <w:gridSpan w:val="22"/>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5"/>
              </w:rPr>
            </w:pPr>
            <w:hyperlink r:id="rId94">
              <w:r>
                <w:rPr>
                  <w:rFonts w:ascii="Arial" w:cs="Arial" w:eastAsia="Arial" w:hAnsi="Arial"/>
                  <w:sz w:val="18"/>
                  <w:szCs w:val="18"/>
                  <w:color w:val="0000EE"/>
                  <w:w w:val="95"/>
                </w:rPr>
                <w:t>Employee Share Plan (incorporated by reference to Exhibit 4.2 of the Form 20-F of Avita Medical Limited filed September 27, 2019)†</w:t>
              </w:r>
            </w:hyperlink>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3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Award Contract dated September 29, 2015 by and between the registrant and the U.S. Department of Health and Human Services</w:t>
              </w:r>
            </w:hyperlink>
          </w:p>
        </w:tc>
        <w:tc>
          <w:tcPr>
            <w:tcW w:w="340" w:type="dxa"/>
            <w:vAlign w:val="bottom"/>
            <w:tcBorders>
              <w:top w:val="single" w:sz="8" w:color="0000EE"/>
            </w:tcBorders>
            <w:gridSpan w:val="3"/>
          </w:tcPr>
          <w:p>
            <w:pPr>
              <w:spacing w:after="0"/>
              <w:rPr>
                <w:sz w:val="24"/>
                <w:szCs w:val="24"/>
                <w:color w:val="auto"/>
              </w:rPr>
            </w:pPr>
          </w:p>
        </w:tc>
        <w:tc>
          <w:tcPr>
            <w:tcW w:w="40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Biomedical Advanced Research and Development Authority (BARDA) (incorporated by reference to Exhibit 4.3 of the Form 20-F of Avita</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Medical Limited filed September 27, 2019)*</w:t>
              </w:r>
            </w:hyperlink>
          </w:p>
        </w:tc>
        <w:tc>
          <w:tcPr>
            <w:tcW w:w="6880" w:type="dxa"/>
            <w:vAlign w:val="bottom"/>
            <w:gridSpan w:val="20"/>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Award Contract dated September 29, 2015 by and between the registrant and BARDA (incorporated by reference to Exhibit 4.4 of the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20-F of Avita Medical Limited filed September 27, 2019) *</w:t>
              </w:r>
            </w:hyperlink>
          </w:p>
        </w:tc>
        <w:tc>
          <w:tcPr>
            <w:tcW w:w="58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5"/>
              </w:rPr>
            </w:pPr>
            <w:hyperlink r:id="rId97">
              <w:r>
                <w:rPr>
                  <w:rFonts w:ascii="Arial" w:cs="Arial" w:eastAsia="Arial" w:hAnsi="Arial"/>
                  <w:sz w:val="18"/>
                  <w:szCs w:val="18"/>
                  <w:color w:val="0000EE"/>
                  <w:w w:val="95"/>
                </w:rPr>
                <w:t>Amendment of Solicitation/Modification of Contract dated June 24, 2016 by and between the registrant and BARDA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reference to Exhibit 4.5 of the Form 20-F of Avita Medical Limited filed September 27, 2019) *</w:t>
              </w:r>
            </w:hyperlink>
          </w:p>
        </w:tc>
        <w:tc>
          <w:tcPr>
            <w:tcW w:w="2800" w:type="dxa"/>
            <w:vAlign w:val="bottom"/>
            <w:tcBorders>
              <w:top w:val="single" w:sz="8" w:color="0000EE"/>
            </w:tcBorders>
            <w:gridSpan w:val="8"/>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Amendment of Solicitation/Modification of Contract dated September 28, 2017 by and between the registrant and BARDA (incorporated</w:t>
              </w:r>
            </w:hyperlink>
          </w:p>
        </w:tc>
        <w:tc>
          <w:tcPr>
            <w:tcW w:w="1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by reference to Exhibit 4.6 of the Form 20-F of Avita Medical Limited filed September 27, 2019) *</w:t>
              </w:r>
            </w:hyperlink>
          </w:p>
        </w:tc>
        <w:tc>
          <w:tcPr>
            <w:tcW w:w="2960" w:type="dxa"/>
            <w:vAlign w:val="bottom"/>
            <w:gridSpan w:val="14"/>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7"/>
              </w:rPr>
            </w:pPr>
            <w:hyperlink r:id="rId99">
              <w:r>
                <w:rPr>
                  <w:rFonts w:ascii="Arial" w:cs="Arial" w:eastAsia="Arial" w:hAnsi="Arial"/>
                  <w:sz w:val="18"/>
                  <w:szCs w:val="18"/>
                  <w:color w:val="0000EE"/>
                  <w:w w:val="97"/>
                </w:rPr>
                <w:t>Amendment of Solicitation/Modification of Contract dated July 2, 2018 by and between the registrant and BARDA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reference to Exhibit 4.7 of the Form 20-F of Avita Medical Limited filed September 27, 2019) *</w:t>
              </w:r>
            </w:hyperlink>
          </w:p>
        </w:tc>
        <w:tc>
          <w:tcPr>
            <w:tcW w:w="2680" w:type="dxa"/>
            <w:vAlign w:val="bottom"/>
            <w:tcBorders>
              <w:top w:val="single" w:sz="8" w:color="0000EE"/>
            </w:tcBorders>
            <w:gridSpan w:val="5"/>
          </w:tcPr>
          <w:p>
            <w:pPr>
              <w:spacing w:after="0"/>
              <w:rPr>
                <w:sz w:val="17"/>
                <w:szCs w:val="17"/>
                <w:color w:val="auto"/>
              </w:rPr>
            </w:pPr>
          </w:p>
        </w:tc>
        <w:tc>
          <w:tcPr>
            <w:tcW w:w="500" w:type="dxa"/>
            <w:vAlign w:val="bottom"/>
            <w:gridSpan w:val="10"/>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Lease Agreement between the registrant and Hartco Ventura Inc. dated January 25, 2018 (incorporated by reference to Exhibit 4.8 of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Form 20-F of Avita Medical Limited filed September 27, 2019)</w:t>
              </w:r>
            </w:hyperlink>
          </w:p>
        </w:tc>
        <w:tc>
          <w:tcPr>
            <w:tcW w:w="5280" w:type="dxa"/>
            <w:vAlign w:val="bottom"/>
            <w:tcBorders>
              <w:top w:val="single" w:sz="8" w:color="0000EE"/>
            </w:tcBorders>
            <w:gridSpan w:val="11"/>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00" w:type="dxa"/>
            <w:vAlign w:val="bottom"/>
            <w:tcBorders>
              <w:bottom w:val="single" w:sz="8" w:color="0000EE"/>
            </w:tcBorders>
            <w:gridSpan w:val="21"/>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Lease Agreement between the registrant and RIF-Avenue Stanford LLC, dated October 3, 2016, as amended (incorporated by reference to</w:t>
              </w:r>
            </w:hyperlink>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Exhibit 4.9 of the Form 20-F of Avita Medical Limited filed September 27, 2019)</w:t>
              </w:r>
            </w:hyperlink>
          </w:p>
        </w:tc>
      </w:tr>
      <w:tr>
        <w:trPr>
          <w:trHeight w:val="45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Borders>
              <w:top w:val="single" w:sz="8" w:color="0000EE"/>
            </w:tcBorders>
            <w:gridSpan w:val="7"/>
          </w:tcPr>
          <w:p>
            <w:pPr>
              <w:ind w:left="4400"/>
              <w:spacing w:after="0"/>
              <w:rPr>
                <w:sz w:val="20"/>
                <w:szCs w:val="20"/>
                <w:color w:val="auto"/>
              </w:rPr>
            </w:pPr>
            <w:r>
              <w:rPr>
                <w:rFonts w:ascii="Arial" w:cs="Arial" w:eastAsia="Arial" w:hAnsi="Arial"/>
                <w:sz w:val="18"/>
                <w:szCs w:val="18"/>
                <w:color w:val="auto"/>
                <w:w w:val="79"/>
              </w:rPr>
              <w:t>63</w:t>
            </w:r>
          </w:p>
        </w:tc>
        <w:tc>
          <w:tcPr>
            <w:tcW w:w="130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18"/>
          </w:tcPr>
          <w:p>
            <w:pPr>
              <w:spacing w:after="0"/>
              <w:rPr>
                <w:sz w:val="20"/>
                <w:szCs w:val="20"/>
                <w:color w:val="auto"/>
              </w:rPr>
            </w:pPr>
            <w:r>
              <w:rPr>
                <w:rFonts w:ascii="Arial" w:cs="Arial" w:eastAsia="Arial" w:hAnsi="Arial"/>
                <w:sz w:val="14"/>
                <w:szCs w:val="14"/>
                <w:b w:val="1"/>
                <w:bCs w:val="1"/>
                <w:color w:val="auto"/>
              </w:rPr>
              <w:t>Exhibit</w:t>
            </w: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10100" w:type="dxa"/>
            <w:vAlign w:val="bottom"/>
            <w:gridSpan w:val="18"/>
          </w:tcPr>
          <w:p>
            <w:pPr>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10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440" w:type="dxa"/>
            <w:vAlign w:val="bottom"/>
            <w:tcBorders>
              <w:top w:val="single" w:sz="8" w:color="auto"/>
              <w:bottom w:val="single" w:sz="8" w:color="0000EE"/>
            </w:tcBorders>
            <w:gridSpan w:val="17"/>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Third Amendment to the Lease Agreement between the registrant and RIF III-Avenue Stanford LLC, dated November 17, 2020, as</w:t>
              </w:r>
            </w:hyperlink>
          </w:p>
        </w:tc>
        <w:tc>
          <w:tcPr>
            <w:tcW w:w="660" w:type="dxa"/>
            <w:vAlign w:val="bottom"/>
            <w:tcBorders>
              <w:top w:val="single" w:sz="8" w:color="auto"/>
            </w:tcBorders>
          </w:tcPr>
          <w:p>
            <w:pPr>
              <w:spacing w:after="0"/>
              <w:rPr>
                <w:sz w:val="22"/>
                <w:szCs w:val="22"/>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amended) **</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Executive Employment Agreement between the registrant and Dr. Michael Perry, dated November 12, 2019.**</w:t>
              </w:r>
            </w:hyperlink>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7980" w:type="dxa"/>
            <w:vAlign w:val="bottom"/>
            <w:tcBorders>
              <w:top w:val="single" w:sz="8" w:color="0000EE"/>
            </w:tcBorders>
            <w:gridSpan w:val="11"/>
          </w:tcPr>
          <w:p>
            <w:pPr>
              <w:spacing w:after="0" w:line="196" w:lineRule="exact"/>
              <w:rPr>
                <w:rFonts w:ascii="Arial" w:cs="Arial" w:eastAsia="Arial" w:hAnsi="Arial"/>
                <w:sz w:val="18"/>
                <w:szCs w:val="18"/>
                <w:color w:val="0000EE"/>
                <w:w w:val="96"/>
              </w:rPr>
            </w:pPr>
            <w:hyperlink w:anchor="page125">
              <w:r>
                <w:rPr>
                  <w:rFonts w:ascii="Arial" w:cs="Arial" w:eastAsia="Arial" w:hAnsi="Arial"/>
                  <w:sz w:val="18"/>
                  <w:szCs w:val="18"/>
                  <w:color w:val="0000EE"/>
                  <w:w w:val="96"/>
                </w:rPr>
                <w:t>RSUs – Confirmatory Deed between the registrant and Dr. Michael Perry, dated November 12, 2019. **</w:t>
              </w:r>
            </w:hyperlink>
          </w:p>
        </w:tc>
        <w:tc>
          <w:tcPr>
            <w:tcW w:w="2120" w:type="dxa"/>
            <w:vAlign w:val="bottom"/>
            <w:gridSpan w:val="7"/>
          </w:tcPr>
          <w:p>
            <w:pPr>
              <w:spacing w:after="0"/>
              <w:rPr>
                <w:sz w:val="17"/>
                <w:szCs w:val="17"/>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7500" w:type="dxa"/>
            <w:vAlign w:val="bottom"/>
            <w:tcBorders>
              <w:top w:val="single" w:sz="8" w:color="0000EE"/>
            </w:tcBorders>
            <w:gridSpan w:val="10"/>
          </w:tcPr>
          <w:p>
            <w:pPr>
              <w:spacing w:after="0" w:line="196" w:lineRule="exact"/>
              <w:rPr>
                <w:rFonts w:ascii="Arial" w:cs="Arial" w:eastAsia="Arial" w:hAnsi="Arial"/>
                <w:sz w:val="18"/>
                <w:szCs w:val="18"/>
                <w:color w:val="0000EE"/>
                <w:w w:val="91"/>
              </w:rPr>
            </w:pPr>
            <w:hyperlink w:anchor="page141">
              <w:r>
                <w:rPr>
                  <w:rFonts w:ascii="Arial" w:cs="Arial" w:eastAsia="Arial" w:hAnsi="Arial"/>
                  <w:sz w:val="18"/>
                  <w:szCs w:val="18"/>
                  <w:color w:val="0000EE"/>
                  <w:w w:val="91"/>
                </w:rPr>
                <w:t>Option Confirmatory Deed between the registrant and Dr. Michael Perry, dated November 12, 2019. **</w:t>
              </w:r>
            </w:hyperlink>
          </w:p>
        </w:tc>
        <w:tc>
          <w:tcPr>
            <w:tcW w:w="260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Executive Employment Agreement between the registrant and Michael Holder, dated effective March 22, 2021. **</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Executive Employment Agreement between the registrant and Kathy McGee, dated effective December 1, 2020. **</w:t>
              </w:r>
            </w:hyperlink>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7"/>
                <w:szCs w:val="17"/>
                <w:color w:val="auto"/>
              </w:rPr>
            </w:pPr>
          </w:p>
        </w:tc>
        <w:tc>
          <w:tcPr>
            <w:tcW w:w="832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w:anchor="page178">
              <w:r>
                <w:rPr>
                  <w:rFonts w:ascii="Arial" w:cs="Arial" w:eastAsia="Arial" w:hAnsi="Arial"/>
                  <w:sz w:val="18"/>
                  <w:szCs w:val="18"/>
                  <w:color w:val="0000EE"/>
                  <w:w w:val="94"/>
                </w:rPr>
                <w:t>Executive Employment Agreement between the registrant and Erin Liberto, dated effective August 28, 2017. **</w:t>
              </w:r>
            </w:hyperlink>
          </w:p>
        </w:tc>
        <w:tc>
          <w:tcPr>
            <w:tcW w:w="1780" w:type="dxa"/>
            <w:vAlign w:val="bottom"/>
            <w:gridSpan w:val="2"/>
          </w:tcPr>
          <w:p>
            <w:pPr>
              <w:spacing w:after="0"/>
              <w:rPr>
                <w:sz w:val="17"/>
                <w:szCs w:val="17"/>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7"/>
                <w:szCs w:val="17"/>
                <w:color w:val="auto"/>
              </w:rPr>
            </w:pPr>
          </w:p>
        </w:tc>
        <w:tc>
          <w:tcPr>
            <w:tcW w:w="8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189">
              <w:r>
                <w:rPr>
                  <w:rFonts w:ascii="Arial" w:cs="Arial" w:eastAsia="Arial" w:hAnsi="Arial"/>
                  <w:sz w:val="18"/>
                  <w:szCs w:val="18"/>
                  <w:color w:val="0000EE"/>
                  <w:w w:val="92"/>
                </w:rPr>
                <w:t>Executive Employment Agreement between the registrant and Andrew Quick, dated effective April 1, 2019. **</w:t>
              </w:r>
            </w:hyperlink>
          </w:p>
        </w:tc>
        <w:tc>
          <w:tcPr>
            <w:tcW w:w="40" w:type="dxa"/>
            <w:vAlign w:val="bottom"/>
            <w:tcBorders>
              <w:top w:val="single" w:sz="8" w:color="0000EE"/>
            </w:tcBorders>
          </w:tcPr>
          <w:p>
            <w:pPr>
              <w:spacing w:after="0"/>
              <w:rPr>
                <w:sz w:val="17"/>
                <w:szCs w:val="17"/>
                <w:color w:val="auto"/>
              </w:rPr>
            </w:pPr>
          </w:p>
        </w:tc>
        <w:tc>
          <w:tcPr>
            <w:tcW w:w="2040" w:type="dxa"/>
            <w:vAlign w:val="bottom"/>
            <w:gridSpan w:val="5"/>
          </w:tcPr>
          <w:p>
            <w:pPr>
              <w:spacing w:after="0"/>
              <w:rPr>
                <w:sz w:val="17"/>
                <w:szCs w:val="17"/>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Executive Employment Agreement between the registrant and Donna Shiroma, dated effective June 25, 2018.**</w:t>
              </w:r>
            </w:hyperlink>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11">
              <w:r>
                <w:rPr>
                  <w:rFonts w:ascii="Arial" w:cs="Arial" w:eastAsia="Arial" w:hAnsi="Arial"/>
                  <w:sz w:val="18"/>
                  <w:szCs w:val="18"/>
                  <w:color w:val="0000EE"/>
                  <w:w w:val="94"/>
                </w:rPr>
                <w:t>Code of Ethics **</w:t>
              </w:r>
            </w:hyperlink>
          </w:p>
        </w:tc>
        <w:tc>
          <w:tcPr>
            <w:tcW w:w="6780" w:type="dxa"/>
            <w:vAlign w:val="bottom"/>
            <w:tcBorders>
              <w:top w:val="single" w:sz="8" w:color="0000EE"/>
            </w:tcBorders>
            <w:gridSpan w:val="12"/>
          </w:tcPr>
          <w:p>
            <w:pPr>
              <w:spacing w:after="0"/>
              <w:rPr>
                <w:sz w:val="24"/>
                <w:szCs w:val="24"/>
                <w:color w:val="auto"/>
              </w:rPr>
            </w:pPr>
          </w:p>
        </w:tc>
        <w:tc>
          <w:tcPr>
            <w:tcW w:w="2020" w:type="dxa"/>
            <w:vAlign w:val="bottom"/>
            <w:gridSpan w:val="4"/>
          </w:tcPr>
          <w:p>
            <w:pPr>
              <w:spacing w:after="0"/>
              <w:rPr>
                <w:sz w:val="24"/>
                <w:szCs w:val="24"/>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3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12">
              <w:r>
                <w:rPr>
                  <w:rFonts w:ascii="Arial" w:cs="Arial" w:eastAsia="Arial" w:hAnsi="Arial"/>
                  <w:sz w:val="18"/>
                  <w:szCs w:val="18"/>
                  <w:color w:val="0000EE"/>
                  <w:w w:val="92"/>
                </w:rPr>
                <w:t>Subsidiaries of the Registrant **</w:t>
              </w:r>
            </w:hyperlink>
          </w:p>
        </w:tc>
        <w:tc>
          <w:tcPr>
            <w:tcW w:w="7740" w:type="dxa"/>
            <w:vAlign w:val="bottom"/>
            <w:gridSpan w:val="15"/>
          </w:tcPr>
          <w:p>
            <w:pPr>
              <w:spacing w:after="0"/>
              <w:rPr>
                <w:sz w:val="24"/>
                <w:szCs w:val="24"/>
                <w:color w:val="auto"/>
              </w:rPr>
            </w:pPr>
          </w:p>
        </w:tc>
      </w:tr>
      <w:tr>
        <w:trPr>
          <w:trHeight w:val="412"/>
        </w:trPr>
        <w:tc>
          <w:tcPr>
            <w:tcW w:w="1020" w:type="dxa"/>
            <w:vAlign w:val="bottom"/>
          </w:tcPr>
          <w:p>
            <w:pPr>
              <w:ind w:lef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Consent of Independent Registered Public Accounting Firm</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gridSpan w:val="10"/>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1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14">
              <w:r>
                <w:rPr>
                  <w:rFonts w:ascii="Arial" w:cs="Arial" w:eastAsia="Arial" w:hAnsi="Arial"/>
                  <w:sz w:val="18"/>
                  <w:szCs w:val="18"/>
                  <w:color w:val="0000EE"/>
                  <w:w w:val="92"/>
                </w:rPr>
                <w:t>Certification of CEO pursuant to Section 302 of The Sarbanes-Oxley Act of 2002 **</w:t>
              </w:r>
            </w:hyperlink>
          </w:p>
        </w:tc>
        <w:tc>
          <w:tcPr>
            <w:tcW w:w="3980" w:type="dxa"/>
            <w:vAlign w:val="bottom"/>
            <w:gridSpan w:val="11"/>
          </w:tcPr>
          <w:p>
            <w:pPr>
              <w:spacing w:after="0"/>
              <w:rPr>
                <w:sz w:val="24"/>
                <w:szCs w:val="24"/>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1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15">
              <w:r>
                <w:rPr>
                  <w:rFonts w:ascii="Arial" w:cs="Arial" w:eastAsia="Arial" w:hAnsi="Arial"/>
                  <w:sz w:val="18"/>
                  <w:szCs w:val="18"/>
                  <w:color w:val="0000EE"/>
                  <w:w w:val="92"/>
                </w:rPr>
                <w:t>Certification of CFO pursuant to Section 302 of The Sarbanes-Oxley Act of 2002 **</w:t>
              </w:r>
            </w:hyperlink>
          </w:p>
        </w:tc>
        <w:tc>
          <w:tcPr>
            <w:tcW w:w="4000" w:type="dxa"/>
            <w:vAlign w:val="bottom"/>
            <w:gridSpan w:val="12"/>
          </w:tcPr>
          <w:p>
            <w:pPr>
              <w:spacing w:after="0"/>
              <w:rPr>
                <w:sz w:val="24"/>
                <w:szCs w:val="24"/>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7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16">
              <w:r>
                <w:rPr>
                  <w:rFonts w:ascii="Arial" w:cs="Arial" w:eastAsia="Arial" w:hAnsi="Arial"/>
                  <w:sz w:val="18"/>
                  <w:szCs w:val="18"/>
                  <w:color w:val="0000EE"/>
                  <w:w w:val="92"/>
                </w:rPr>
                <w:t>Certification of CEO and CFO pursuant to Section 906 of The Sarbanes-Oxley Act of 2002**</w:t>
              </w:r>
            </w:hyperlink>
          </w:p>
        </w:tc>
        <w:tc>
          <w:tcPr>
            <w:tcW w:w="3340" w:type="dxa"/>
            <w:vAlign w:val="bottom"/>
            <w:gridSpan w:val="10"/>
          </w:tcPr>
          <w:p>
            <w:pPr>
              <w:spacing w:after="0"/>
              <w:rPr>
                <w:sz w:val="24"/>
                <w:szCs w:val="24"/>
                <w:color w:val="auto"/>
              </w:rPr>
            </w:pPr>
          </w:p>
        </w:tc>
      </w:tr>
      <w:tr>
        <w:trPr>
          <w:trHeight w:val="345"/>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1010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1010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1010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1010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1010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1010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left="1140" w:hanging="1002"/>
        <w:spacing w:after="0"/>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3" w:lineRule="exact"/>
        <w:rPr>
          <w:sz w:val="20"/>
          <w:szCs w:val="20"/>
          <w:color w:val="auto"/>
        </w:rPr>
      </w:pPr>
    </w:p>
    <w:p>
      <w:pPr>
        <w:ind w:left="500" w:right="380" w:hanging="492"/>
        <w:spacing w:after="0" w:line="250"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identified confidential information has been redacted from this exhibit because it is both (i) not material and (ii) would be competitively harmful if publicly disclosed.</w:t>
      </w:r>
    </w:p>
    <w:p>
      <w:pPr>
        <w:spacing w:after="0" w:line="1"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AVITA Medical, Inc.</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August 26, 2021</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Perry</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Dr. Michael Perry</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August 26, 2021</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Michael Holder</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20"/>
                <w:szCs w:val="20"/>
                <w:color w:val="auto"/>
              </w:rPr>
            </w:pPr>
          </w:p>
        </w:tc>
        <w:tc>
          <w:tcPr>
            <w:tcW w:w="4460" w:type="dxa"/>
            <w:vAlign w:val="bottom"/>
            <w:gridSpan w:val="2"/>
          </w:tcPr>
          <w:p>
            <w:pPr>
              <w:ind w:left="2040"/>
              <w:spacing w:after="0"/>
              <w:rPr>
                <w:sz w:val="20"/>
                <w:szCs w:val="20"/>
                <w:color w:val="auto"/>
              </w:rPr>
            </w:pPr>
            <w:r>
              <w:rPr>
                <w:rFonts w:ascii="Arial" w:cs="Arial" w:eastAsia="Arial" w:hAnsi="Arial"/>
                <w:sz w:val="18"/>
                <w:szCs w:val="18"/>
                <w:b w:val="1"/>
                <w:bCs w:val="1"/>
                <w:color w:val="auto"/>
              </w:rPr>
              <w:t>Title</w:t>
            </w:r>
          </w:p>
        </w:tc>
        <w:tc>
          <w:tcPr>
            <w:tcW w:w="3020" w:type="dxa"/>
            <w:vAlign w:val="bottom"/>
          </w:tcPr>
          <w:p>
            <w:pPr>
              <w:ind w:left="1380"/>
              <w:spacing w:after="0"/>
              <w:rPr>
                <w:sz w:val="20"/>
                <w:szCs w:val="20"/>
                <w:color w:val="auto"/>
              </w:rPr>
            </w:pPr>
            <w:r>
              <w:rPr>
                <w:rFonts w:ascii="Arial" w:cs="Arial" w:eastAsia="Arial" w:hAnsi="Arial"/>
                <w:sz w:val="18"/>
                <w:szCs w:val="18"/>
                <w:b w:val="1"/>
                <w:bCs w:val="1"/>
                <w:color w:val="auto"/>
              </w:rPr>
              <w:t>Date</w:t>
            </w:r>
          </w:p>
        </w:tc>
      </w:tr>
      <w:tr>
        <w:trPr>
          <w:trHeight w:val="210"/>
        </w:trPr>
        <w:tc>
          <w:tcPr>
            <w:tcW w:w="3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/s/ Dr. Michael Perry</w:t>
            </w:r>
          </w:p>
        </w:tc>
        <w:tc>
          <w:tcPr>
            <w:tcW w:w="120" w:type="dxa"/>
            <w:vAlign w:val="bottom"/>
          </w:tcPr>
          <w:p>
            <w:pPr>
              <w:spacing w:after="0"/>
              <w:rPr>
                <w:sz w:val="18"/>
                <w:szCs w:val="18"/>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20" w:type="dxa"/>
            <w:vAlign w:val="bottom"/>
          </w:tcPr>
          <w:p>
            <w:pPr>
              <w:spacing w:after="0"/>
              <w:rPr>
                <w:sz w:val="18"/>
                <w:szCs w:val="18"/>
                <w:color w:val="auto"/>
              </w:rPr>
            </w:pPr>
          </w:p>
        </w:tc>
        <w:tc>
          <w:tcPr>
            <w:tcW w:w="30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3"/>
              </w:rPr>
              <w:t>Dr. Michael Perry</w:t>
            </w:r>
          </w:p>
        </w:tc>
        <w:tc>
          <w:tcPr>
            <w:tcW w:w="120" w:type="dxa"/>
            <w:vAlign w:val="bottom"/>
          </w:tcPr>
          <w:p>
            <w:pPr>
              <w:spacing w:after="0"/>
              <w:rPr>
                <w:sz w:val="19"/>
                <w:szCs w:val="19"/>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Holder</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020" w:type="dxa"/>
            <w:vAlign w:val="bottom"/>
          </w:tcPr>
          <w:p>
            <w:pPr>
              <w:ind w:left="92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Michael Holder</w:t>
            </w:r>
          </w:p>
        </w:tc>
        <w:tc>
          <w:tcPr>
            <w:tcW w:w="120" w:type="dxa"/>
            <w:vAlign w:val="bottom"/>
          </w:tcPr>
          <w:p>
            <w:pPr>
              <w:spacing w:after="0"/>
              <w:rPr>
                <w:sz w:val="19"/>
                <w:szCs w:val="19"/>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 Panaccio</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92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Lou Panaccio</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Jeremy Curnock Cook</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92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Jeremy Curnock Cook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Louis Drapeau</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92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Louis Drapeau</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Suzanne Crowe</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92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Suzanne Crowe</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Corbett</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92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7"/>
              </w:rPr>
              <w:t>James Corbett</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Jan Stern Reed</w:t>
            </w:r>
          </w:p>
        </w:tc>
        <w:tc>
          <w:tcPr>
            <w:tcW w:w="120" w:type="dxa"/>
            <w:vAlign w:val="bottom"/>
          </w:tcPr>
          <w:p>
            <w:pPr>
              <w:spacing w:after="0"/>
              <w:rPr>
                <w:sz w:val="24"/>
                <w:szCs w:val="24"/>
                <w:color w:val="auto"/>
              </w:rPr>
            </w:pPr>
          </w:p>
        </w:tc>
        <w:tc>
          <w:tcPr>
            <w:tcW w:w="4460" w:type="dxa"/>
            <w:vAlign w:val="bottom"/>
            <w:gridSpan w:val="2"/>
          </w:tcPr>
          <w:p>
            <w:pPr>
              <w:ind w:left="194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980"/>
              <w:spacing w:after="0"/>
              <w:rPr>
                <w:sz w:val="20"/>
                <w:szCs w:val="20"/>
                <w:color w:val="auto"/>
              </w:rPr>
            </w:pPr>
            <w:r>
              <w:rPr>
                <w:rFonts w:ascii="Arial" w:cs="Arial" w:eastAsia="Arial" w:hAnsi="Arial"/>
                <w:sz w:val="18"/>
                <w:szCs w:val="18"/>
                <w:color w:val="auto"/>
              </w:rPr>
              <w:t>August 26,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6"/>
              </w:rPr>
              <w:t>Jan Stern Reed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right"/>
        <w:ind w:right="20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 as of June 30, 2021 and 2020</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Operations for the Years Ended June 30, 2021, 2020 and 201</w:t>
        </w:r>
      </w:hyperlink>
      <w:r>
        <w:rPr>
          <w:rFonts w:ascii="Arial" w:cs="Arial" w:eastAsia="Arial" w:hAnsi="Arial"/>
          <w:sz w:val="18"/>
          <w:szCs w:val="18"/>
          <w:u w:val="single" w:color="auto"/>
          <w:color w:val="000000"/>
        </w:rPr>
        <w:t>9</w:t>
      </w:r>
    </w:p>
    <w:p>
      <w:pPr>
        <w:spacing w:after="0" w:line="23" w:lineRule="exact"/>
        <w:rPr>
          <w:sz w:val="20"/>
          <w:szCs w:val="20"/>
          <w:color w:val="auto"/>
        </w:rPr>
      </w:pPr>
    </w:p>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Consolidated Statements of Comprehensive Loss for the Years Ended June 30, 2021, 2020 and 2019</w:t>
        </w:r>
      </w:hyperlink>
    </w:p>
    <w:p>
      <w:pPr>
        <w:spacing w:after="0" w:line="34" w:lineRule="exact"/>
        <w:rPr>
          <w:sz w:val="20"/>
          <w:szCs w:val="20"/>
          <w:color w:val="auto"/>
        </w:rPr>
      </w:pPr>
    </w:p>
    <w:p>
      <w:pPr>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Consolidated Statements of Stockholders’ Equity for the Years Ended June 20, 2021, 2020 and 2019</w:t>
        </w:r>
      </w:hyperlink>
    </w:p>
    <w:p>
      <w:pPr>
        <w:spacing w:after="0" w:line="34"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Cash Flows for the Years Ended June 30, 2021, 2020 and 2019</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40"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4114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ectPr>
          <w:pgSz w:w="11900" w:h="16838" w:orient="portrait"/>
          <w:cols w:equalWidth="0" w:num="2">
            <w:col w:w="10040" w:space="720"/>
            <w:col w:w="48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3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Avita Medical, Inc. (a Delaware corporation) and subsidiaries (the “Company”) as of June 30, 2021 and 2020, the related consolidated statements of operations, comprehensive loss, shareholders’ equity, and cash flows for each of the three years in the period ended June 30, 2021, and the related notes (collectively referred to as the “financial statements”). In our opinion, the financial statements present fairly, in all material respects, the financial position of the Company as of June 30, 2021 and 2020, and the results of its operations and its cash flows for each of the three years in the period ended June 30, 2021, in conformity with accounting principles generally accepted in the United States of America.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3"/>
                <w:szCs w:val="13"/>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110,746</w:t>
            </w:r>
          </w:p>
        </w:tc>
        <w:tc>
          <w:tcPr>
            <w:tcW w:w="16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73,639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BARDA receivables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Prepaids and other current assets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121,330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78,387</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Plant and equipment, 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82,462</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Accrued wages and fringe benefits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Contingencies (Note 10)</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Shareholders' Equity: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$0.0001 par value per share, 200,000,000 shares authorized, 24,895,864</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21,467,912 shares issued and outstanding at June 30, 2021 and June 30, 2020,</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Preferred stock, $0.0001 par value per share, 10,000,000 shares authorized, no shares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issued or outstanding at June 30, 2021 and June 30, 2020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259,165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8,146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(221,496)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(194,913)</w:t>
            </w: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6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115,655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shareholders' equity</w:t>
            </w: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125,501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Year Ended June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(2,973)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7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BARDA income</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line="230" w:lineRule="exact"/>
              <w:rPr>
                <w:sz w:val="20"/>
                <w:szCs w:val="20"/>
                <w:color w:val="auto"/>
              </w:rPr>
            </w:pPr>
            <w:r>
              <w:rPr>
                <w:rFonts w:ascii="Arial" w:cs="Arial" w:eastAsia="Arial" w:hAnsi="Arial"/>
                <w:sz w:val="17"/>
                <w:szCs w:val="17"/>
                <w:color w:val="auto"/>
              </w:rPr>
              <w:t xml:space="preserve">Sales and marketing expenses </w:t>
            </w:r>
            <w:r>
              <w:rPr>
                <w:rFonts w:ascii="Arial" w:cs="Arial" w:eastAsia="Arial" w:hAnsi="Arial"/>
                <w:sz w:val="26"/>
                <w:szCs w:val="26"/>
                <w:color w:val="auto"/>
                <w:vertAlign w:val="superscript"/>
              </w:rPr>
              <w:t>(1)</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(15,706)</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line="230"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26"/>
                <w:szCs w:val="26"/>
                <w:color w:val="auto"/>
                <w:vertAlign w:val="superscript"/>
              </w:rPr>
              <w:t>(1)</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(22,400)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(33,025)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(15,099)</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line="230"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6"/>
                <w:szCs w:val="26"/>
                <w:color w:val="auto"/>
                <w:vertAlign w:val="superscript"/>
              </w:rPr>
              <w:t>(1)</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(9,164)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7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Operating loss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38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38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Basic</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22,674,313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20,290,966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16,064,588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22,674,313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20,290,966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16,064,588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20" w:hanging="548"/>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Refer to Note 2 for reclassification of share-based compensation expense.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4"/>
              </w:rPr>
              <w:t>Year ended June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(25,102)</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Foreign currency translation gain/(loss)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20" w:type="dxa"/>
            <w:vAlign w:val="bottom"/>
          </w:tcPr>
          <w:p>
            <w:pPr>
              <w:spacing w:after="0"/>
              <w:rPr>
                <w:sz w:val="13"/>
                <w:szCs w:val="13"/>
                <w:color w:val="auto"/>
              </w:rPr>
            </w:pPr>
          </w:p>
        </w:tc>
        <w:tc>
          <w:tcPr>
            <w:tcW w:w="18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900" w:type="dxa"/>
            <w:vAlign w:val="bottom"/>
          </w:tcPr>
          <w:p>
            <w:pPr>
              <w:jc w:val="right"/>
              <w:ind w:right="209"/>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Gain (Loss)</w:t>
            </w:r>
          </w:p>
        </w:tc>
        <w:tc>
          <w:tcPr>
            <w:tcW w:w="8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6"/>
        </w:trPr>
        <w:tc>
          <w:tcPr>
            <w:tcW w:w="4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2018</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12,773,783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ind w:right="590"/>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133,673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8,083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(127,726)</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14,032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(25,102)</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(25,102)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under direct placement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5,870,613</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32,453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Issuance costs associated with direct placement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68,600</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Translation gain</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18,712,996</w:t>
            </w:r>
          </w:p>
        </w:tc>
        <w:tc>
          <w:tcPr>
            <w:tcW w:w="2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ind w:right="590"/>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165,473</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8,184</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(152,828)</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20,832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9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(42,030)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(42,030)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Issuance of common stock under direct placement</w:t>
            </w:r>
          </w:p>
        </w:tc>
        <w:tc>
          <w:tcPr>
            <w:tcW w:w="900" w:type="dxa"/>
            <w:vAlign w:val="bottom"/>
          </w:tcPr>
          <w:p>
            <w:pPr>
              <w:jc w:val="right"/>
              <w:spacing w:after="0"/>
              <w:rPr>
                <w:sz w:val="20"/>
                <w:szCs w:val="20"/>
                <w:color w:val="auto"/>
              </w:rPr>
            </w:pPr>
            <w:r>
              <w:rPr>
                <w:rFonts w:ascii="Arial" w:cs="Arial" w:eastAsia="Arial" w:hAnsi="Arial"/>
                <w:sz w:val="14"/>
                <w:szCs w:val="14"/>
                <w:color w:val="auto"/>
              </w:rPr>
              <w:t>2,033,898</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81,702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Issuance costs associated with direct placement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(5,077)</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(5,077)</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99,982</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Vesting of RSU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605,183</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to director in lieu of directors fees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15,853</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Beginning balance adjustment related to the adoption of ASC 842</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Translation loss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June 30, 2020</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21,467,912</w:t>
            </w:r>
          </w:p>
        </w:tc>
        <w:tc>
          <w:tcPr>
            <w:tcW w:w="20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590"/>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259,165</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8,146</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(194,913)</w:t>
            </w:r>
          </w:p>
        </w:tc>
        <w:tc>
          <w:tcPr>
            <w:tcW w:w="180" w:type="dxa"/>
            <w:vAlign w:val="bottom"/>
            <w:tcBorders>
              <w:bottom w:val="single" w:sz="8" w:color="CFF0FC"/>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72,401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9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(26,583)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(26,583)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Issuance of common stock under direct placement</w:t>
            </w:r>
          </w:p>
        </w:tc>
        <w:tc>
          <w:tcPr>
            <w:tcW w:w="900" w:type="dxa"/>
            <w:vAlign w:val="bottom"/>
          </w:tcPr>
          <w:p>
            <w:pPr>
              <w:jc w:val="right"/>
              <w:spacing w:after="0"/>
              <w:rPr>
                <w:sz w:val="20"/>
                <w:szCs w:val="20"/>
                <w:color w:val="auto"/>
              </w:rPr>
            </w:pPr>
            <w:r>
              <w:rPr>
                <w:rFonts w:ascii="Arial" w:cs="Arial" w:eastAsia="Arial" w:hAnsi="Arial"/>
                <w:sz w:val="14"/>
                <w:szCs w:val="14"/>
                <w:color w:val="auto"/>
              </w:rPr>
              <w:t>3,214,250</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69,106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Issuance costs associated with direct placement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(5,109)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(5,109)</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14,359</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4"/>
                <w:szCs w:val="14"/>
                <w:color w:val="auto"/>
              </w:rPr>
              <w:t>199,343</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Translation gain</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24,895,864</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ind w:right="590"/>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328,889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8,259</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(221,496)</w:t>
            </w:r>
          </w:p>
        </w:tc>
        <w:tc>
          <w:tcPr>
            <w:tcW w:w="18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115,655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56"/>
        </w:trPr>
        <w:tc>
          <w:tcPr>
            <w:tcW w:w="1280" w:type="dxa"/>
            <w:vAlign w:val="bottom"/>
            <w:tcBorders>
              <w:top w:val="single" w:sz="8" w:color="0000EE"/>
            </w:tcBorders>
          </w:tcPr>
          <w:p>
            <w:pPr>
              <w:spacing w:after="0"/>
              <w:rPr>
                <w:sz w:val="24"/>
                <w:szCs w:val="24"/>
                <w:color w:val="auto"/>
              </w:rPr>
            </w:pPr>
          </w:p>
        </w:tc>
        <w:tc>
          <w:tcPr>
            <w:tcW w:w="5320" w:type="dxa"/>
            <w:vAlign w:val="bottom"/>
          </w:tcPr>
          <w:p>
            <w:pPr>
              <w:jc w:val="center"/>
              <w:ind w:left="3270"/>
              <w:spacing w:after="0"/>
              <w:rPr>
                <w:sz w:val="20"/>
                <w:szCs w:val="20"/>
                <w:color w:val="auto"/>
              </w:rPr>
            </w:pPr>
            <w:r>
              <w:rPr>
                <w:rFonts w:ascii="Arial" w:cs="Arial" w:eastAsia="Arial" w:hAnsi="Arial"/>
                <w:sz w:val="18"/>
                <w:szCs w:val="18"/>
                <w:b w:val="1"/>
                <w:bCs w:val="1"/>
                <w:color w:val="auto"/>
              </w:rPr>
              <w:t>AVITA MEDICAL, Inc.</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84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88"/>
              </w:rPr>
              <w:t>Consolidated Statement of Cash Flows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32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2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0"/>
              </w:rPr>
              <w:t>Year Ended June 30</w:t>
            </w:r>
            <w:r>
              <w:rPr>
                <w:rFonts w:ascii="Arial" w:cs="Arial" w:eastAsia="Arial" w:hAnsi="Arial"/>
                <w:sz w:val="18"/>
                <w:szCs w:val="18"/>
                <w:color w:val="auto"/>
                <w:w w:val="90"/>
              </w:rPr>
              <w: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280" w:type="dxa"/>
            <w:vAlign w:val="bottom"/>
            <w:tcBorders>
              <w:bottom w:val="single" w:sz="8" w:color="CFF0FC"/>
            </w:tcBorders>
          </w:tcPr>
          <w:p>
            <w:pPr>
              <w:spacing w:after="0"/>
              <w:rPr>
                <w:sz w:val="19"/>
                <w:szCs w:val="19"/>
                <w:color w:val="auto"/>
              </w:rPr>
            </w:pPr>
          </w:p>
        </w:tc>
        <w:tc>
          <w:tcPr>
            <w:tcW w:w="5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(26,583)</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(42,030)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(25,102)</w:t>
            </w: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Non-cash lease expense</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fixed asset disposal</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Remeasurement and foreign currency transaction loss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Excess and obsolete inventory related charges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BARDA deferred costs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Contract cost amortization</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Provision for doubtful accounts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 of common stock to directors in lieu of directors fees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R&amp;D tax credit benefit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Trade and other receivables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(1,399)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(729)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BARDA receivables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(3,580)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R&amp;D tax credits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9"/>
                <w:szCs w:val="19"/>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Prepaids and other current assets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w:t>
            </w: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Inventory</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Other long-term assets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Accrued wages and fringe benefits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Contract liabilities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Net cash used in operations</w:t>
            </w: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(22,747)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19"/>
                <w:szCs w:val="19"/>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Cash paid for property and equipment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paid for patent filing fees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r>
      <w:tr>
        <w:trPr>
          <w:trHeight w:val="22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Proceeds from direct placement of common stock</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32,453</w:t>
            </w:r>
          </w:p>
        </w:tc>
        <w:tc>
          <w:tcPr>
            <w:tcW w:w="100" w:type="dxa"/>
            <w:vAlign w:val="bottom"/>
          </w:tcPr>
          <w:p>
            <w:pPr>
              <w:spacing w:after="0"/>
              <w:rPr>
                <w:sz w:val="19"/>
                <w:szCs w:val="19"/>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 cost associated with direct placement</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(5,077)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(2,934)</w:t>
            </w: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Principal repayment of finance lease</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29,709</w:t>
            </w:r>
          </w:p>
        </w:tc>
        <w:tc>
          <w:tcPr>
            <w:tcW w:w="100" w:type="dxa"/>
            <w:vAlign w:val="bottom"/>
          </w:tcPr>
          <w:p>
            <w:pPr>
              <w:spacing w:after="0"/>
              <w:rPr>
                <w:sz w:val="19"/>
                <w:szCs w:val="19"/>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beginning of the period</w:t>
            </w:r>
          </w:p>
        </w:tc>
        <w:tc>
          <w:tcPr>
            <w:tcW w:w="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FF0FC"/>
          </w:tcPr>
          <w:p>
            <w:pPr>
              <w:spacing w:after="0"/>
              <w:rPr>
                <w:sz w:val="19"/>
                <w:szCs w:val="19"/>
                <w:color w:val="auto"/>
              </w:rPr>
            </w:pPr>
          </w:p>
        </w:tc>
      </w:tr>
      <w:tr>
        <w:trPr>
          <w:trHeight w:val="263"/>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Cash and cash equivalents and restricted cash end of the period</w:t>
            </w:r>
          </w:p>
        </w:tc>
        <w:tc>
          <w:tcPr>
            <w:tcW w:w="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110,947</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73,840</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20,374</w:t>
            </w:r>
          </w:p>
        </w:tc>
        <w:tc>
          <w:tcPr>
            <w:tcW w:w="100" w:type="dxa"/>
            <w:vAlign w:val="bottom"/>
            <w:tcBorders>
              <w:bottom w:val="single" w:sz="8" w:color="CFF0FC"/>
            </w:tcBorders>
          </w:tcPr>
          <w:p>
            <w:pPr>
              <w:spacing w:after="0"/>
              <w:rPr>
                <w:sz w:val="22"/>
                <w:szCs w:val="22"/>
                <w:color w:val="auto"/>
              </w:rPr>
            </w:pPr>
          </w:p>
        </w:tc>
      </w:tr>
      <w:tr>
        <w:trPr>
          <w:trHeight w:val="21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5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Plant and equipment purchases not yet paid</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1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These financial statements include the assets, liabilities, revenues and expenses of all wholly-owned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221"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AVITA group of companies (comprising AVITA Medical, Inc. (“</w:t>
      </w:r>
      <w:r>
        <w:rPr>
          <w:rFonts w:ascii="Arial" w:cs="Arial" w:eastAsia="Arial" w:hAnsi="Arial"/>
          <w:sz w:val="16"/>
          <w:szCs w:val="16"/>
          <w:b w:val="1"/>
          <w:bCs w:val="1"/>
          <w:color w:val="auto"/>
        </w:rPr>
        <w:t>AVITA</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including AVITA Medical Pty Limited, previously known as AVITA Medical Limited, (“</w:t>
      </w:r>
      <w:r>
        <w:rPr>
          <w:rFonts w:ascii="Arial" w:cs="Arial" w:eastAsia="Arial" w:hAnsi="Arial"/>
          <w:sz w:val="16"/>
          <w:szCs w:val="16"/>
          <w:b w:val="1"/>
          <w:bCs w:val="1"/>
          <w:color w:val="auto"/>
        </w:rPr>
        <w:t>AVITA Medical</w:t>
      </w:r>
      <w:r>
        <w:rPr>
          <w:rFonts w:ascii="Arial" w:cs="Arial" w:eastAsia="Arial" w:hAnsi="Arial"/>
          <w:sz w:val="16"/>
          <w:szCs w:val="16"/>
          <w:color w:val="auto"/>
        </w:rPr>
        <w:t>”)) (collectively, “</w:t>
      </w:r>
      <w:r>
        <w:rPr>
          <w:rFonts w:ascii="Arial" w:cs="Arial" w:eastAsia="Arial" w:hAnsi="Arial"/>
          <w:sz w:val="16"/>
          <w:szCs w:val="16"/>
          <w:b w:val="1"/>
          <w:bCs w:val="1"/>
          <w:color w:val="auto"/>
        </w:rPr>
        <w:t>AVITA Group</w:t>
      </w:r>
      <w:r>
        <w:rPr>
          <w:rFonts w:ascii="Arial" w:cs="Arial" w:eastAsia="Arial" w:hAnsi="Arial"/>
          <w:sz w:val="16"/>
          <w:szCs w:val="16"/>
          <w:color w:val="auto"/>
        </w:rPr>
        <w:t>” or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is a commercial-stage regenerative tissue company focused on the treatment of burns, trauma and other acute injuries, together with skin defects like vitiligo. The Company’s lead product is the RECELL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a device that enables healthcare professionals to produce a suspension of Spray-On Skin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Cells using a small sample of the patient’s own skin. In September 2018, the United States Food &amp; Drug Administration (“</w:t>
      </w:r>
      <w:r>
        <w:rPr>
          <w:rFonts w:ascii="Arial" w:cs="Arial" w:eastAsia="Arial" w:hAnsi="Arial"/>
          <w:sz w:val="16"/>
          <w:szCs w:val="16"/>
          <w:b w:val="1"/>
          <w:bCs w:val="1"/>
          <w:color w:val="auto"/>
        </w:rPr>
        <w:t>FDA</w:t>
      </w:r>
      <w:r>
        <w:rPr>
          <w:rFonts w:ascii="Arial" w:cs="Arial" w:eastAsia="Arial" w:hAnsi="Arial"/>
          <w:sz w:val="16"/>
          <w:szCs w:val="16"/>
          <w:color w:val="auto"/>
        </w:rPr>
        <w:t>”) granted premarket approval (“</w:t>
      </w:r>
      <w:r>
        <w:rPr>
          <w:rFonts w:ascii="Arial" w:cs="Arial" w:eastAsia="Arial" w:hAnsi="Arial"/>
          <w:sz w:val="16"/>
          <w:szCs w:val="16"/>
          <w:b w:val="1"/>
          <w:bCs w:val="1"/>
          <w:color w:val="auto"/>
        </w:rPr>
        <w:t>PMA</w:t>
      </w:r>
      <w:r>
        <w:rPr>
          <w:rFonts w:ascii="Arial" w:cs="Arial" w:eastAsia="Arial" w:hAnsi="Arial"/>
          <w:sz w:val="16"/>
          <w:szCs w:val="16"/>
          <w:color w:val="auto"/>
        </w:rPr>
        <w:t>”) to the RECELL System for use in the treatment of acute thermal burns in patients eighteen years and older and pediatric acute full thermal burns in 2021. Following receipt of our PMA, we commenced commercializing the RECELL System in January 2019 in the United States. In addition, the FDA has granted the Company three Investigational Device Exemptions (“</w:t>
      </w:r>
      <w:r>
        <w:rPr>
          <w:rFonts w:ascii="Arial" w:cs="Arial" w:eastAsia="Arial" w:hAnsi="Arial"/>
          <w:sz w:val="16"/>
          <w:szCs w:val="16"/>
          <w:b w:val="1"/>
          <w:bCs w:val="1"/>
          <w:color w:val="auto"/>
        </w:rPr>
        <w:t>IDEs</w:t>
      </w:r>
      <w:r>
        <w:rPr>
          <w:rFonts w:ascii="Arial" w:cs="Arial" w:eastAsia="Arial" w:hAnsi="Arial"/>
          <w:sz w:val="16"/>
          <w:szCs w:val="16"/>
          <w:color w:val="auto"/>
        </w:rPr>
        <w:t>”) studies which have enabled the Company to initiate pivotal clinical investigational studies to seek expanded FDA (supplementary) PMA of the RECELL System for each of soft tissue reconstruction, pediatric scalds, and</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vitiligo. Enrollment of those clinical studies is ongoing and, if successful, those studies would enable the Company to commence commercializing the RECELL System in the United States in each of those indications.</w:t>
      </w:r>
    </w:p>
    <w:p>
      <w:pPr>
        <w:spacing w:after="0" w:line="18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March 2020, the World Health Organization declared the outbreak of a novel strain of the coronavirus (“</w:t>
      </w:r>
      <w:r>
        <w:rPr>
          <w:rFonts w:ascii="Arial" w:cs="Arial" w:eastAsia="Arial" w:hAnsi="Arial"/>
          <w:sz w:val="17"/>
          <w:szCs w:val="17"/>
          <w:b w:val="1"/>
          <w:bCs w:val="1"/>
          <w:color w:val="auto"/>
        </w:rPr>
        <w:t>COVID-19</w:t>
      </w:r>
      <w:r>
        <w:rPr>
          <w:rFonts w:ascii="Arial" w:cs="Arial" w:eastAsia="Arial" w:hAnsi="Arial"/>
          <w:sz w:val="17"/>
          <w:szCs w:val="17"/>
          <w:color w:val="auto"/>
        </w:rPr>
        <w:t>”) a pandemic. COVID-19 is having, and will likely continue to have, an effect on the Company’s business, results of operations, financial condition, and cash flows, and its future impacts remain highly uncertain and unpredictable. The Company has considered the disruptions caused by COVID-19, including lower than forecasted sales, delays to the speed of enrollment in the Company’s clinical trials that may, if successful, support commercial approval and new revenues in additional markets, and macroeconomic factors, that may impact its estimates. The Company has assessed the potential impact of COVID-19 on certain accounting matters including, but not limited to, the allowance for doubtful accounts, inventory reserves and return reserves, and impairment considerations for long-lived assets and intangibles, as of June 30, 2021 and through the date of this report. The Company’s business and operations have been impacted by COVID-19 as the effects of COVID-19 related travel restrictions have reduced accidents and the incidence of burns and burns admissions.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In July 2020, Biomedical Advanced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initiated the procurement of the RECELL system valued at $7.6 million as part of the U.S. Department of Health and Human Services emergency response preparedness. As part of the contract the Company delivered 5,614 RECELL system units to BARDA. Units procured by BARDA as part of the emergency response preparedness are maintained and stored by the Company under a vendor-managed inventory arrangement (“VMI”) during the term of the contract. In addition to procurement of the product, BARDA has expanded its awarded contract to provide supplemental funding of $1.6 million to support the emergency deployment of the RECELL system for use in mass casualty or other emergency situations. As of June 30, 2021, a total of 5,614 RECELL system units have been delivered into the VMI and accepted by BARDA.</w:t>
      </w:r>
    </w:p>
    <w:p>
      <w:pPr>
        <w:spacing w:after="0" w:line="193"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Effective December 2, 2020 (United States time), AVITA Therapeutics, Inc., changed its corporate name to AVITA Medical, Inc. after successfully filing a Certificate of Amendment of Certificate of Incorporation with the Secretary of State of Delaware. The Company’s change of name was registered with the Australian Securities and Investments Commission effective as from January 6, 2021. The Company’s common stock continues to trade on The NASDAQ Stock Exchange LLC (“</w:t>
      </w:r>
      <w:r>
        <w:rPr>
          <w:rFonts w:ascii="Arial" w:cs="Arial" w:eastAsia="Arial" w:hAnsi="Arial"/>
          <w:sz w:val="18"/>
          <w:szCs w:val="18"/>
          <w:b w:val="1"/>
          <w:bCs w:val="1"/>
          <w:color w:val="auto"/>
        </w:rPr>
        <w:t>NASDAQ</w:t>
      </w:r>
      <w:r>
        <w:rPr>
          <w:rFonts w:ascii="Arial" w:cs="Arial" w:eastAsia="Arial" w:hAnsi="Arial"/>
          <w:sz w:val="18"/>
          <w:szCs w:val="18"/>
          <w:color w:val="auto"/>
        </w:rPr>
        <w:t>”) under the symbol “RCEL” and its CHESS Depositary Interests (“</w:t>
      </w:r>
      <w:r>
        <w:rPr>
          <w:rFonts w:ascii="Arial" w:cs="Arial" w:eastAsia="Arial" w:hAnsi="Arial"/>
          <w:sz w:val="18"/>
          <w:szCs w:val="18"/>
          <w:b w:val="1"/>
          <w:bCs w:val="1"/>
          <w:color w:val="auto"/>
        </w:rPr>
        <w:t>CDIs</w:t>
      </w:r>
      <w:r>
        <w:rPr>
          <w:rFonts w:ascii="Arial" w:cs="Arial" w:eastAsia="Arial" w:hAnsi="Arial"/>
          <w:sz w:val="18"/>
          <w:szCs w:val="18"/>
          <w:color w:val="auto"/>
        </w:rPr>
        <w:t>”) continue to trade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under the ticker symbol, “AVH”.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Redomiciliation</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w:t>
      </w:r>
    </w:p>
    <w:p>
      <w:pPr>
        <w:spacing w:after="0" w:line="117" w:lineRule="exact"/>
        <w:rPr>
          <w:sz w:val="20"/>
          <w:szCs w:val="20"/>
          <w:color w:val="auto"/>
        </w:rPr>
      </w:pPr>
    </w:p>
    <w:p>
      <w:pPr>
        <w:ind w:left="1140" w:hanging="376"/>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five CDIs in the Company for every 100 ordinary shares in AVITA Medical that were held by them; or</w:t>
      </w:r>
    </w:p>
    <w:p>
      <w:pPr>
        <w:spacing w:after="0" w:line="113" w:lineRule="exact"/>
        <w:rPr>
          <w:rFonts w:ascii="Arial" w:cs="Arial" w:eastAsia="Arial" w:hAnsi="Arial"/>
          <w:sz w:val="18"/>
          <w:szCs w:val="18"/>
          <w:color w:val="auto"/>
        </w:rPr>
      </w:pPr>
    </w:p>
    <w:p>
      <w:pPr>
        <w:ind w:left="1140" w:hanging="376"/>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Company’s CDIs are quoted on the ASX under AVITA Medical’s previous ASX ticker code, “AVH”. The Company’s shares of common stock are quoted on NASDAQ under AVITA Medical’s previous NASDAQ ticker code, “RCEL”. One share of common stock on NASDAQ is equivalent to five CDIs on the ASX.</w:t>
      </w:r>
    </w:p>
    <w:p>
      <w:pPr>
        <w:spacing w:after="0" w:line="7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on issue in the Company (as set out in the consolidated financial statements) is less than the number of ordinary shares issued and outstanding in AVITA Medical that was previously set out in the consolidated financial statements of AVITA Medical. All common stock amounts included in these financial statements have been retroactively reduced by a factor of one hundred and all per share amounts have been increased by a factor of one hundred, with the exception of the Company’s common stock par value.</w:t>
      </w:r>
    </w:p>
    <w:p>
      <w:pPr>
        <w:spacing w:after="0" w:line="18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As a result of the Redomiciliation, the reporting currency of the AVITA Group has changed from the Australian dollar to the U.S. dollar. In accordance with SEC regulation, SX Rule 320 (e), the impact of the change in the reporting currency was included in a component of other comprehensive income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Certain amounts in the prior period Consolidated Statement of Operations have been reclassified to conform to the presentation of the current period financial statements. These reclassifications had no effect on the previously reported operating expense, loss before taxes, net loss and earnings per share.</w:t>
      </w:r>
    </w:p>
    <w:p>
      <w:pPr>
        <w:spacing w:after="0" w:line="184"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After the issuance of the consolidated financial statements for the year ended June 30, 2020, and the quarter ended September 30, 2020, the Company concluded that the presentation of share-based compensation should be reclassified to the functional expense line items consistent with cash compensation in accordance with SAB Topic 14. The Company has determined that such change in presentation of prior period amounts in the Statement of Operations is not material to the consolidated financial statements.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The Company reclassified share-based compensation expense of $16.5 million and $1.9 million to sales and marketing expense, general and administrative expense and research and development expenses as detailed in the table below for the years ended June 30, 2020 and 2019, respectively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rPr>
              <w:t>Year-ended June 30, 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Year-ended June 30, 2019</w:t>
            </w:r>
          </w:p>
        </w:tc>
      </w:tr>
      <w:tr>
        <w:trPr>
          <w:trHeight w:val="205"/>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6"/>
              </w:rPr>
              <w:t>As</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As previously</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Amount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previously</w:t>
            </w: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Amount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w:t>
            </w:r>
          </w:p>
        </w:tc>
      </w:tr>
      <w:tr>
        <w:trPr>
          <w:trHeight w:val="234"/>
        </w:trPr>
        <w:tc>
          <w:tcPr>
            <w:tcW w:w="26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8"/>
                <w:szCs w:val="18"/>
                <w:b w:val="1"/>
                <w:bCs w:val="1"/>
                <w:color w:val="auto"/>
                <w:w w:val="90"/>
              </w:rPr>
              <w:t>reported</w:t>
            </w:r>
          </w:p>
        </w:tc>
        <w:tc>
          <w:tcPr>
            <w:tcW w:w="3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reclassified</w:t>
            </w:r>
          </w:p>
        </w:tc>
        <w:tc>
          <w:tcPr>
            <w:tcW w:w="28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Reported</w:t>
            </w: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8"/>
                <w:szCs w:val="18"/>
                <w:b w:val="1"/>
                <w:bCs w:val="1"/>
                <w:color w:val="auto"/>
                <w:w w:val="90"/>
              </w:rPr>
              <w:t>reported</w:t>
            </w:r>
          </w:p>
        </w:tc>
        <w:tc>
          <w:tcPr>
            <w:tcW w:w="3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reclassified</w:t>
            </w:r>
          </w:p>
        </w:tc>
        <w:tc>
          <w:tcPr>
            <w:tcW w:w="3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Reported</w:t>
            </w:r>
          </w:p>
        </w:tc>
        <w:tc>
          <w:tcPr>
            <w:tcW w:w="100" w:type="dxa"/>
            <w:vAlign w:val="bottom"/>
            <w:tcBorders>
              <w:bottom w:val="single" w:sz="8" w:color="CFF0FC"/>
            </w:tcBorders>
          </w:tcPr>
          <w:p>
            <w:pPr>
              <w:spacing w:after="0"/>
              <w:rPr>
                <w:sz w:val="20"/>
                <w:szCs w:val="20"/>
                <w:color w:val="auto"/>
              </w:rPr>
            </w:pPr>
          </w:p>
        </w:tc>
      </w:tr>
      <w:tr>
        <w:trPr>
          <w:trHeight w:val="223"/>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(14,813)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(893)</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   (15,706)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(12,253)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(296)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   (12,549)</w:t>
            </w: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1"/>
              </w:rPr>
              <w:t>General and administrative expense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(18,135)</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(14,890)</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(33,025)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(13,581)</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(1,518)</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(15,099)</w:t>
            </w:r>
          </w:p>
        </w:tc>
      </w:tr>
      <w:tr>
        <w:trPr>
          <w:trHeight w:val="22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w w:val="90"/>
              </w:rPr>
              <w:t>Research and development expense</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(8,461)</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(703)</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(9,164)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(7,872)</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(8,004)</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(16,486)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16,486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(1,946)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(57,895)</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(57,895)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(35,652)</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(35,652)</w:t>
            </w: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(42,679)</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(42,679)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(25,528)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(25,528)</w:t>
            </w: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(42,026)</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(42,026)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(25,223)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(25,223)</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(42,030)</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(42,030)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(25,102)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(25,102)</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As a result of the redomiciliation described above, the parent company of the AVITA group changed from AVITA Medical to the Company. All intercompany transactions and balances have been eliminated on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accounting for income taxes, stock-based compensation and the stand-alone selling price for the BARDA contract) and related disclosures. Estimates have been prepared on the basis of the current and available information. However, actual results could differ from estimated amounts.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a loss of $97,000, $7,000, and $397,000 for the year ended June 30, 2021, 2020 and 2019, respectively.</w:t>
      </w:r>
    </w:p>
    <w:p>
      <w:pPr>
        <w:spacing w:after="0" w:line="178"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Company’s non-operating subsidiaries that use the U.S. dollar as their functional currency remeasure monetary assets and liabilities at exchange rates in effect at the end of each period, nonmonetary assets and liabilities at historical rates. Gains and losses resulting from these remeasurements and foreign currency transactions are included in general and administrative expenses. During the year ended June 30, 2021, the Company recorded losses of $131,000. For the years ended June 30, 2020 and 2019 such amounts were not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100" w:firstLine="333"/>
        <w:spacing w:after="0" w:line="293" w:lineRule="auto"/>
        <w:rPr>
          <w:sz w:val="20"/>
          <w:szCs w:val="20"/>
          <w:color w:val="auto"/>
        </w:rPr>
      </w:pPr>
      <w:r>
        <w:rPr>
          <w:rFonts w:ascii="Arial" w:cs="Arial" w:eastAsia="Arial" w:hAnsi="Arial"/>
          <w:sz w:val="16"/>
          <w:szCs w:val="16"/>
          <w:color w:val="auto"/>
        </w:rPr>
        <w:t>The components of comprehensive income (loss) consist of net income (loss) and changes in foreign currency exchange rate translation. The changes in foreign currency exchange rate translation are excluded from earnings and reported as a component of shareholders’ equity. The foreign currency translation adjustment results from those subsidiaries not using the United States dollar as their functional currency since the majority of their economic activities are primarily denominated in their applicable local currency. Accordingly, all assets and liabilities related to these operations are translated at the current exchange rates at the end of each period, whereas revenues and expenses are translated at average exchange rates in effect during the period. The resulting cumulative translation adjustments are recorded directly to the accumulated other comprehensive gain/(loss) account in shareholders’ equity.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00" w:firstLine="749"/>
        <w:spacing w:after="0" w:line="255" w:lineRule="auto"/>
        <w:rPr>
          <w:sz w:val="20"/>
          <w:szCs w:val="20"/>
          <w:color w:val="auto"/>
        </w:rPr>
      </w:pPr>
      <w:r>
        <w:rPr>
          <w:rFonts w:ascii="Arial" w:cs="Arial" w:eastAsia="Arial" w:hAnsi="Arial"/>
          <w:sz w:val="18"/>
          <w:szCs w:val="18"/>
          <w:color w:val="auto"/>
        </w:rPr>
        <w:t xml:space="preserve">The Company adopted ASC Topic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July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determine revenue recognition for arrangements that are within the scope of Topic 606, the Company performs the following five steps:</w:t>
      </w:r>
    </w:p>
    <w:p>
      <w:pPr>
        <w:spacing w:after="0" w:line="21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1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16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66"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9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which is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for placement into vaccine stockpiles in accordance with </w:t>
      </w:r>
      <w:r>
        <w:rPr>
          <w:rFonts w:ascii="Arial" w:cs="Arial" w:eastAsia="Arial" w:hAnsi="Arial"/>
          <w:sz w:val="16"/>
          <w:szCs w:val="16"/>
          <w:i w:val="1"/>
          <w:iCs w:val="1"/>
          <w:color w:val="auto"/>
        </w:rPr>
        <w:t>Securities and Exchange Commission (SEC) Interpretation, Commission Guidance regarding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Sale of Vaccines and BioTerror Countermeasures to the Federal Government for Placement into the Pediatric Vaccine Stockpile or the Strategic National Stockpile (SNS). </w:t>
      </w:r>
      <w:r>
        <w:rPr>
          <w:rFonts w:ascii="Arial" w:cs="Arial" w:eastAsia="Arial" w:hAnsi="Arial"/>
          <w:sz w:val="16"/>
          <w:szCs w:val="16"/>
          <w:color w:val="auto"/>
        </w:rPr>
        <w:t>Under this guidance, revenue is recognized when product is placed in the BARDA vendor-managed inventory as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obligations are incremental and expected to be recovered are capitalized and amortized on a straight-line basis over the term of the contract. Contract costs are included in other long-term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$54.2 million and $73.6 million of which $273,000 and $466,000 is denominated in foreign currencies in foreign institutions as of June 30, 2021 and 2020, respectively. As of June 30, 2021 and 2020, the Company held cash equivalents in the amount of $56.5 million and $0,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Pursuant to a contractual agreement with American Express to maintain the business credit card, the Company must maintain restricted cash deposits which amounted to approximately $201,000 and $201,000 as of June 30, 2021 and 2020,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trade receivable, BARDA receivables and other receivables. As of June 30, 2021, and 2020,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pacing w:after="0" w:line="18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As of June 30, 2021 no single commercial customer accounted for more than 10% of total revenues or net accounts receivable. BARDA revenues for the procurement of the RECELL system accounted for approximately 26% of total revenues. As of June 30, 2020, no single commercial customer accounted for more than 10% of total revenues or net accounts receivable. As of June 30, 2019, one commercial customer accounted for approximately 10.5% of total revenues and three customers accounted for more than 10% of net accounts receivable, each representing approximately 14.6%, 10.3% and</w:t>
      </w:r>
    </w:p>
    <w:p>
      <w:pPr>
        <w:spacing w:after="0" w:line="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10.1% of total net accounts receivable. BARDA receivables for the procurement of the RECELL system and emergency preparedness accounted for approximately 91% of BARDA receivables. See table below for breakdown of BARDA receivables (in thousands).</w:t>
      </w:r>
    </w:p>
    <w:p>
      <w:pPr>
        <w:spacing w:after="0" w:line="17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BARDA procurement and emergency preparedness services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BARDA expense reimbursements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3,936</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carrying values of the Company’s financial instruments, consisting of cash and cash equivalents, trade receivables, prepaids and other receivables, accounts payable, accrued liabilities and contract liabilities, approximate fair value due to the relative short-term nature of these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Accounts receivable are recorded net of customer allowances for doubtful accounts.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June 30, 2021, and 2020 the allowance for doubtful accounts was $30,000 and $18,000, respectively.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the activity in the Company’s allowance for doubtful account is as follows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56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at beginning of year</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Bad debt expense</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Deductions</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Allowance for doubtful accounts, at end of year</w:t>
            </w:r>
          </w:p>
        </w:tc>
        <w:tc>
          <w:tcPr>
            <w:tcW w:w="7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AVITA Group was awarded a BARDA grant in September 2015. Under this grant BARDA supports the Company’s research and development for the Company’s product, including the ongoing U.S. clinical regulatory program targeted towards FDA PMA, our compassionate use program, clinical and health economics research, and U.S. pediatric burn programs.</w:t>
      </w:r>
    </w:p>
    <w:p>
      <w:pPr>
        <w:spacing w:after="0" w:line="184" w:lineRule="exact"/>
        <w:rPr>
          <w:sz w:val="20"/>
          <w:szCs w:val="20"/>
          <w:color w:val="auto"/>
        </w:rPr>
      </w:pPr>
    </w:p>
    <w:p>
      <w:pPr>
        <w:ind w:right="320" w:firstLine="510"/>
        <w:spacing w:after="0" w:line="286" w:lineRule="auto"/>
        <w:rPr>
          <w:sz w:val="20"/>
          <w:szCs w:val="20"/>
          <w:color w:val="auto"/>
        </w:rPr>
      </w:pPr>
      <w:r>
        <w:rPr>
          <w:rFonts w:ascii="Arial" w:cs="Arial" w:eastAsia="Arial" w:hAnsi="Arial"/>
          <w:sz w:val="17"/>
          <w:szCs w:val="17"/>
          <w:color w:val="auto"/>
        </w:rPr>
        <w:t>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The Company has concluded that grants under the BARDA grant are not within the scope of ASC 606, as they do not meet the definition of a contract with a “customer.” The Company has further concluded that Subtopic 958-605, </w:t>
      </w:r>
      <w:r>
        <w:rPr>
          <w:rFonts w:ascii="Arial" w:cs="Arial" w:eastAsia="Arial" w:hAnsi="Arial"/>
          <w:sz w:val="17"/>
          <w:szCs w:val="17"/>
          <w:i w:val="1"/>
          <w:iCs w:val="1"/>
          <w:color w:val="auto"/>
        </w:rPr>
        <w:t>Not-for-Profit-Entities-Revenue Recognition</w:t>
      </w:r>
      <w:r>
        <w:rPr>
          <w:rFonts w:ascii="Arial" w:cs="Arial" w:eastAsia="Arial" w:hAnsi="Arial"/>
          <w:sz w:val="17"/>
          <w:szCs w:val="17"/>
          <w:color w:val="auto"/>
        </w:rPr>
        <w:t xml:space="preserve"> also does not apply, as the Company is a business entity and the grants are with governmental agencies or units. With respect to the BARDA grant, we considered the guidance in IAS 20, </w:t>
      </w:r>
      <w:r>
        <w:rPr>
          <w:rFonts w:ascii="Arial" w:cs="Arial" w:eastAsia="Arial" w:hAnsi="Arial"/>
          <w:sz w:val="17"/>
          <w:szCs w:val="17"/>
          <w:i w:val="1"/>
          <w:iCs w:val="1"/>
          <w:color w:val="auto"/>
        </w:rPr>
        <w:t>Accounting for Government Grants and Disclosure of Government Assistance,</w:t>
      </w:r>
      <w:r>
        <w:rPr>
          <w:rFonts w:ascii="Arial" w:cs="Arial" w:eastAsia="Arial" w:hAnsi="Arial"/>
          <w:sz w:val="17"/>
          <w:szCs w:val="17"/>
          <w:color w:val="auto"/>
        </w:rPr>
        <w:t xml:space="preserve"> by analogy.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Inventory is valued at the lower of cost or estimated net realizable value and is reflected in cost of sales. Costs incurred in bringing each product to its present location and condition are accounted for at purchase cost on a first-in, first-out basis (“</w:t>
      </w:r>
      <w:r>
        <w:rPr>
          <w:rFonts w:ascii="Arial" w:cs="Arial" w:eastAsia="Arial" w:hAnsi="Arial"/>
          <w:sz w:val="17"/>
          <w:szCs w:val="17"/>
          <w:b w:val="1"/>
          <w:bCs w:val="1"/>
          <w:color w:val="auto"/>
        </w:rPr>
        <w:t>FIFO</w:t>
      </w:r>
      <w:r>
        <w:rPr>
          <w:rFonts w:ascii="Arial" w:cs="Arial" w:eastAsia="Arial" w:hAnsi="Arial"/>
          <w:sz w:val="17"/>
          <w:szCs w:val="17"/>
          <w:color w:val="auto"/>
        </w:rPr>
        <w:t>”).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realizable value is the estimated selling price in the ordinary course of business, less estimated costs of completion and costs to complete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ind w:right="40" w:firstLine="749"/>
        <w:spacing w:after="0" w:line="292" w:lineRule="auto"/>
        <w:rPr>
          <w:sz w:val="20"/>
          <w:szCs w:val="20"/>
          <w:color w:val="auto"/>
        </w:rPr>
      </w:pPr>
      <w:r>
        <w:rPr>
          <w:rFonts w:ascii="Arial" w:cs="Arial" w:eastAsia="Arial" w:hAnsi="Arial"/>
          <w:sz w:val="16"/>
          <w:szCs w:val="16"/>
          <w:color w:val="auto"/>
        </w:rPr>
        <w:t>The Company has operating leases for corporate office space, manufacturing and warehouse facility. The Company has finance leases for equipment and furniture, which are not material to the consolidated financial statements. The Company’s operating leases have remaining lease terms of one year to three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condensed consolidated balance sheet.</w:t>
      </w:r>
    </w:p>
    <w:p>
      <w:pPr>
        <w:spacing w:after="0" w:line="158"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Right of use (“</w:t>
      </w:r>
      <w:r>
        <w:rPr>
          <w:rFonts w:ascii="Arial" w:cs="Arial" w:eastAsia="Arial" w:hAnsi="Arial"/>
          <w:sz w:val="18"/>
          <w:szCs w:val="18"/>
          <w:b w:val="1"/>
          <w:bCs w:val="1"/>
          <w:color w:val="auto"/>
        </w:rPr>
        <w:t>ROU</w:t>
      </w:r>
      <w:r>
        <w:rPr>
          <w:rFonts w:ascii="Arial" w:cs="Arial" w:eastAsia="Arial" w:hAnsi="Arial"/>
          <w:sz w:val="18"/>
          <w:szCs w:val="18"/>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Arial" w:cs="Arial" w:eastAsia="Arial" w:hAnsi="Arial"/>
          <w:sz w:val="18"/>
          <w:szCs w:val="18"/>
          <w:b w:val="1"/>
          <w:bCs w:val="1"/>
          <w:color w:val="auto"/>
        </w:rPr>
        <w:t>IBR</w:t>
      </w:r>
      <w:r>
        <w:rPr>
          <w:rFonts w:ascii="Arial" w:cs="Arial" w:eastAsia="Arial" w:hAnsi="Arial"/>
          <w:sz w:val="18"/>
          <w:szCs w:val="18"/>
          <w:color w:val="auto"/>
        </w:rPr>
        <w:t>”)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93"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61"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Company’s property, plant and equipment are stated at cost, net of accumulated depreciation and amortization. Depreciation is computed based on the straight-line method over the estimated useful lives of the various asset classes, generally three to seven years. Leasehold improvements are amortized over the shorter of the life of the related asset or the remaining term of the lease. Costs associated with customized internal-use software systems that have reached the application development stage and meet recoverability tests are capitalized and include external direct costs utilized in developing or obtaining the applications and payroll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payroll-related expenses for employees who are directly associated with the application development. Maintenance and repairs are expensed as incurred.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The Company maintains definite-lived intangible assets related to patents initially measured at cost and amortized over estimated useful lives of approximately 3—20 years. The Company had capitalized patent costs of $700,000 and $483,000 as of June 30, 2021 and 2020, respectively, related to regulatory approval of the RECELL System, and are being amortized over their estimated useful lives.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There were no impairments of long-lived assets in the years ended June 30, 2021, 2020 and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Sales and marketing expenses consist primarily of compensation and employee benefits of sales and marketing personnel and related sales support teams, marketing events, advertising costs, travel, trade shows and other marketing materials. The Company expenses all selling and marketing costs as incurred. Advertising expense were $73,000, $51,000 and $186,000 for the year ended June 30, 2021, 2020 and 2019,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 xml:space="preserve">The Company records compensation expense for stock options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 if any. The Black-Scholes option pricing model and Monte Carlo Simulation were used to estimate the fair value of the time-based and performance-based options, respectively. Under ASU 2016-09, </w:t>
      </w:r>
      <w:r>
        <w:rPr>
          <w:rFonts w:ascii="Arial" w:cs="Arial" w:eastAsia="Arial" w:hAnsi="Arial"/>
          <w:sz w:val="17"/>
          <w:szCs w:val="17"/>
          <w:i w:val="1"/>
          <w:iCs w:val="1"/>
          <w:color w:val="auto"/>
        </w:rPr>
        <w:t>Compensation – Stock Compensation (“ASC 718”) Improvements to Employee Share-Based Payment Accounting</w:t>
      </w:r>
      <w:r>
        <w:rPr>
          <w:rFonts w:ascii="Arial" w:cs="Arial" w:eastAsia="Arial" w:hAnsi="Arial"/>
          <w:sz w:val="17"/>
          <w:szCs w:val="17"/>
          <w:color w:val="auto"/>
        </w:rPr>
        <w:t>, the Company elected to account for forfeitures as they occur.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225" w:lineRule="exact"/>
        <w:rPr>
          <w:sz w:val="20"/>
          <w:szCs w:val="20"/>
          <w:color w:val="auto"/>
        </w:rPr>
      </w:pPr>
    </w:p>
    <w:p>
      <w:pPr>
        <w:ind w:left="740" w:right="560" w:hanging="368"/>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170"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spacing w:after="0" w:line="170" w:lineRule="exact"/>
        <w:rPr>
          <w:rFonts w:ascii="Arial" w:cs="Arial" w:eastAsia="Arial" w:hAnsi="Arial"/>
          <w:sz w:val="18"/>
          <w:szCs w:val="18"/>
          <w:color w:val="auto"/>
        </w:rPr>
      </w:pPr>
    </w:p>
    <w:p>
      <w:pPr>
        <w:ind w:left="740" w:right="1500" w:hanging="368"/>
        <w:spacing w:after="0" w:line="291" w:lineRule="auto"/>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stock-based compensation.</w:t>
      </w:r>
    </w:p>
    <w:p>
      <w:pPr>
        <w:ind w:left="740" w:right="120"/>
        <w:spacing w:after="0" w:line="290" w:lineRule="auto"/>
        <w:rPr>
          <w:rFonts w:ascii="Arial" w:cs="Arial" w:eastAsia="Arial" w:hAnsi="Arial"/>
          <w:sz w:val="16"/>
          <w:szCs w:val="16"/>
          <w:color w:val="auto"/>
        </w:rPr>
      </w:pPr>
      <w:r>
        <w:rPr>
          <w:rFonts w:ascii="Arial" w:cs="Arial" w:eastAsia="Arial" w:hAnsi="Arial"/>
          <w:sz w:val="16"/>
          <w:szCs w:val="16"/>
          <w:color w:val="auto"/>
        </w:rPr>
        <w:t>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recent redomiciliation to the United States in the prior fiscal year. The expected term of options with a performance condition was set to the contractual term of 10 years. The contractual term was used options with performance condition were awarded to C-Suite executives and the Company assumes that they will hold them longer than rank and file executives</w:t>
      </w:r>
      <w:r>
        <w:rPr>
          <w:rFonts w:ascii="Arial" w:cs="Arial" w:eastAsia="Arial" w:hAnsi="Arial"/>
          <w:sz w:val="19"/>
          <w:szCs w:val="19"/>
          <w:color w:val="auto"/>
        </w:rPr>
        <w: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740" w:right="420" w:hanging="368"/>
        <w:spacing w:after="0" w:line="277" w:lineRule="auto"/>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and other dilutive instruments that have been issued. For periods where the Company has presented a net loss, potentially dilutive securities are excluded from the computation of diluted net loss per share as they would be anti-dilutive. The loss per share incorporates the impact of the reverse stock split that was effectuated in conjunction with the redomicilation. In accordance with ASC 260, the impact of the reverse stock split was retrospectively applied for all periods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 maker is its Chief Executive Officer. To date, the Company has viewed its operations and manages its business as one segment.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Accounting Standards Update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includes amendments to simplify the accounting for income taxes by removing certain exceptions to the general principles in ASC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is currently evaluating the potential impact that the adoption of ASU 2019-12 will have on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56" w:lineRule="exact"/>
        <w:rPr>
          <w:sz w:val="20"/>
          <w:szCs w:val="20"/>
          <w:color w:val="auto"/>
        </w:rPr>
      </w:pPr>
    </w:p>
    <w:p>
      <w:pPr>
        <w:ind w:right="20" w:firstLine="834"/>
        <w:spacing w:after="0" w:line="257" w:lineRule="auto"/>
        <w:rPr>
          <w:sz w:val="20"/>
          <w:szCs w:val="20"/>
          <w:color w:val="auto"/>
        </w:rPr>
      </w:pPr>
      <w:r>
        <w:rPr>
          <w:rFonts w:ascii="Arial" w:cs="Arial" w:eastAsia="Arial" w:hAnsi="Arial"/>
          <w:sz w:val="18"/>
          <w:szCs w:val="18"/>
          <w:color w:val="auto"/>
        </w:rPr>
        <w:t>During November 2020, the Company remeasured the lease liability for an office lease due to a change in the lease term. As a result of the remeasurement of the lease liability, there was a reduction of approximately $563,000 to the operating lease ROU assets and operating lease liabilities. There was no impact on earnings as a result of the modification. In addition to the modification for the office lease, the Company entered into a new lease in November 2020 for additional warehouse space. The new lease resulted in an increase of $236,000 to the operating lease ROU assets and operating lease liabilities.</w:t>
      </w:r>
    </w:p>
    <w:p>
      <w:pPr>
        <w:spacing w:after="0" w:line="188" w:lineRule="exact"/>
        <w:rPr>
          <w:sz w:val="20"/>
          <w:szCs w:val="20"/>
          <w:color w:val="auto"/>
        </w:rPr>
      </w:pPr>
    </w:p>
    <w:p>
      <w:pPr>
        <w:ind w:right="940" w:firstLine="510"/>
        <w:spacing w:after="0" w:line="277" w:lineRule="auto"/>
        <w:rPr>
          <w:sz w:val="20"/>
          <w:szCs w:val="20"/>
          <w:color w:val="auto"/>
        </w:rPr>
      </w:pPr>
      <w:r>
        <w:rPr>
          <w:rFonts w:ascii="Arial" w:cs="Arial" w:eastAsia="Arial" w:hAnsi="Arial"/>
          <w:sz w:val="18"/>
          <w:szCs w:val="18"/>
          <w:color w:val="auto"/>
        </w:rPr>
        <w:t>The following table sets forth the Company’s operating lease expenses which are included in general and administrative expenses in the consolidated statements of operations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8"/>
              </w:rPr>
              <w:t>Year ended June 30,</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72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5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1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6200" w:type="dxa"/>
            <w:vAlign w:val="bottom"/>
            <w:gridSpan w:val="3"/>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7360" w:type="dxa"/>
            <w:vAlign w:val="bottom"/>
            <w:gridSpan w:val="7"/>
          </w:tcPr>
          <w:p>
            <w:pPr>
              <w:jc w:val="right"/>
              <w:ind w:right="80"/>
              <w:spacing w:after="0"/>
              <w:rPr>
                <w:sz w:val="20"/>
                <w:szCs w:val="20"/>
                <w:color w:val="auto"/>
              </w:rPr>
            </w:pPr>
            <w:r>
              <w:rPr>
                <w:rFonts w:ascii="Arial" w:cs="Arial" w:eastAsia="Arial" w:hAnsi="Arial"/>
                <w:sz w:val="18"/>
                <w:szCs w:val="18"/>
                <w:color w:val="auto"/>
                <w:w w:val="97"/>
              </w:rPr>
              <w:t>Supplemental cash flow information related to operating leases was as follows (in thousands):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90"/>
              </w:rPr>
              <w:t>Year ended 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37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measurement of lease liabilities:</w:t>
            </w: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Operating cash outflows from operating</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leases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735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80" w:type="dxa"/>
            <w:vAlign w:val="bottom"/>
            <w:gridSpan w:val="2"/>
          </w:tcPr>
          <w:p>
            <w:pPr>
              <w:jc w:val="right"/>
              <w:ind w:right="567"/>
              <w:spacing w:after="0"/>
              <w:rPr>
                <w:sz w:val="20"/>
                <w:szCs w:val="20"/>
                <w:color w:val="auto"/>
              </w:rPr>
            </w:pPr>
            <w:r>
              <w:rPr>
                <w:rFonts w:ascii="Arial" w:cs="Arial" w:eastAsia="Arial" w:hAnsi="Arial"/>
                <w:sz w:val="18"/>
                <w:szCs w:val="18"/>
                <w:color w:val="auto"/>
              </w:rPr>
              <w:t>F-16</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1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right-of-use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Operating lease liabilities, short-term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 term</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Operating lease weighted average remaining</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lease term (years)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lease weighted average discount rate</w:t>
            </w:r>
          </w:p>
        </w:tc>
        <w:tc>
          <w:tcPr>
            <w:tcW w:w="18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maturities of the Company’s operating lease liabilities are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460" w:type="dxa"/>
            <w:vAlign w:val="bottom"/>
            <w:shd w:val="clear" w:color="auto" w:fill="CFF0FC"/>
          </w:tcPr>
          <w:p>
            <w:pPr>
              <w:jc w:val="right"/>
              <w:ind w:right="5010"/>
              <w:spacing w:after="0"/>
              <w:rPr>
                <w:sz w:val="20"/>
                <w:szCs w:val="20"/>
                <w:color w:val="auto"/>
              </w:rPr>
            </w:pPr>
            <w:r>
              <w:rPr>
                <w:rFonts w:ascii="Arial" w:cs="Arial" w:eastAsia="Arial" w:hAnsi="Arial"/>
                <w:sz w:val="18"/>
                <w:szCs w:val="18"/>
                <w:color w:val="auto"/>
                <w:w w:val="84"/>
              </w:rPr>
              <w:t>2022</w:t>
            </w: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460" w:type="dxa"/>
            <w:vAlign w:val="bottom"/>
          </w:tcPr>
          <w:p>
            <w:pPr>
              <w:jc w:val="right"/>
              <w:ind w:right="5010"/>
              <w:spacing w:after="0"/>
              <w:rPr>
                <w:sz w:val="20"/>
                <w:szCs w:val="20"/>
                <w:color w:val="auto"/>
              </w:rPr>
            </w:pPr>
            <w:r>
              <w:rPr>
                <w:rFonts w:ascii="Arial" w:cs="Arial" w:eastAsia="Arial" w:hAnsi="Arial"/>
                <w:sz w:val="18"/>
                <w:szCs w:val="18"/>
                <w:color w:val="auto"/>
                <w:w w:val="84"/>
              </w:rPr>
              <w:t>2023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460" w:type="dxa"/>
            <w:vAlign w:val="bottom"/>
            <w:shd w:val="clear" w:color="auto" w:fill="CFF0FC"/>
          </w:tcPr>
          <w:p>
            <w:pPr>
              <w:jc w:val="right"/>
              <w:ind w:right="5010"/>
              <w:spacing w:after="0"/>
              <w:rPr>
                <w:sz w:val="20"/>
                <w:szCs w:val="20"/>
                <w:color w:val="auto"/>
              </w:rPr>
            </w:pPr>
            <w:r>
              <w:rPr>
                <w:rFonts w:ascii="Arial" w:cs="Arial" w:eastAsia="Arial" w:hAnsi="Arial"/>
                <w:sz w:val="18"/>
                <w:szCs w:val="18"/>
                <w:color w:val="auto"/>
                <w:w w:val="84"/>
              </w:rPr>
              <w:t>2024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460" w:type="dxa"/>
            <w:vAlign w:val="bottom"/>
            <w:tcBorders>
              <w:bottom w:val="single" w:sz="8" w:color="CFF0FC"/>
            </w:tcBorders>
          </w:tcPr>
          <w:p>
            <w:pPr>
              <w:jc w:val="right"/>
              <w:ind w:right="5010"/>
              <w:spacing w:after="0"/>
              <w:rPr>
                <w:sz w:val="20"/>
                <w:szCs w:val="20"/>
                <w:color w:val="auto"/>
              </w:rPr>
            </w:pPr>
            <w:r>
              <w:rPr>
                <w:rFonts w:ascii="Arial" w:cs="Arial" w:eastAsia="Arial" w:hAnsi="Arial"/>
                <w:sz w:val="18"/>
                <w:szCs w:val="18"/>
                <w:color w:val="auto"/>
                <w:w w:val="84"/>
              </w:rPr>
              <w:t>2025</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FF0FC"/>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520"/>
              <w:spacing w:after="0"/>
              <w:rPr>
                <w:sz w:val="20"/>
                <w:szCs w:val="20"/>
                <w:color w:val="auto"/>
              </w:rPr>
            </w:pPr>
            <w:r>
              <w:rPr>
                <w:rFonts w:ascii="Arial" w:cs="Arial" w:eastAsia="Arial" w:hAnsi="Arial"/>
                <w:sz w:val="18"/>
                <w:szCs w:val="18"/>
                <w:color w:val="auto"/>
              </w:rPr>
              <w:t>At June 30, 2021, there were no leases entered into that had not yet commenced.</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5. Inventory</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2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60" w:type="dxa"/>
            <w:vAlign w:val="bottom"/>
            <w:tcBorders>
              <w:bottom w:val="single" w:sz="8" w:color="CFF0FC"/>
            </w:tcBorders>
          </w:tcPr>
          <w:p>
            <w:pPr>
              <w:spacing w:after="0"/>
              <w:rPr>
                <w:sz w:val="13"/>
                <w:szCs w:val="13"/>
                <w:color w:val="auto"/>
              </w:rPr>
            </w:pPr>
          </w:p>
        </w:tc>
        <w:tc>
          <w:tcPr>
            <w:tcW w:w="54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inventory</w:t>
            </w:r>
          </w:p>
        </w:tc>
        <w:tc>
          <w:tcPr>
            <w:tcW w:w="40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64"/>
        <w:spacing w:after="0" w:line="263" w:lineRule="auto"/>
        <w:rPr>
          <w:sz w:val="20"/>
          <w:szCs w:val="20"/>
          <w:color w:val="auto"/>
        </w:rPr>
      </w:pPr>
      <w:r>
        <w:rPr>
          <w:rFonts w:ascii="Arial" w:cs="Arial" w:eastAsia="Arial" w:hAnsi="Arial"/>
          <w:sz w:val="18"/>
          <w:szCs w:val="18"/>
          <w:color w:val="auto"/>
        </w:rPr>
        <w:t>The Company has reduced the carrying value of its inventories to reflect the lower of cost or net realizable value. Charges for estimated excess and obsolescence are recorded in cost of sales in the consolidated statement of operations and were $226,000, $84,000, and $89,000 for the years ended June 30, 2021, 2020 and 2019, respectively</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intangible assets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As of June 30, 2021</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1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1"/>
                <w:szCs w:val="11"/>
                <w:color w:val="auto"/>
              </w:rPr>
            </w:pPr>
          </w:p>
        </w:tc>
        <w:tc>
          <w:tcPr>
            <w:tcW w:w="12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5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5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w:t>
            </w: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180" w:type="dxa"/>
            <w:vAlign w:val="bottom"/>
          </w:tcPr>
          <w:p>
            <w:pPr>
              <w:jc w:val="right"/>
              <w:ind w:right="74"/>
              <w:spacing w:after="0"/>
              <w:rPr>
                <w:sz w:val="20"/>
                <w:szCs w:val="20"/>
                <w:color w:val="auto"/>
              </w:rPr>
            </w:pPr>
            <w:r>
              <w:rPr>
                <w:rFonts w:ascii="Arial" w:cs="Arial" w:eastAsia="Arial" w:hAnsi="Arial"/>
                <w:sz w:val="14"/>
                <w:szCs w:val="14"/>
                <w:b w:val="1"/>
                <w:bCs w:val="1"/>
                <w:color w:val="auto"/>
              </w:rPr>
              <w:t>Average Life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Patent 1</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6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Patent 2</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Patent 3</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Patent 5</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Patent 6</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Patent 8</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years ended June 30, 2021 and 2020, the Company did not identify any events or changes in circumstances that indicated the carrying value of its intangibles may not be recoverable. As such, there was no impairment of intangibles assets recognized for the years ended June 30, 2021, 2020 and 2019. Amortization expense of intangibles included in the consolidated statements of operations was $109,000, $119,000 and $0 for the years ended June 30, 2021,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future amortization of amortizable intangible assets held at June 30, 2021 to be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780" w:type="dxa"/>
            <w:vAlign w:val="bottom"/>
            <w:gridSpan w:val="4"/>
          </w:tcPr>
          <w:p>
            <w:pPr>
              <w:jc w:val="center"/>
              <w:ind w:left="2059"/>
              <w:spacing w:after="0"/>
              <w:rPr>
                <w:sz w:val="20"/>
                <w:szCs w:val="20"/>
                <w:color w:val="auto"/>
              </w:rPr>
            </w:pPr>
            <w:r>
              <w:rPr>
                <w:rFonts w:ascii="Arial" w:cs="Arial" w:eastAsia="Arial" w:hAnsi="Arial"/>
                <w:sz w:val="14"/>
                <w:szCs w:val="14"/>
                <w:b w:val="1"/>
                <w:bCs w:val="1"/>
                <w:color w:val="auto"/>
                <w:w w:val="94"/>
              </w:rPr>
              <w:t>Estimated Amortization</w:t>
            </w:r>
          </w:p>
        </w:tc>
      </w:tr>
      <w:tr>
        <w:trPr>
          <w:trHeight w:val="171"/>
        </w:trPr>
        <w:tc>
          <w:tcPr>
            <w:tcW w:w="2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Expense</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5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FF0FC"/>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2023</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2025</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60" w:type="dxa"/>
            <w:vAlign w:val="bottom"/>
            <w:tcBorders>
              <w:bottom w:val="single" w:sz="8" w:color="CFF0FC"/>
            </w:tcBorders>
          </w:tcPr>
          <w:p>
            <w:pPr>
              <w:spacing w:after="0"/>
              <w:rPr>
                <w:sz w:val="19"/>
                <w:szCs w:val="19"/>
                <w:color w:val="auto"/>
              </w:rPr>
            </w:pP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composition of property and equipment, net is as follows (in thousands):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1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Useful Lives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Computer software</w:t>
            </w:r>
          </w:p>
        </w:tc>
        <w:tc>
          <w:tcPr>
            <w:tcW w:w="1140" w:type="dxa"/>
            <w:vAlign w:val="bottom"/>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40" w:type="dxa"/>
            <w:vAlign w:val="bottom"/>
          </w:tcPr>
          <w:p>
            <w:pPr>
              <w:jc w:val="right"/>
              <w:spacing w:after="0"/>
              <w:rPr>
                <w:sz w:val="20"/>
                <w:szCs w:val="20"/>
                <w:color w:val="auto"/>
              </w:rPr>
            </w:pPr>
            <w:r>
              <w:rPr>
                <w:rFonts w:ascii="Arial" w:cs="Arial" w:eastAsia="Arial" w:hAnsi="Arial"/>
                <w:sz w:val="18"/>
                <w:szCs w:val="18"/>
                <w:color w:val="auto"/>
              </w:rPr>
              <w:t>7 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Lesser of life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or lease term</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RECELL Moulds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plant and equipment, net</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Depreciation expense related to plant and equipment was $606,000, $346,000 and $269,000 for the years ended June 30, 2021,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Prepaids and Other Current Assets and Other Long—Term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Lease deposits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10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ind w:left="1700"/>
              <w:spacing w:after="0"/>
              <w:rPr>
                <w:sz w:val="20"/>
                <w:szCs w:val="20"/>
                <w:color w:val="auto"/>
              </w:rPr>
            </w:pPr>
            <w:r>
              <w:rPr>
                <w:rFonts w:ascii="Arial" w:cs="Arial" w:eastAsia="Arial" w:hAnsi="Arial"/>
                <w:sz w:val="18"/>
                <w:szCs w:val="18"/>
                <w:color w:val="auto"/>
              </w:rPr>
              <w:t>Total prepaids and other current assets</w:t>
            </w:r>
          </w:p>
        </w:tc>
        <w:tc>
          <w:tcPr>
            <w:tcW w:w="10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Prepaid expenses primarily consist of prepaid benefits and insurance.</w:t>
            </w: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color w:val="auto"/>
              </w:rPr>
              <w:t>Other long-term assets consisted of the following (in thousands):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BARDA contract costs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Long-term lease deposits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Long-term prepaids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gridSpan w:val="2"/>
          </w:tcPr>
          <w:p>
            <w:pPr>
              <w:ind w:left="1700"/>
              <w:spacing w:after="0"/>
              <w:rPr>
                <w:sz w:val="20"/>
                <w:szCs w:val="20"/>
                <w:color w:val="auto"/>
              </w:rPr>
            </w:pPr>
            <w:r>
              <w:rPr>
                <w:rFonts w:ascii="Arial" w:cs="Arial" w:eastAsia="Arial" w:hAnsi="Arial"/>
                <w:sz w:val="18"/>
                <w:szCs w:val="18"/>
                <w:color w:val="auto"/>
              </w:rPr>
              <w:t>Total other long-term assets</w:t>
            </w:r>
          </w:p>
        </w:tc>
        <w:tc>
          <w:tcPr>
            <w:tcW w:w="10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Reporting Segment and Geographic Information</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Long-lived assets were primarily located in the United States as of June 30, 2021, and 2020 with an insignificant amount located in Australia and the United Kingdom. Revenue by region for the years ended June 30, 2021, 2020 and 2019 were as follows (in thousands):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24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United States</w:t>
            </w:r>
          </w:p>
        </w:tc>
        <w:tc>
          <w:tcPr>
            <w:tcW w:w="2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28,955</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13,800</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4,404</w:t>
            </w:r>
          </w:p>
        </w:tc>
        <w:tc>
          <w:tcPr>
            <w:tcW w:w="8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Australia</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2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19"/>
                <w:szCs w:val="19"/>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by Customer type for the years ended June 30, 2021, 2020 and 2019 were as follows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98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Commercial sales</w:t>
            </w:r>
          </w:p>
        </w:tc>
        <w:tc>
          <w:tcPr>
            <w:tcW w:w="1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21,483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14,263</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9"/>
                <w:szCs w:val="19"/>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Product sales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Services for emergency preparedness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 of sales by Customer type for the years ended June 30, 2021, 2020 and 2019 were as follows (in thousands):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98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Commercial cost</w:t>
            </w:r>
          </w:p>
        </w:tc>
        <w:tc>
          <w:tcPr>
            <w:tcW w:w="1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Product cost</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Emergency preparedness service cost</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June 30, 2021, the Company does not have any outstanding or threatened litigation that would have a material impact to the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and Preferred Stock</w:t>
      </w:r>
    </w:p>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Redomiciliation”). The Redomiciliation was approved by shareholders on June 15, 2020 and approved by the Federal Court of Australia on June 22, 2020.</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w:t>
      </w:r>
    </w:p>
    <w:p>
      <w:pPr>
        <w:spacing w:after="0" w:line="117" w:lineRule="exact"/>
        <w:rPr>
          <w:sz w:val="20"/>
          <w:szCs w:val="20"/>
          <w:color w:val="auto"/>
        </w:rPr>
      </w:pPr>
    </w:p>
    <w:p>
      <w:pPr>
        <w:ind w:left="1140" w:hanging="376"/>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five CDIs in the Company for every 100 ordinary shares in AVITA Medical that were held by them; or</w:t>
      </w:r>
    </w:p>
    <w:p>
      <w:pPr>
        <w:spacing w:after="0" w:line="113" w:lineRule="exact"/>
        <w:rPr>
          <w:rFonts w:ascii="Arial" w:cs="Arial" w:eastAsia="Arial" w:hAnsi="Arial"/>
          <w:sz w:val="18"/>
          <w:szCs w:val="18"/>
          <w:color w:val="auto"/>
        </w:rPr>
      </w:pPr>
    </w:p>
    <w:p>
      <w:pPr>
        <w:ind w:left="1140" w:hanging="376"/>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Company’s CDIs are quoted on the ASX under AVITA Medical’s previous ASX ticker code, “AVH”. The Company’s shares of common stock are quoted on NASDAQ under AVITA Medical’s previous NASDAQ ticker code, “RCEL”. One share of common stock on NASDAQ is equivalent to five CDIs on the ASX.</w:t>
      </w:r>
    </w:p>
    <w:p>
      <w:pPr>
        <w:spacing w:after="0" w:line="184"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on issue in the Company (as set out in the consolidated financial statements) is less than the number of ordinary shares on issue in AVITA Medical that was previously set out in the consolidated financial statements of AVITA Medical. All common stock amounts included in these financial statements have been retroactively reduced by a factor of one hundred and all per share amounts have been increased by a factor of one hundred, with the exception of the Company’s common stock par value.</w:t>
      </w:r>
    </w:p>
    <w:p>
      <w:pPr>
        <w:spacing w:after="0" w:line="18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June 30, 2021, and 2020, 24,895,864 and 21,467,912 shares of common stock, respectively, were issued and outstanding and no shares of preferred stock were outstanding.</w:t>
      </w:r>
    </w:p>
    <w:p>
      <w:pPr>
        <w:spacing w:after="0" w:line="187"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auto"/>
        </w:rPr>
        <w:t>On March 1, 2021, the Company issued 3,214,250 shares of common stock at the offering price of $21.50 per share. The gross proceeds from the offering were approximately $69.1 million while the Company incurred $5.1 million in capital issuance expenses. The offering was made pursuant to a shelf registration statement on Form S-3 (File No. 333-249419) that was previously filed with the Securities and Exchange Commission (the “SEC”) on October 9, 2020 and declared effective on October 16, 2020. It was also publicly released on the ASX. The final prospectus supplement relating to and describing the terms of the offering was filed with the SEC on February 25, 2021 (in the United States) and released on the ASX on March 1, 2021 (in Australia).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During the year ended June 30, 2020, the AVITA Group raised additional capital via a private placement in the amount of $81.7 million (through our former parent company, AVITA Medical). The Company sold the equivalent of 2,033,898 ordinary shares at an issue price of $40.17 per share for total net proceeds of $76.6 million, after deducting commission and offering expenses. An aggregate of the equivalent of 15,853 ordinary shares were issued to the directors of the Company in lieu of director fees during the year ended June 30, 2020, under the Director Share Plan that was approved in December 2017.</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year ended June 30, 2019, the AVITA Group completed a series of equity transactions (through our former parent company, AVITA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Medical). The second tranche of the June 2018 Placement (defined below) closed on July 27, 2018, raising an aggregate of $2.4 million through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 of the equivalent of 650,000 shares at $3.70 per share. During December 2018, AVITA Medical entered into a placement agreement to raise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$28.8 million over two tranches. AVITA Medical completed the first tranche on December 10, 2018 and issued the equivalent of 3,100,471 shares at a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$5.76 per share raising gross proceeds of $17.9 million. The settlement of the second tranche for $10.9 million was approved by the shareholders at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extraordinary meeting held during January 2019. The second tranche closed on January 18, 2019 and raised gross proceeds of $10.9 million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the equivalent of 1,899,530 shares at the same price as the first tranche, being $5.76 per share. In addition, on January 10, 2019, AVITA Medical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a Share Purchase Plan under which AVITA Medical offered to existing eligible shareholders the opportunity to purchase shares at a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equivalent to $5.74 per share. As part of the Share Purchase Plan AVITA Medical received gross proceeds of $1.3 million for the issuance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equivalent of 220,612 shares.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pacing w:after="0" w:line="1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Company’s revenue consists of sale of the RECELL System to hospitals or other treatment centers and to BARDA (collectively</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customers</w:t>
      </w:r>
      <w:r>
        <w:rPr>
          <w:rFonts w:ascii="Arial" w:cs="Arial" w:eastAsia="Arial" w:hAnsi="Arial"/>
          <w:sz w:val="16"/>
          <w:szCs w:val="16"/>
          <w:color w:val="auto"/>
        </w:rPr>
        <w:t>”), predominately in the United States. In addition, the Company records service revenue for the emergency preparedness services provided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For commercial contracts, we identified the hospital or treatment center as the customer in Step 1 of the ASC 606 5 step model and have determined a contract exists with those customers in Step 1. As these contracts typically have a single performance obligation (i.e. product delivery), no allocation of the transaction price is required in Step 4 of the model. Control of the product is transferred to the customer at a point in time. Specifically, we determined the customer obtains control of the product at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spacing w:after="0" w:line="178"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For the contract with BARDA, the Company identified two performance obligations (i) the procurement of 5,614 RECELL units,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$343,000 and $0 as of June 30, 2021 and 2020, respectively, for the rotation cost of the product. Such amounts are recorded in other current liabilities and other long-term liabilities in the amounts of $77,000 and $266,000, respectively. The emergency preparedness services performance obligation is satisfied over time. Revenue for the emergency deployment will be recognized on a straight-line basis during the term of the contract as services are consumed over time. Services recognized for the year ended June 30, 2021 of $154,000 and are included in sales within the consolidated statement of operations. For the years ended June 30, 2020 and 2019, the Company did not have any service revenue with BARDA. Contract costs to fulfil the performance obligation are incremental and expected to be recovered are capitalized and amortized on a straight-line basis over the term of the contract. As of June 30, 2021 and June 30, 2020 contract costs of $613,000 and $0 are included in other long-term assets,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300" w:firstLine="749"/>
        <w:spacing w:after="0" w:line="287" w:lineRule="auto"/>
        <w:rPr>
          <w:sz w:val="20"/>
          <w:szCs w:val="20"/>
          <w:color w:val="auto"/>
        </w:rPr>
      </w:pPr>
      <w:r>
        <w:rPr>
          <w:rFonts w:ascii="Arial" w:cs="Arial" w:eastAsia="Arial" w:hAnsi="Arial"/>
          <w:sz w:val="16"/>
          <w:szCs w:val="16"/>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$1.1 million, $435,000 and $429,000 as of June 30, 2021, 2020 and 2019,</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respectively. Approximately $665,000 of this amount relates to our July 2020 contract with BARDA for the purchase, delivery and storage of RECELL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Systems for emergency response preparedness for a period of three years. The Company expects to recognize this amount as services are provided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BARDA. For the remaining balance of $435,000 the Company expects to recognize revenue upon receiving Japanese Pharmaceuticals and Medical Device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approval of the RECELL System in Japan. For the contract with BARDA, we recognized $7.6 million of revenue for the RECELL product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$154,000 of service revenue related to the emergency readiness performance obligation during the year ended June 30, 2021. There were no purchases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BARDA during the years ended June 30, 2020 and 2019. We are contracted to manage this inventory of product until the federal government requests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shipment or at contract termination on December 31,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17" w:lineRule="exact"/>
        <w:rPr>
          <w:sz w:val="20"/>
          <w:szCs w:val="20"/>
          <w:color w:val="auto"/>
        </w:rPr>
      </w:pPr>
    </w:p>
    <w:p>
      <w:pPr>
        <w:ind w:right="320" w:firstLine="749"/>
        <w:spacing w:after="0" w:line="301" w:lineRule="auto"/>
        <w:rPr>
          <w:sz w:val="20"/>
          <w:szCs w:val="20"/>
          <w:color w:val="auto"/>
        </w:rPr>
      </w:pPr>
      <w:r>
        <w:rPr>
          <w:rFonts w:ascii="Arial" w:cs="Arial" w:eastAsia="Arial" w:hAnsi="Arial"/>
          <w:sz w:val="16"/>
          <w:szCs w:val="16"/>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15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i w:val="1"/>
          <w:iCs w:val="1"/>
          <w:color w:val="auto"/>
        </w:rPr>
        <w:t xml:space="preserve">Volume Discounts </w:t>
      </w:r>
      <w:r>
        <w:rPr>
          <w:rFonts w:ascii="Arial" w:cs="Arial" w:eastAsia="Arial" w:hAnsi="Arial"/>
          <w:sz w:val="16"/>
          <w:szCs w:val="16"/>
          <w:color w:val="auto"/>
        </w:rPr>
        <w:t>— The Company generally provides contracted customers with volume discounts that are explicitly stated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22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the period ended June 30, 2021 and 2020, the Company does not have any contract assets.</w:t>
      </w:r>
    </w:p>
    <w:p>
      <w:pPr>
        <w:spacing w:after="0" w:line="184"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Contract liabilities are recorded when the Company receives payment prior to satisfying its obligation to transfer goods to a customer. The Company had $1.1 million, $435,000 and $429,000 of contract liabilities as of June 30, 2021, 2020 and 2019, respectively. The increase in contract liability primarily relates to the unsatisfied performance obligation for emergency preparedness under the BARDA contract. Performance obligation will be recognized over time over the term of the contract. For the years ended June 30, 2021 and 2020, revenue recognized from amounts included in the beginning balance of contract liabilities was not significant.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Cost to fulfil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June 30, 2021 and 2020, the Company had $613,000 and $0 of contracts costs included in other long-term assets. Amortization expense related to deferred contract costs were $129,000 , $0, and $0 during year ended June 30, 2021, 2020 and 2019, respectively, and are classified as cost of sales on the accompanying consolidated Statements of Operations. There was no impairment loss in relation to deferred contract costs during year ended June 30,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Payment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333" w:lineRule="exact"/>
        <w:rPr>
          <w:sz w:val="20"/>
          <w:szCs w:val="20"/>
          <w:color w:val="auto"/>
        </w:rPr>
      </w:pPr>
    </w:p>
    <w:p>
      <w:pPr>
        <w:ind w:right="140" w:firstLine="749"/>
        <w:spacing w:after="0" w:line="284" w:lineRule="auto"/>
        <w:rPr>
          <w:sz w:val="20"/>
          <w:szCs w:val="20"/>
          <w:color w:val="auto"/>
        </w:rPr>
      </w:pPr>
      <w:r>
        <w:rPr>
          <w:rFonts w:ascii="Arial" w:cs="Arial" w:eastAsia="Arial" w:hAnsi="Arial"/>
          <w:sz w:val="16"/>
          <w:szCs w:val="16"/>
          <w:color w:val="auto"/>
        </w:rPr>
        <w:t>In November 2014, our former parent company, AVITA Medical, adopted the Employee Share Plan and the Incentive Option Plan (collectively, the “</w:t>
      </w:r>
      <w:r>
        <w:rPr>
          <w:rFonts w:ascii="Arial" w:cs="Arial" w:eastAsia="Arial" w:hAnsi="Arial"/>
          <w:sz w:val="16"/>
          <w:szCs w:val="16"/>
          <w:b w:val="1"/>
          <w:bCs w:val="1"/>
          <w:color w:val="auto"/>
        </w:rPr>
        <w:t>2016 Plans</w:t>
      </w:r>
      <w:r>
        <w:rPr>
          <w:rFonts w:ascii="Arial" w:cs="Arial" w:eastAsia="Arial" w:hAnsi="Arial"/>
          <w:sz w:val="16"/>
          <w:szCs w:val="16"/>
          <w:color w:val="auto"/>
        </w:rPr>
        <w:t>”). Upon completion of the Redomiciliation, the 2016 Plans were terminated with respect to future grants and accordingly, there are no more shares available to be issued under the 2016 Plans. In addition, upon completion of the Redomiciliation, the Company had an implicit consolidation or reverse stock split of 100-1 and all share information presented below has been presented on a reverse split stock basis.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Arial" w:cs="Arial" w:eastAsia="Arial" w:hAnsi="Arial"/>
          <w:sz w:val="16"/>
          <w:szCs w:val="16"/>
          <w:b w:val="1"/>
          <w:bCs w:val="1"/>
          <w:color w:val="auto"/>
        </w:rPr>
        <w:t>2020 Plan</w:t>
      </w:r>
      <w:r>
        <w:rPr>
          <w:rFonts w:ascii="Arial" w:cs="Arial" w:eastAsia="Arial" w:hAnsi="Arial"/>
          <w:sz w:val="16"/>
          <w:szCs w:val="16"/>
          <w:color w:val="auto"/>
        </w:rPr>
        <w:t>”).</w:t>
      </w:r>
    </w:p>
    <w:p>
      <w:pPr>
        <w:spacing w:after="0" w:line="4" w:lineRule="exact"/>
        <w:rPr>
          <w:sz w:val="20"/>
          <w:szCs w:val="20"/>
          <w:color w:val="auto"/>
        </w:rPr>
      </w:pPr>
    </w:p>
    <w:p>
      <w:pPr>
        <w:ind w:right="200" w:firstLine="749"/>
        <w:spacing w:after="0" w:line="288" w:lineRule="auto"/>
        <w:rPr>
          <w:sz w:val="20"/>
          <w:szCs w:val="20"/>
          <w:color w:val="auto"/>
        </w:rPr>
      </w:pPr>
      <w:r>
        <w:rPr>
          <w:rFonts w:ascii="Arial" w:cs="Arial" w:eastAsia="Arial" w:hAnsi="Arial"/>
          <w:sz w:val="16"/>
          <w:szCs w:val="16"/>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168"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contractual term of awards granted under the 2020 Plan is ten years from the date of its grant. Unless otherwise specified, the vesting period of awards under the 2020 Plan was: (i) vest over a four year period in four equal installments, 25% at the end of each year from the date of grant, and /or (ii) subject to other performance criteria and hurdles, as determined by the Compensation Committee.</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following table summarizes information about the Company’s share-based award plans as of June 30, 2021:</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Shares available for</w:t>
            </w:r>
          </w:p>
        </w:tc>
        <w:tc>
          <w:tcPr>
            <w:tcW w:w="0" w:type="dxa"/>
            <w:vAlign w:val="bottom"/>
          </w:tcPr>
          <w:p>
            <w:pPr>
              <w:spacing w:after="0"/>
              <w:rPr>
                <w:sz w:val="1"/>
                <w:szCs w:val="1"/>
                <w:color w:val="auto"/>
              </w:rPr>
            </w:pPr>
          </w:p>
        </w:tc>
      </w:tr>
      <w:tr>
        <w:trPr>
          <w:trHeight w:val="68"/>
        </w:trPr>
        <w:tc>
          <w:tcPr>
            <w:tcW w:w="5860" w:type="dxa"/>
            <w:vAlign w:val="bottom"/>
          </w:tcPr>
          <w:p>
            <w:pPr>
              <w:spacing w:after="0"/>
              <w:rPr>
                <w:sz w:val="5"/>
                <w:szCs w:val="5"/>
                <w:color w:val="auto"/>
              </w:rPr>
            </w:pPr>
          </w:p>
        </w:tc>
        <w:tc>
          <w:tcPr>
            <w:tcW w:w="2240" w:type="dxa"/>
            <w:vAlign w:val="bottom"/>
            <w:gridSpan w:val="2"/>
            <w:vMerge w:val="restart"/>
          </w:tcPr>
          <w:p>
            <w:pPr>
              <w:ind w:left="340"/>
              <w:spacing w:after="0" w:line="149" w:lineRule="exact"/>
              <w:rPr>
                <w:sz w:val="20"/>
                <w:szCs w:val="20"/>
                <w:color w:val="auto"/>
              </w:rPr>
            </w:pPr>
            <w:r>
              <w:rPr>
                <w:rFonts w:ascii="Arial" w:cs="Arial" w:eastAsia="Arial" w:hAnsi="Arial"/>
                <w:sz w:val="14"/>
                <w:szCs w:val="14"/>
                <w:b w:val="1"/>
                <w:bCs w:val="1"/>
                <w:color w:val="auto"/>
              </w:rPr>
              <w:t>Outstanding Options</w:t>
            </w:r>
          </w:p>
        </w:tc>
        <w:tc>
          <w:tcPr>
            <w:tcW w:w="16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05"/>
        </w:trPr>
        <w:tc>
          <w:tcPr>
            <w:tcW w:w="5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Units</w:t>
            </w: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2016 Plan</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1,058,295</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RSU Awards</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95,014</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2020 Plan</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435,200</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225" w:lineRule="exact"/>
        <w:rPr>
          <w:sz w:val="20"/>
          <w:szCs w:val="20"/>
          <w:color w:val="auto"/>
        </w:rPr>
      </w:pPr>
    </w:p>
    <w:p>
      <w:pPr>
        <w:ind w:right="40" w:firstLine="749"/>
        <w:spacing w:after="0" w:line="279" w:lineRule="auto"/>
        <w:rPr>
          <w:sz w:val="20"/>
          <w:szCs w:val="20"/>
          <w:color w:val="auto"/>
        </w:rPr>
      </w:pPr>
      <w:r>
        <w:rPr>
          <w:rFonts w:ascii="Arial" w:cs="Arial" w:eastAsia="Arial" w:hAnsi="Arial"/>
          <w:sz w:val="16"/>
          <w:szCs w:val="16"/>
          <w:color w:val="auto"/>
        </w:rPr>
        <w:t>Share-based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Simplifying the Accounting for Share-Based Payments ("ASU 2016-09").</w:t>
      </w:r>
      <w:r>
        <w:rPr>
          <w:sz w:val="1"/>
          <w:szCs w:val="1"/>
          <w:color w:val="auto"/>
        </w:rPr>
        <w:drawing>
          <wp:inline distT="0" distB="0" distL="0" distR="0">
            <wp:extent cx="34290"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During the years ended June 30, 2021, 2020 and 2019, the Company recorded share-based compensation expense of $5.7 million, $16.5 million, and $1.9 million, respectively. No income tax benefit was recognized in the consolidated statement of operations for share-based payment arrangements for June 30, 2021, 2020 and 2019.</w:t>
      </w:r>
    </w:p>
    <w:p>
      <w:pPr>
        <w:spacing w:after="0" w:line="174"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Company has included share-based compensation expense as part of operating expenses in the accompanying consolidated statements of operations as follows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060" w:type="dxa"/>
            <w:vAlign w:val="bottom"/>
            <w:tcBorders>
              <w:bottom w:val="single" w:sz="8" w:color="CFF0FC"/>
            </w:tcBorders>
          </w:tcPr>
          <w:p>
            <w:pPr>
              <w:spacing w:after="0"/>
              <w:rPr>
                <w:sz w:val="13"/>
                <w:szCs w:val="13"/>
                <w:color w:val="auto"/>
              </w:rPr>
            </w:pPr>
          </w:p>
        </w:tc>
        <w:tc>
          <w:tcPr>
            <w:tcW w:w="26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4,095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6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26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5,664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060" w:type="dxa"/>
            <w:vAlign w:val="bottom"/>
          </w:tcPr>
          <w:p>
            <w:pPr>
              <w:spacing w:after="0"/>
              <w:rPr>
                <w:sz w:val="24"/>
                <w:szCs w:val="24"/>
                <w:color w:val="auto"/>
              </w:rPr>
            </w:pPr>
          </w:p>
        </w:tc>
        <w:tc>
          <w:tcPr>
            <w:tcW w:w="3440" w:type="dxa"/>
            <w:vAlign w:val="bottom"/>
            <w:gridSpan w:val="2"/>
          </w:tcPr>
          <w:p>
            <w:pPr>
              <w:jc w:val="right"/>
              <w:ind w:right="1616"/>
              <w:spacing w:after="0"/>
              <w:rPr>
                <w:sz w:val="20"/>
                <w:szCs w:val="20"/>
                <w:color w:val="auto"/>
              </w:rPr>
            </w:pPr>
            <w:r>
              <w:rPr>
                <w:rFonts w:ascii="Arial" w:cs="Arial" w:eastAsia="Arial" w:hAnsi="Arial"/>
                <w:sz w:val="18"/>
                <w:szCs w:val="18"/>
                <w:color w:val="auto"/>
              </w:rPr>
              <w:t>F-23</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share option activity as of June 30, 2021 and changes during the year then ended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Service Only</w:t>
            </w: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Performance</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Total Share</w:t>
            </w:r>
          </w:p>
        </w:tc>
        <w:tc>
          <w:tcPr>
            <w:tcW w:w="10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Share</w:t>
            </w: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Based Share</w:t>
            </w:r>
          </w:p>
        </w:tc>
        <w:tc>
          <w:tcPr>
            <w:tcW w:w="12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Remaining</w:t>
            </w: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9"/>
                <w:szCs w:val="9"/>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1500" w:type="dxa"/>
            <w:vAlign w:val="bottom"/>
            <w:gridSpan w:val="2"/>
            <w:vMerge w:val="continue"/>
          </w:tcPr>
          <w:p>
            <w:pPr>
              <w:spacing w:after="0"/>
              <w:rPr>
                <w:sz w:val="9"/>
                <w:szCs w:val="9"/>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Options</w:t>
            </w: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Options</w:t>
            </w:r>
          </w:p>
        </w:tc>
        <w:tc>
          <w:tcPr>
            <w:tcW w:w="12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Term (in years)</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shares at June 30,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904,353</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356,171</w:t>
            </w: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1,260,524</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14.72</w:t>
            </w: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8.42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22,185,034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Granted</w:t>
            </w:r>
          </w:p>
        </w:tc>
        <w:tc>
          <w:tcPr>
            <w:tcW w:w="960" w:type="dxa"/>
            <w:vAlign w:val="bottom"/>
          </w:tcPr>
          <w:p>
            <w:pPr>
              <w:jc w:val="right"/>
              <w:spacing w:after="0"/>
              <w:rPr>
                <w:sz w:val="20"/>
                <w:szCs w:val="20"/>
                <w:color w:val="auto"/>
              </w:rPr>
            </w:pPr>
            <w:r>
              <w:rPr>
                <w:rFonts w:ascii="Arial" w:cs="Arial" w:eastAsia="Arial" w:hAnsi="Arial"/>
                <w:sz w:val="16"/>
                <w:szCs w:val="16"/>
                <w:color w:val="auto"/>
              </w:rPr>
              <w:t>229,500</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207,500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21.37</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(13,859)</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(500)</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(14,359)</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Expired</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(20,690)</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(45,002)</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(65,692)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36.44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(101,478)</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(22,500)</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(123,978)</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29.45</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shares at June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997,826</w:t>
            </w:r>
          </w:p>
        </w:tc>
        <w:tc>
          <w:tcPr>
            <w:tcW w:w="260" w:type="dxa"/>
            <w:vAlign w:val="bottom"/>
            <w:tcBorders>
              <w:bottom w:val="single" w:sz="8" w:color="CFF0FC"/>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495,669</w:t>
            </w:r>
          </w:p>
        </w:tc>
        <w:tc>
          <w:tcPr>
            <w:tcW w:w="24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1,493,495</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14.53</w:t>
            </w:r>
          </w:p>
        </w:tc>
        <w:tc>
          <w:tcPr>
            <w:tcW w:w="22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jc w:val="right"/>
              <w:ind w:right="359"/>
              <w:spacing w:after="0"/>
              <w:rPr>
                <w:sz w:val="20"/>
                <w:szCs w:val="20"/>
                <w:color w:val="auto"/>
              </w:rPr>
            </w:pPr>
            <w:r>
              <w:rPr>
                <w:rFonts w:ascii="Arial" w:cs="Arial" w:eastAsia="Arial" w:hAnsi="Arial"/>
                <w:sz w:val="16"/>
                <w:szCs w:val="16"/>
                <w:color w:val="auto"/>
              </w:rPr>
              <w:t>7.99</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12,233,949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Exercisable at June 30, 2021</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449,599</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283,769</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733,368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7.06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9,412,064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40" w:firstLine="749"/>
        <w:spacing w:after="0" w:line="259" w:lineRule="auto"/>
        <w:rPr>
          <w:sz w:val="20"/>
          <w:szCs w:val="20"/>
          <w:color w:val="auto"/>
        </w:rPr>
      </w:pPr>
      <w:r>
        <w:rPr>
          <w:rFonts w:ascii="Arial" w:cs="Arial" w:eastAsia="Arial" w:hAnsi="Arial"/>
          <w:sz w:val="18"/>
          <w:szCs w:val="18"/>
          <w:color w:val="auto"/>
        </w:rPr>
        <w:t>The weighted-average grant-date fair value of options granted during the years 2021, 2020, and 2019 was $14.08, $26.56, and $6.67, respectively. The total intrinsic value of options exercised during the years ended June 30, 2021, 2020 and 2019 was $221,000, $3.1 million, and $1.7 million, respectively. Intrinsic value is measured using the fair market value at the date of exercise for options exercised, or at June 30 for outstanding options, less the applicable exercise price.</w:t>
      </w:r>
    </w:p>
    <w:p>
      <w:pPr>
        <w:spacing w:after="0" w:line="187" w:lineRule="exact"/>
        <w:rPr>
          <w:sz w:val="20"/>
          <w:szCs w:val="20"/>
          <w:color w:val="auto"/>
        </w:rPr>
      </w:pPr>
    </w:p>
    <w:p>
      <w:pPr>
        <w:ind w:right="160" w:firstLine="749"/>
        <w:spacing w:after="0" w:line="274" w:lineRule="auto"/>
        <w:rPr>
          <w:sz w:val="20"/>
          <w:szCs w:val="20"/>
          <w:color w:val="auto"/>
        </w:rPr>
      </w:pPr>
      <w:r>
        <w:rPr>
          <w:rFonts w:ascii="Arial" w:cs="Arial" w:eastAsia="Arial" w:hAnsi="Arial"/>
          <w:sz w:val="18"/>
          <w:szCs w:val="18"/>
          <w:color w:val="auto"/>
        </w:rPr>
        <w:t>Cash received from the exercise of options was approximately $63,000 and $474,000 and $252,000 for the year ended June 30, 2021, 2020 and 2019, respectively</w:t>
      </w:r>
      <w:r>
        <w:rPr>
          <w:rFonts w:ascii="Arial" w:cs="Arial" w:eastAsia="Arial" w:hAnsi="Arial"/>
          <w:sz w:val="21"/>
          <w:szCs w:val="21"/>
          <w:color w:val="auto"/>
        </w:rPr>
        <w:t>.</w:t>
      </w:r>
    </w:p>
    <w:p>
      <w:pPr>
        <w:spacing w:after="0" w:line="163"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As of June 30, 2021, there was approximately $7.0 million of total unrecognized compensation cost related to share-based compensation expense. Of this amount $4.5 million relates to service only share options to be recognized over a weighted average period of 1.57 years and $2.5 million related to performance-based share options to be recognized over a weighted average period of 2.14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Pricing Model</w:t>
      </w:r>
    </w:p>
    <w:p>
      <w:pPr>
        <w:spacing w:after="0" w:line="225"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 Company estimates the fair value of tenure-based share options using the Black-Scholes option pricing model on the date of grant. The Company estimates the fair value of options with a performance condition using the Monte-Carlo simulation model.</w:t>
      </w:r>
    </w:p>
    <w:p>
      <w:pPr>
        <w:spacing w:after="0" w:line="17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valuation of the options is affected by the Company's share price as well as assumptions regarding a number of highly complex and subjective variables. These variables include, but are not limited to, expected share price volatility over the term of the awards and actual and projected employee share option exercise behaviors. The risk-free rate is based on the U.S. Treasury rate for the expected life at the time of grant, volatility is based on the average historical and implied volatility and the expected life is based on the estimated average of the life of options using the simplified method as prescribed by SAB 107. The Company utilizes the simplified method to determine the expected life of the options due to insufficient exercise activity during recent years. The expected dividend assumption is based on the Company’s history and expectation of dividend payouts.</w:t>
      </w:r>
    </w:p>
    <w:p>
      <w:pPr>
        <w:spacing w:after="0" w:line="56"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Included in the following table is a summary of the grant-date fair value of share options granted and the related assumptions used in the Black-Scholes Option pricing model and Monte-Carlo simulation in fiscal year 2021 and the Binomial models for share options granted in 2020, and 2019.</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Year Ended June 30,</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9"/>
        </w:trPr>
        <w:tc>
          <w:tcPr>
            <w:tcW w:w="5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98"/>
        </w:trPr>
        <w:tc>
          <w:tcPr>
            <w:tcW w:w="5120" w:type="dxa"/>
            <w:vAlign w:val="bottom"/>
          </w:tcPr>
          <w:p>
            <w:pPr>
              <w:spacing w:after="0"/>
              <w:rPr>
                <w:sz w:val="17"/>
                <w:szCs w:val="17"/>
                <w:color w:val="auto"/>
              </w:rPr>
            </w:pPr>
          </w:p>
        </w:tc>
        <w:tc>
          <w:tcPr>
            <w:tcW w:w="15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2100" w:type="dxa"/>
            <w:vAlign w:val="bottom"/>
          </w:tcPr>
          <w:p>
            <w:pPr>
              <w:jc w:val="right"/>
              <w:ind w:right="835"/>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5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r>
      <w:tr>
        <w:trPr>
          <w:trHeight w:val="25"/>
        </w:trPr>
        <w:tc>
          <w:tcPr>
            <w:tcW w:w="51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CFF0FC"/>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8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 - 80%</w:t>
            </w:r>
          </w:p>
        </w:tc>
        <w:tc>
          <w:tcPr>
            <w:tcW w:w="38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- 90%</w:t>
            </w:r>
          </w:p>
        </w:tc>
        <w:tc>
          <w:tcPr>
            <w:tcW w:w="3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2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00" w:type="dxa"/>
            <w:vAlign w:val="bottom"/>
          </w:tcPr>
          <w:p>
            <w:pPr>
              <w:jc w:val="right"/>
              <w:spacing w:after="0"/>
              <w:rPr>
                <w:sz w:val="20"/>
                <w:szCs w:val="20"/>
                <w:color w:val="auto"/>
              </w:rPr>
            </w:pPr>
            <w:r>
              <w:rPr>
                <w:rFonts w:ascii="Arial" w:cs="Arial" w:eastAsia="Arial" w:hAnsi="Arial"/>
                <w:sz w:val="18"/>
                <w:szCs w:val="18"/>
                <w:color w:val="auto"/>
              </w:rPr>
              <w:t>5 - 10</w:t>
            </w:r>
          </w:p>
        </w:tc>
        <w:tc>
          <w:tcPr>
            <w:tcW w:w="3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0.77% - 1.64%</w:t>
            </w:r>
          </w:p>
        </w:tc>
        <w:tc>
          <w:tcPr>
            <w:tcW w:w="38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 - 2.65%</w:t>
            </w: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 - 2.65%</w:t>
            </w:r>
          </w:p>
        </w:tc>
        <w:tc>
          <w:tcPr>
            <w:tcW w:w="180" w:type="dxa"/>
            <w:vAlign w:val="bottom"/>
            <w:shd w:val="clear" w:color="auto" w:fill="CFF0FC"/>
          </w:tcPr>
          <w:p>
            <w:pPr>
              <w:spacing w:after="0"/>
              <w:rPr>
                <w:sz w:val="19"/>
                <w:szCs w:val="19"/>
                <w:color w:val="auto"/>
              </w:rPr>
            </w:pPr>
          </w:p>
        </w:tc>
      </w:tr>
      <w:tr>
        <w:trPr>
          <w:trHeight w:val="877"/>
        </w:trPr>
        <w:tc>
          <w:tcPr>
            <w:tcW w:w="5120" w:type="dxa"/>
            <w:vAlign w:val="bottom"/>
          </w:tcPr>
          <w:p>
            <w:pPr>
              <w:spacing w:after="0"/>
              <w:rPr>
                <w:sz w:val="24"/>
                <w:szCs w:val="24"/>
                <w:color w:val="auto"/>
              </w:rPr>
            </w:pPr>
          </w:p>
        </w:tc>
        <w:tc>
          <w:tcPr>
            <w:tcW w:w="1880" w:type="dxa"/>
            <w:vAlign w:val="bottom"/>
            <w:gridSpan w:val="2"/>
          </w:tcPr>
          <w:p>
            <w:pPr>
              <w:jc w:val="right"/>
              <w:ind w:right="1200"/>
              <w:spacing w:after="0"/>
              <w:rPr>
                <w:sz w:val="20"/>
                <w:szCs w:val="20"/>
                <w:color w:val="auto"/>
              </w:rPr>
            </w:pPr>
            <w:r>
              <w:rPr>
                <w:rFonts w:ascii="Arial" w:cs="Arial" w:eastAsia="Arial" w:hAnsi="Arial"/>
                <w:sz w:val="18"/>
                <w:szCs w:val="18"/>
                <w:color w:val="auto"/>
              </w:rPr>
              <w:t>F-24</w:t>
            </w: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ind w:right="140" w:firstLine="510"/>
        <w:spacing w:after="0" w:line="274" w:lineRule="auto"/>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are granted to executives as part of their long-term incentive compensation. RSUs granted prior to the current year and under the 2020 Plan, arise out of contracts between the Company and the holders of such securities. These RSU awards were approved by the Compensation Committee as determined necessary. They have a contractual term of 10 years and vest in accordance with the tenure or performance conditions as determined by the Compensation Committee. The grant date fair value is determined based on the price of the Company stock price on the date of grant (stock price determined on NASDAQ post redomiciliation and ASX prior to the redomiciliation). RSUs primarily consist of awards to the CEO and other executives. The CEO RSU awards are described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RSUs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November 30, 2017, the equivalent of 500,000 RSUs were issued to the CEO. As of June 30, 2020, 83,333 of these RSUs with a performance condition of procurement of the RECELL system to BARDA were outstanding. This performance condition was satisfied during the year and awards were released to the CEO. As of June 30, 2021, no grants remain outstanding for this award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November 2019,the equivalent of 395,542 RSUs were issued to the CEO with the following vesting terms:</w:t>
      </w:r>
    </w:p>
    <w:p>
      <w:pPr>
        <w:spacing w:after="0" w:line="117" w:lineRule="exact"/>
        <w:rPr>
          <w:sz w:val="20"/>
          <w:szCs w:val="20"/>
          <w:color w:val="auto"/>
        </w:rPr>
      </w:pPr>
    </w:p>
    <w:p>
      <w:pPr>
        <w:ind w:left="1140" w:hanging="498"/>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Tenure – the equivalent of 142,521 RSUs with a vesting period of three-years commencing on June 1, 2020.</w:t>
      </w:r>
    </w:p>
    <w:p>
      <w:pPr>
        <w:spacing w:after="0" w:line="117" w:lineRule="exact"/>
        <w:rPr>
          <w:rFonts w:ascii="Arial" w:cs="Arial" w:eastAsia="Arial" w:hAnsi="Arial"/>
          <w:sz w:val="18"/>
          <w:szCs w:val="18"/>
          <w:color w:val="auto"/>
        </w:rPr>
      </w:pPr>
    </w:p>
    <w:p>
      <w:pPr>
        <w:ind w:left="1140" w:hanging="498"/>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Milestone performance – 253,021 of the RSUs will vest upon satisfaction of the following milestones:</w:t>
      </w:r>
    </w:p>
    <w:p>
      <w:pPr>
        <w:spacing w:after="0" w:line="117" w:lineRule="exact"/>
        <w:rPr>
          <w:rFonts w:ascii="Arial" w:cs="Arial" w:eastAsia="Arial" w:hAnsi="Arial"/>
          <w:sz w:val="18"/>
          <w:szCs w:val="18"/>
          <w:color w:val="auto"/>
        </w:rPr>
      </w:pPr>
    </w:p>
    <w:p>
      <w:pPr>
        <w:ind w:left="2280" w:right="420" w:hanging="504"/>
        <w:spacing w:after="0" w:line="277" w:lineRule="auto"/>
        <w:tabs>
          <w:tab w:leader="none" w:pos="22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First patient visit for treatment in an FDA approved U.S. soft tissue and trauma trial by the Company prior to March 3, 2020. – Performance criteria was satisfied in the prior year</w:t>
      </w:r>
    </w:p>
    <w:p>
      <w:pPr>
        <w:spacing w:after="0" w:line="62" w:lineRule="exact"/>
        <w:rPr>
          <w:rFonts w:ascii="Arial" w:cs="Arial" w:eastAsia="Arial" w:hAnsi="Arial"/>
          <w:sz w:val="18"/>
          <w:szCs w:val="18"/>
          <w:color w:val="auto"/>
        </w:rPr>
      </w:pPr>
    </w:p>
    <w:p>
      <w:pPr>
        <w:ind w:left="2280" w:right="880" w:hanging="504"/>
        <w:spacing w:after="0" w:line="277" w:lineRule="auto"/>
        <w:tabs>
          <w:tab w:leader="none" w:pos="22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First patient visit for treatment in an FDA approved U.S pediatric trial by the Company prior to June 30, 2020. – Performance criteria was satisfied in the prior year</w:t>
      </w:r>
    </w:p>
    <w:p>
      <w:pPr>
        <w:spacing w:after="0" w:line="62" w:lineRule="exact"/>
        <w:rPr>
          <w:rFonts w:ascii="Arial" w:cs="Arial" w:eastAsia="Arial" w:hAnsi="Arial"/>
          <w:sz w:val="18"/>
          <w:szCs w:val="18"/>
          <w:color w:val="auto"/>
        </w:rPr>
      </w:pPr>
    </w:p>
    <w:p>
      <w:pPr>
        <w:ind w:left="2280" w:right="200" w:hanging="504"/>
        <w:spacing w:after="0" w:line="277" w:lineRule="auto"/>
        <w:tabs>
          <w:tab w:leader="none" w:pos="22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First patient visit for treatment in an FDA approved U.S pilot vitiligo trial by the Company prior to September 30, 2020. - Performance criteria was satisfied in the current year and award appropriately released.</w:t>
      </w:r>
    </w:p>
    <w:p>
      <w:pPr>
        <w:spacing w:after="0" w:line="62" w:lineRule="exact"/>
        <w:rPr>
          <w:rFonts w:ascii="Arial" w:cs="Arial" w:eastAsia="Arial" w:hAnsi="Arial"/>
          <w:sz w:val="18"/>
          <w:szCs w:val="18"/>
          <w:color w:val="auto"/>
        </w:rPr>
      </w:pPr>
    </w:p>
    <w:p>
      <w:pPr>
        <w:ind w:left="2280" w:right="40" w:hanging="504"/>
        <w:spacing w:after="0" w:line="263" w:lineRule="auto"/>
        <w:tabs>
          <w:tab w:leader="none" w:pos="22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FDA application submission for approval of the next generation RECELL device prior to June 30, 2021. – Satisfaction of the performance criteria is pending ratification by the Compensation Committee once this is approved by the Compensation Committee the awards will be released to the CEO.</w:t>
      </w:r>
    </w:p>
    <w:p>
      <w:pPr>
        <w:spacing w:after="0" w:line="75" w:lineRule="exact"/>
        <w:rPr>
          <w:rFonts w:ascii="Arial" w:cs="Arial" w:eastAsia="Arial" w:hAnsi="Arial"/>
          <w:sz w:val="18"/>
          <w:szCs w:val="18"/>
          <w:color w:val="auto"/>
        </w:rPr>
      </w:pPr>
    </w:p>
    <w:p>
      <w:pPr>
        <w:ind w:left="2280" w:right="220" w:hanging="504"/>
        <w:spacing w:after="0" w:line="277" w:lineRule="auto"/>
        <w:tabs>
          <w:tab w:leader="none" w:pos="22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FDA approval of the next generation RECELL device prior to June 30, 2022. – Performance criteria has been assessed as not probable.</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of June 30, 2021, a total of 47,507 tenure based RSU awards and 47,507 performance based RSU awards from the above CEO November 2019 grant date remain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summary of the status of the Company’s unvested RSUs as of June 30, 2021, and changes that occurred during the year is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5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Service Condition</w:t>
            </w:r>
          </w:p>
        </w:tc>
        <w:tc>
          <w:tcPr>
            <w:tcW w:w="2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Performance Condition</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68"/>
        </w:trPr>
        <w:tc>
          <w:tcPr>
            <w:tcW w:w="448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Unvested Shares</w:t>
            </w:r>
          </w:p>
        </w:tc>
        <w:tc>
          <w:tcPr>
            <w:tcW w:w="1540" w:type="dxa"/>
            <w:vAlign w:val="bottom"/>
            <w:gridSpan w:val="2"/>
            <w:vMerge w:val="continue"/>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1520" w:type="dxa"/>
            <w:vAlign w:val="bottom"/>
            <w:gridSpan w:val="2"/>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rPr>
              <w:t>Total RSU's</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81"/>
        </w:trPr>
        <w:tc>
          <w:tcPr>
            <w:tcW w:w="4480" w:type="dxa"/>
            <w:vAlign w:val="bottom"/>
            <w:vMerge w:val="continue"/>
          </w:tcPr>
          <w:p>
            <w:pPr>
              <w:spacing w:after="0"/>
              <w:rPr>
                <w:sz w:val="7"/>
                <w:szCs w:val="7"/>
                <w:color w:val="auto"/>
              </w:rPr>
            </w:pPr>
          </w:p>
        </w:tc>
        <w:tc>
          <w:tcPr>
            <w:tcW w:w="15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RSU</w:t>
            </w:r>
          </w:p>
        </w:tc>
        <w:tc>
          <w:tcPr>
            <w:tcW w:w="208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RSU</w:t>
            </w: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4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66"/>
        </w:trPr>
        <w:tc>
          <w:tcPr>
            <w:tcW w:w="4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at June 30, 2020</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95,013</w:t>
            </w:r>
          </w:p>
        </w:tc>
        <w:tc>
          <w:tcPr>
            <w:tcW w:w="2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244,346</w:t>
            </w:r>
          </w:p>
        </w:tc>
        <w:tc>
          <w:tcPr>
            <w:tcW w:w="2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339,359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(47,506)</w:t>
            </w:r>
          </w:p>
        </w:tc>
        <w:tc>
          <w:tcPr>
            <w:tcW w:w="2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(151,837)</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(199,343)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(45,002)</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at June 30, 2021</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47,507</w:t>
            </w:r>
          </w:p>
        </w:tc>
        <w:tc>
          <w:tcPr>
            <w:tcW w:w="2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52,507</w:t>
            </w:r>
          </w:p>
        </w:tc>
        <w:tc>
          <w:tcPr>
            <w:tcW w:w="2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100,014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The weighted-average grant-date fair value of the RSUs granted during 2021, 2020 and 2019 was $22.65, $39.12 and $0 per unit, respectively. The total fair value of shares vested during the years ended June 30, 2020, 2019 and 2018 was $4.9 million, $9.2, and $0, respectively.</w:t>
      </w:r>
    </w:p>
    <w:p>
      <w:pPr>
        <w:spacing w:after="0" w:line="12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June 30, 2021, there was $1.6 million of total unrecognized compensation cost related to unvested share-based compensation arrangements granted under the RSU award agreements. This amount includes $926,000 for performance share awards that have been determined to be not probable. The associated expense will be recognized if the performance conditions is determined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to be probable. The remaining unrecognized expense of $722,000 is expected to be recognized over a weighted average period of 0.87 years .</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Geographic sources of income (loss) from continuing operations before income taxes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89"/>
              </w:rPr>
              <w:t>(amounts in thousands)</w:t>
            </w:r>
          </w:p>
        </w:tc>
        <w:tc>
          <w:tcPr>
            <w:tcW w:w="308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8"/>
        </w:trPr>
        <w:tc>
          <w:tcPr>
            <w:tcW w:w="144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line="158"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(26,478)</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0"/>
              </w:rPr>
              <w:t>(20,793)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(21,233)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09"/>
        </w:trPr>
        <w:tc>
          <w:tcPr>
            <w:tcW w:w="452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 before</w:t>
            </w: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income taxes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(26,545)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(42,026)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(25,223)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income tax benefit (expense) as shown in the accompanying consolidated statements of operations includes the following:</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89"/>
              </w:rPr>
              <w:t>(amounts in thousands)</w:t>
            </w:r>
          </w:p>
        </w:tc>
        <w:tc>
          <w:tcPr>
            <w:tcW w:w="250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8"/>
        </w:trPr>
        <w:tc>
          <w:tcPr>
            <w:tcW w:w="144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3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9"/>
              </w:rPr>
              <w:t>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4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1440" w:type="dxa"/>
            <w:vAlign w:val="bottom"/>
            <w:tcBorders>
              <w:top w:val="single" w:sz="8" w:color="CFF0FC"/>
            </w:tcBorders>
            <w:shd w:val="clear" w:color="auto" w:fill="CFF0FC"/>
          </w:tcPr>
          <w:p>
            <w:pPr>
              <w:spacing w:after="0"/>
              <w:rPr>
                <w:sz w:val="19"/>
                <w:szCs w:val="19"/>
                <w:color w:val="auto"/>
              </w:rPr>
            </w:pPr>
          </w:p>
        </w:tc>
        <w:tc>
          <w:tcPr>
            <w:tcW w:w="25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9"/>
              </w:rPr>
              <w:t>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4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CFF0FC"/>
            </w:tcBorders>
          </w:tcPr>
          <w:p>
            <w:pPr>
              <w:spacing w:after="0"/>
              <w:rPr>
                <w:sz w:val="19"/>
                <w:szCs w:val="19"/>
                <w:color w:val="auto"/>
              </w:rPr>
            </w:pPr>
          </w:p>
        </w:tc>
        <w:tc>
          <w:tcPr>
            <w:tcW w:w="250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Income Tax Expense (Benefit)</w:t>
            </w:r>
          </w:p>
        </w:tc>
        <w:tc>
          <w:tcPr>
            <w:tcW w:w="1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9"/>
              </w:rPr>
              <w:t>38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 for income taxes differs from the tax computed using the statutory United States federal income tax rate of 21%, 21% and 21%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2021,2020, and 2019 as a result of the following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(amounts in thousands)</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gridSpan w:val="3"/>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tcBorders>
              <w:bottom w:val="single" w:sz="8" w:color="CFF0FC"/>
            </w:tcBorders>
            <w:shd w:val="clear" w:color="auto" w:fill="000000"/>
          </w:tcPr>
          <w:p>
            <w:pPr>
              <w:spacing w:after="0" w:line="20" w:lineRule="exact"/>
              <w:rPr>
                <w:sz w:val="1"/>
                <w:szCs w:val="1"/>
                <w:color w:val="auto"/>
              </w:rPr>
            </w:pPr>
          </w:p>
        </w:tc>
        <w:tc>
          <w:tcPr>
            <w:tcW w:w="2260" w:type="dxa"/>
            <w:vAlign w:val="bottom"/>
            <w:tcBorders>
              <w:bottom w:val="single" w:sz="8" w:color="CFF0FC"/>
            </w:tcBorders>
          </w:tcPr>
          <w:p>
            <w:pPr>
              <w:spacing w:after="0" w:line="20" w:lineRule="exact"/>
              <w:rPr>
                <w:sz w:val="1"/>
                <w:szCs w:val="1"/>
                <w:color w:val="auto"/>
              </w:rPr>
            </w:pPr>
          </w:p>
        </w:tc>
        <w:tc>
          <w:tcPr>
            <w:tcW w:w="16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expense (benefit) at U.S. statutory rate</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(3,794)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tax rate</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change in valuation allowance</w:t>
            </w:r>
          </w:p>
        </w:tc>
        <w:tc>
          <w:tcPr>
            <w:tcW w:w="1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20" w:type="dxa"/>
            <w:vAlign w:val="bottom"/>
            <w:gridSpan w:val="2"/>
          </w:tcPr>
          <w:p>
            <w:pPr>
              <w:jc w:val="right"/>
              <w:ind w:right="687"/>
              <w:spacing w:after="0"/>
              <w:rPr>
                <w:sz w:val="20"/>
                <w:szCs w:val="20"/>
                <w:color w:val="auto"/>
              </w:rPr>
            </w:pPr>
            <w:r>
              <w:rPr>
                <w:rFonts w:ascii="Arial" w:cs="Arial" w:eastAsia="Arial" w:hAnsi="Arial"/>
                <w:sz w:val="18"/>
                <w:szCs w:val="18"/>
                <w:color w:val="auto"/>
              </w:rPr>
              <w:t>F-26</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deferred income tax assets is as follows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53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ROU Asset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49,469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(49,075)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(41,899)</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top w:val="single" w:sz="8" w:color="CFF0FC"/>
            </w:tcBorders>
            <w:shd w:val="clear" w:color="auto" w:fill="CFF0FC"/>
          </w:tcPr>
          <w:p>
            <w:pPr>
              <w:spacing w:after="0"/>
              <w:rPr>
                <w:sz w:val="19"/>
                <w:szCs w:val="19"/>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b w:val="1"/>
                <w:bCs w:val="1"/>
                <w:color w:val="auto"/>
              </w:rPr>
              <w:t>Net deferred tax assets /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bl>
    <w:p>
      <w:pPr>
        <w:spacing w:after="0" w:line="20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At June 30, 2021, the Company and its subsidiaries had net operating loss carryforwards for federal, state, United Kingdom, and Australia income tax purposes of $111.8 million, $66.5 million, $32.8 million and $38.2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remaining carryforwards have no expiration.</w:t>
      </w:r>
    </w:p>
    <w:p>
      <w:pPr>
        <w:spacing w:after="0" w:line="188"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$49.1 million and $41.9 million as of June 30, 2021 and 2020, respectively. The deferred tax assets are primarily net operating loss carryforwards for which management has determined it is more likely than not that the deferred tax assets will not be realized.</w:t>
      </w:r>
    </w:p>
    <w:p>
      <w:pPr>
        <w:spacing w:after="0" w:line="196"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identified any uncertain tax positions as of June 30, 2021 or June 30, 2020.</w:t>
      </w:r>
    </w:p>
    <w:p>
      <w:pPr>
        <w:spacing w:after="0" w:line="225"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2017 through June 30, 2020, and for certain other U.S. state and local income taxes generally for the fiscal years ended June 30, 2017 through June 30, 2020.</w:t>
      </w:r>
    </w:p>
    <w:p>
      <w:pPr>
        <w:spacing w:after="0" w:line="167"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color w:val="auto"/>
        </w:rPr>
        <w:t>The Tax Cuts and Jobs Act (“</w:t>
      </w:r>
      <w:r>
        <w:rPr>
          <w:rFonts w:ascii="Arial" w:cs="Arial" w:eastAsia="Arial" w:hAnsi="Arial"/>
          <w:sz w:val="18"/>
          <w:szCs w:val="18"/>
          <w:b w:val="1"/>
          <w:bCs w:val="1"/>
          <w:color w:val="auto"/>
        </w:rPr>
        <w:t>the Tax Act</w:t>
      </w:r>
      <w:r>
        <w:rPr>
          <w:rFonts w:ascii="Arial" w:cs="Arial" w:eastAsia="Arial" w:hAnsi="Arial"/>
          <w:sz w:val="18"/>
          <w:szCs w:val="18"/>
          <w:color w:val="auto"/>
        </w:rPr>
        <w:t>”) was enacted on December 22, 2017 and reduced U.S. corporate income tax rates to 21% as of January 1, 2018. The rate change became effective during tax year June 30, 2018, resulting in a blended statutory tax rate of 28% and a decrease in the Company’s deferred tax assets and the associated valuation allowance in tax year June 30,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ind w:right="240" w:firstLine="510"/>
        <w:spacing w:after="0" w:line="303" w:lineRule="auto"/>
        <w:rPr>
          <w:sz w:val="20"/>
          <w:szCs w:val="20"/>
          <w:color w:val="auto"/>
        </w:rPr>
      </w:pPr>
      <w:r>
        <w:rPr>
          <w:rFonts w:ascii="Arial" w:cs="Arial" w:eastAsia="Arial" w:hAnsi="Arial"/>
          <w:sz w:val="16"/>
          <w:szCs w:val="16"/>
          <w:color w:val="auto"/>
        </w:rPr>
        <w:t>On March 27, 2020, the Coronavirus Aid, Relief, and Economic Security Act (“</w:t>
      </w:r>
      <w:r>
        <w:rPr>
          <w:rFonts w:ascii="Arial" w:cs="Arial" w:eastAsia="Arial" w:hAnsi="Arial"/>
          <w:sz w:val="16"/>
          <w:szCs w:val="16"/>
          <w:b w:val="1"/>
          <w:bCs w:val="1"/>
          <w:color w:val="auto"/>
        </w:rPr>
        <w:t>CARES Ac</w:t>
      </w:r>
      <w:r>
        <w:rPr>
          <w:rFonts w:ascii="Arial" w:cs="Arial" w:eastAsia="Arial" w:hAnsi="Arial"/>
          <w:sz w:val="16"/>
          <w:szCs w:val="16"/>
          <w:color w:val="auto"/>
        </w:rPr>
        <w:t>t”) was enacted in the United States.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does not anticipate the associated impacts, if any, will have a material effect on our financial position.</w:t>
      </w:r>
    </w:p>
    <w:p>
      <w:pPr>
        <w:spacing w:after="0" w:line="15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 December 27, 2020, the Consolidated Appropriations Act, 2021 (CAA 2021) was signed into law which included a number of provisions including, but not limited to the extension of numerous CARES Act provisions such as employment tax credits and enhanced business meals deductions. Accordingly, the effects of the CCA have been incorporated into the income tax provision computation for the year ended June 30, 2021. These provisions did not have a material impact on the income tax provision.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June 30,</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73"/>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shares—outstanding, basic</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20,291</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shares—outstanding, diluted</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Net loss per common share, basic</w:t>
            </w:r>
          </w:p>
        </w:tc>
        <w:tc>
          <w:tcPr>
            <w:tcW w:w="6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diluted</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years ended June 30, 2021, 2020 and 2019, diluted net loss per common share is the same as the basic net loss per share for those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w:t>
      </w:r>
    </w:p>
    <w:p>
      <w:pPr>
        <w:spacing w:after="0" w:line="117"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The Company offers a 401(k)-retirement savings plan (the “</w:t>
      </w:r>
      <w:r>
        <w:rPr>
          <w:rFonts w:ascii="Arial" w:cs="Arial" w:eastAsia="Arial" w:hAnsi="Arial"/>
          <w:sz w:val="18"/>
          <w:szCs w:val="18"/>
          <w:b w:val="1"/>
          <w:bCs w:val="1"/>
          <w:color w:val="auto"/>
        </w:rPr>
        <w:t>401(k) Plan</w:t>
      </w:r>
      <w:r>
        <w:rPr>
          <w:rFonts w:ascii="Arial" w:cs="Arial" w:eastAsia="Arial" w:hAnsi="Arial"/>
          <w:sz w:val="18"/>
          <w:szCs w:val="18"/>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$733,000, $713,000 and $ 594,000 in the years ended June 30, 2021, 2020 and 2019,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Deed of Cross Guarantee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(as the parent entity of the AVITA Group) is party to a deed of cross guarantee dated June 29, 2020 (“</w:t>
      </w:r>
      <w:r>
        <w:rPr>
          <w:rFonts w:ascii="Arial" w:cs="Arial" w:eastAsia="Arial" w:hAnsi="Arial"/>
          <w:sz w:val="17"/>
          <w:szCs w:val="17"/>
          <w:b w:val="1"/>
          <w:bCs w:val="1"/>
          <w:color w:val="auto"/>
        </w:rPr>
        <w:t>Deed</w:t>
      </w:r>
      <w:r>
        <w:rPr>
          <w:rFonts w:ascii="Arial" w:cs="Arial" w:eastAsia="Arial" w:hAnsi="Arial"/>
          <w:sz w:val="17"/>
          <w:szCs w:val="17"/>
          <w:color w:val="auto"/>
        </w:rPr>
        <w:t>”) with each of 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Australian wholly-owned subsidiaries, namely:</w:t>
      </w:r>
    </w:p>
    <w:p>
      <w:pPr>
        <w:spacing w:after="0" w:line="103" w:lineRule="exact"/>
        <w:rPr>
          <w:sz w:val="20"/>
          <w:szCs w:val="20"/>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AVITA Medical Pty Ltd (ACN 058 466 523;</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C3 Operations Pty Ltd (ACN 090 161 505);</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Visiomed Group Pty Ltd (ACN 003 010 580);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Infamed Pty Limited (ACN 084 800 653),</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Australian Subsidiaries</w:t>
      </w:r>
      <w:r>
        <w:rPr>
          <w:rFonts w:ascii="Arial" w:cs="Arial" w:eastAsia="Arial" w:hAnsi="Arial"/>
          <w:sz w:val="18"/>
          <w:szCs w:val="18"/>
          <w:color w:val="auto"/>
        </w:rPr>
        <w:t>”).</w:t>
      </w:r>
    </w:p>
    <w:p>
      <w:pPr>
        <w:spacing w:after="0" w:line="229"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The Company and the Australian Subsidiaries were the only parties to the Deed at June 30, 2021 and comprise the “closed group” for the purposes of the Deed (and also the “extended closed group”). No parties were added to or removed from the Deed, or subject to a notice of disposal, during or since the financial year ended June 30, 2021. Since June 30, 2021, there has been no change in ownership of any of the Australian Subsidiaries.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By entering into the Deed, the Company and the Australian Subsidiaries have guaranteed the debts of each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Relief under ASIC Corporations (Wholly-owned Companies) Instrument 2016/785</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 xml:space="preserve">By entering into the Deed, the Australian Subsidiaries have been relieved from the requirement to prepare a financial report and directors’ report for the financial year ended June 30, 2021 under </w:t>
      </w:r>
      <w:r>
        <w:rPr>
          <w:rFonts w:ascii="Arial" w:cs="Arial" w:eastAsia="Arial" w:hAnsi="Arial"/>
          <w:sz w:val="18"/>
          <w:szCs w:val="18"/>
          <w:i w:val="1"/>
          <w:iCs w:val="1"/>
          <w:color w:val="auto"/>
        </w:rPr>
        <w:t>ASIC Corporations (Wholly-owned Companies) Instrument 2016/785</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information of parties to the Deed</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financial statements below are additional disclosure items specifically required by the Australian Securities and Investments Commission and represent the consolidated financial statements of the entities that are party to the Deed only (being the ‘closed group’ and also the ‘extended closed group’ under the Deed).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gridSpan w:val="2"/>
          </w:tcPr>
          <w:p>
            <w:pPr>
              <w:ind w:left="226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sales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60"/>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expense</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6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6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As of June 30,</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960" w:type="dxa"/>
            <w:vAlign w:val="bottom"/>
            <w:gridSpan w:val="2"/>
          </w:tcPr>
          <w:p>
            <w:pPr>
              <w:ind w:left="2260"/>
              <w:spacing w:after="0"/>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60"/>
              <w:spacing w:after="0"/>
              <w:rPr>
                <w:sz w:val="20"/>
                <w:szCs w:val="20"/>
                <w:color w:val="auto"/>
              </w:rPr>
            </w:pPr>
            <w:r>
              <w:rPr>
                <w:rFonts w:ascii="Arial" w:cs="Arial" w:eastAsia="Arial" w:hAnsi="Arial"/>
                <w:sz w:val="18"/>
                <w:szCs w:val="18"/>
                <w:b w:val="1"/>
                <w:bCs w:val="1"/>
                <w:color w:val="auto"/>
              </w:rPr>
              <w:t>ASSETS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Prepaids and other current assets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w:t>
            </w:r>
          </w:p>
        </w:tc>
        <w:tc>
          <w:tcPr>
            <w:tcW w:w="8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260"/>
              <w:spacing w:after="0"/>
              <w:rPr>
                <w:sz w:val="20"/>
                <w:szCs w:val="20"/>
                <w:color w:val="auto"/>
              </w:rPr>
            </w:pPr>
            <w:r>
              <w:rPr>
                <w:rFonts w:ascii="Arial" w:cs="Arial" w:eastAsia="Arial" w:hAnsi="Arial"/>
                <w:sz w:val="18"/>
                <w:szCs w:val="18"/>
                <w:color w:val="auto"/>
              </w:rPr>
              <w:t>Accounts payable and accrued liabilities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wages and fringe benefits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8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80" w:type="dxa"/>
            <w:vAlign w:val="bottom"/>
            <w:tcBorders>
              <w:bottom w:val="single" w:sz="8" w:color="CFF0FC"/>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60"/>
              <w:spacing w:after="0"/>
              <w:rPr>
                <w:sz w:val="20"/>
                <w:szCs w:val="20"/>
                <w:color w:val="auto"/>
              </w:rPr>
            </w:pPr>
            <w:r>
              <w:rPr>
                <w:rFonts w:ascii="Arial" w:cs="Arial" w:eastAsia="Arial" w:hAnsi="Arial"/>
                <w:sz w:val="18"/>
                <w:szCs w:val="18"/>
                <w:color w:val="auto"/>
              </w:rPr>
              <w:t>Contributed equity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232,747</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Reserves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31,803</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deficit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(264,529)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60"/>
              <w:spacing w:after="0"/>
              <w:rPr>
                <w:sz w:val="20"/>
                <w:szCs w:val="20"/>
                <w:color w:val="auto"/>
              </w:rPr>
            </w:pPr>
            <w:r>
              <w:rPr>
                <w:rFonts w:ascii="Arial" w:cs="Arial" w:eastAsia="Arial" w:hAnsi="Arial"/>
                <w:sz w:val="18"/>
                <w:szCs w:val="18"/>
                <w:color w:val="auto"/>
              </w:rPr>
              <w:t>Total liabilities and stockholders' equity (deficit)</w:t>
            </w:r>
          </w:p>
        </w:tc>
        <w:tc>
          <w:tcPr>
            <w:tcW w:w="8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700" w:type="dxa"/>
            <w:vAlign w:val="bottom"/>
            <w:vMerge w:val="restart"/>
          </w:tcPr>
          <w:p>
            <w:pPr>
              <w:ind w:left="3200"/>
              <w:spacing w:after="0"/>
              <w:rPr>
                <w:sz w:val="20"/>
                <w:szCs w:val="20"/>
                <w:color w:val="auto"/>
              </w:rPr>
            </w:pPr>
            <w:r>
              <w:rPr>
                <w:rFonts w:ascii="Arial" w:cs="Arial" w:eastAsia="Arial" w:hAnsi="Arial"/>
                <w:sz w:val="18"/>
                <w:szCs w:val="18"/>
                <w:color w:val="auto"/>
              </w:rPr>
              <w:t>F-29</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2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Results (Unaudited)</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4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40" w:type="dxa"/>
            <w:vAlign w:val="bottom"/>
            <w:tcBorders>
              <w:top w:val="single" w:sz="8" w:color="auto"/>
            </w:tcBorders>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92"/>
              <w:spacing w:after="0" w:line="147"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(2,146)</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BARDA income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 xml:space="preserve">Sales and marketing expenses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(3,649)</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(8,302)</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(3,401)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(5,422)</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(3,361)</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(4,109)</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21,503,643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21,623,509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22,734,335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24,860,738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21,503,643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21,623,509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22,734,335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24,860,738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524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40" w:type="dxa"/>
            <w:vAlign w:val="bottom"/>
            <w:tcBorders>
              <w:top w:val="single" w:sz="8" w:color="auto"/>
            </w:tcBorders>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92"/>
              <w:spacing w:after="0" w:line="147"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BARDA income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line="229" w:lineRule="exact"/>
              <w:rPr>
                <w:sz w:val="20"/>
                <w:szCs w:val="20"/>
                <w:color w:val="auto"/>
              </w:rPr>
            </w:pPr>
            <w:r>
              <w:rPr>
                <w:rFonts w:ascii="Arial" w:cs="Arial" w:eastAsia="Arial" w:hAnsi="Arial"/>
                <w:sz w:val="18"/>
                <w:szCs w:val="18"/>
                <w:color w:val="auto"/>
              </w:rPr>
              <w:t xml:space="preserve">Sales and marketing expenses </w:t>
            </w:r>
            <w:r>
              <w:rPr>
                <w:rFonts w:ascii="Arial" w:cs="Arial" w:eastAsia="Arial" w:hAnsi="Arial"/>
                <w:sz w:val="24"/>
                <w:szCs w:val="24"/>
                <w:color w:val="auto"/>
                <w:vertAlign w:val="superscript"/>
              </w:rPr>
              <w:t>(1)</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(3,972)</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(4,375)</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line="229" w:lineRule="exact"/>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24"/>
                <w:szCs w:val="24"/>
                <w:color w:val="auto"/>
                <w:vertAlign w:val="superscript"/>
              </w:rPr>
              <w:t>(1)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(3,422)</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(7,107)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(12,787)</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30"/>
        </w:trPr>
        <w:tc>
          <w:tcPr>
            <w:tcW w:w="5240" w:type="dxa"/>
            <w:vAlign w:val="bottom"/>
          </w:tcPr>
          <w:p>
            <w:pPr>
              <w:spacing w:after="0" w:line="229" w:lineRule="exact"/>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24"/>
                <w:szCs w:val="24"/>
                <w:color w:val="auto"/>
                <w:vertAlign w:val="superscript"/>
              </w:rPr>
              <w:t>(1)</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(1,819)</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18,719,857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19,877,676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21,215,246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21,372,892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18,719,857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19,877,676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21,215,246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21,372,892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740" w:hanging="368"/>
        <w:spacing w:after="0" w:line="263"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After the issuance of the consolidated financial statements for the year ended June 30, 2020, and the quarter ended September 30, 2020, the Company concluded that the presentation of share-based compensation should be reclassified to the functional expense line items consistent with cash compensation in accordance with SAB Topic 14. The Company has determined that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740" w:right="20"/>
        <w:spacing w:after="0" w:line="277" w:lineRule="auto"/>
        <w:rPr>
          <w:sz w:val="20"/>
          <w:szCs w:val="20"/>
          <w:color w:val="auto"/>
        </w:rPr>
      </w:pPr>
      <w:r>
        <w:rPr>
          <w:rFonts w:ascii="Arial" w:cs="Arial" w:eastAsia="Arial" w:hAnsi="Arial"/>
          <w:sz w:val="18"/>
          <w:szCs w:val="18"/>
          <w:color w:val="auto"/>
        </w:rPr>
        <w:t>such change in presentation of prior period amounts in the Statement of Operations is not material to the consolidated financial statements. The following amounts have been reclassified in each of the quarters.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9"/>
          </w:tcPr>
          <w:p>
            <w:pPr>
              <w:jc w:val="right"/>
              <w:ind w:right="20"/>
              <w:spacing w:after="0"/>
              <w:rPr>
                <w:sz w:val="20"/>
                <w:szCs w:val="20"/>
                <w:color w:val="auto"/>
              </w:rPr>
            </w:pPr>
            <w:r>
              <w:rPr>
                <w:rFonts w:ascii="Arial" w:cs="Arial" w:eastAsia="Arial" w:hAnsi="Arial"/>
                <w:sz w:val="16"/>
                <w:szCs w:val="16"/>
                <w:b w:val="1"/>
                <w:bCs w:val="1"/>
                <w:color w:val="auto"/>
                <w:w w:val="91"/>
              </w:rPr>
              <w:t>Quarter-ended September 30, 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10"/>
          </w:tcPr>
          <w:p>
            <w:pPr>
              <w:jc w:val="center"/>
              <w:ind w:right="200"/>
              <w:spacing w:after="0"/>
              <w:rPr>
                <w:sz w:val="20"/>
                <w:szCs w:val="20"/>
                <w:color w:val="auto"/>
              </w:rPr>
            </w:pPr>
            <w:r>
              <w:rPr>
                <w:rFonts w:ascii="Arial" w:cs="Arial" w:eastAsia="Arial" w:hAnsi="Arial"/>
                <w:sz w:val="16"/>
                <w:szCs w:val="16"/>
                <w:b w:val="1"/>
                <w:bCs w:val="1"/>
                <w:color w:val="auto"/>
                <w:w w:val="91"/>
              </w:rPr>
              <w:t>Quarter-ended December 31, 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10"/>
          </w:tcPr>
          <w:p>
            <w:pPr>
              <w:jc w:val="right"/>
              <w:ind w:right="340"/>
              <w:spacing w:after="0"/>
              <w:rPr>
                <w:sz w:val="20"/>
                <w:szCs w:val="20"/>
                <w:color w:val="auto"/>
              </w:rPr>
            </w:pPr>
            <w:r>
              <w:rPr>
                <w:rFonts w:ascii="Arial" w:cs="Arial" w:eastAsia="Arial" w:hAnsi="Arial"/>
                <w:sz w:val="16"/>
                <w:szCs w:val="16"/>
                <w:b w:val="1"/>
                <w:bCs w:val="1"/>
                <w:color w:val="auto"/>
                <w:w w:val="94"/>
              </w:rPr>
              <w:t>Quarter-ended March 31, 2020</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7"/>
              </w:rPr>
              <w:t>As</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87"/>
              </w:rPr>
              <w:t>As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w w:val="87"/>
              </w:rPr>
              <w:t>As</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previously</w:t>
            </w:r>
          </w:p>
        </w:tc>
        <w:tc>
          <w:tcPr>
            <w:tcW w:w="10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As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previously</w:t>
            </w:r>
          </w:p>
        </w:tc>
        <w:tc>
          <w:tcPr>
            <w:tcW w:w="100" w:type="dxa"/>
            <w:vAlign w:val="bottom"/>
          </w:tcPr>
          <w:p>
            <w:pPr>
              <w:spacing w:after="0"/>
              <w:rPr>
                <w:sz w:val="17"/>
                <w:szCs w:val="17"/>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7"/>
                <w:szCs w:val="17"/>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As</w:t>
            </w:r>
          </w:p>
        </w:tc>
        <w:tc>
          <w:tcPr>
            <w:tcW w:w="10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89"/>
              </w:rPr>
              <w:t>previously</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6"/>
                <w:szCs w:val="16"/>
                <w:color w:val="auto"/>
              </w:rPr>
              <w:t>(in thousands)</w:t>
            </w:r>
          </w:p>
        </w:tc>
        <w:tc>
          <w:tcPr>
            <w:tcW w:w="9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reported</w:t>
            </w:r>
          </w:p>
        </w:tc>
        <w:tc>
          <w:tcPr>
            <w:tcW w:w="860" w:type="dxa"/>
            <w:vAlign w:val="bottom"/>
            <w:gridSpan w:val="4"/>
          </w:tcPr>
          <w:p>
            <w:pPr>
              <w:spacing w:after="0"/>
              <w:rPr>
                <w:sz w:val="20"/>
                <w:szCs w:val="20"/>
                <w:color w:val="auto"/>
              </w:rPr>
            </w:pPr>
            <w:r>
              <w:rPr>
                <w:rFonts w:ascii="Arial" w:cs="Arial" w:eastAsia="Arial" w:hAnsi="Arial"/>
                <w:sz w:val="16"/>
                <w:szCs w:val="16"/>
                <w:b w:val="1"/>
                <w:bCs w:val="1"/>
                <w:color w:val="auto"/>
                <w:w w:val="95"/>
              </w:rPr>
              <w:t>reclassified</w:t>
            </w:r>
          </w:p>
        </w:tc>
        <w:tc>
          <w:tcPr>
            <w:tcW w:w="90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Reported</w:t>
            </w:r>
          </w:p>
        </w:tc>
        <w:tc>
          <w:tcPr>
            <w:tcW w:w="140" w:type="dxa"/>
            <w:vAlign w:val="bottom"/>
          </w:tcPr>
          <w:p>
            <w:pPr>
              <w:spacing w:after="0"/>
              <w:rPr>
                <w:sz w:val="18"/>
                <w:szCs w:val="18"/>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reported</w:t>
            </w:r>
          </w:p>
        </w:tc>
        <w:tc>
          <w:tcPr>
            <w:tcW w:w="1020" w:type="dxa"/>
            <w:vAlign w:val="bottom"/>
            <w:gridSpan w:val="4"/>
          </w:tcPr>
          <w:p>
            <w:pPr>
              <w:spacing w:after="0"/>
              <w:rPr>
                <w:sz w:val="20"/>
                <w:szCs w:val="20"/>
                <w:color w:val="auto"/>
              </w:rPr>
            </w:pPr>
            <w:r>
              <w:rPr>
                <w:rFonts w:ascii="Arial" w:cs="Arial" w:eastAsia="Arial" w:hAnsi="Arial"/>
                <w:sz w:val="16"/>
                <w:szCs w:val="16"/>
                <w:b w:val="1"/>
                <w:bCs w:val="1"/>
                <w:color w:val="auto"/>
              </w:rPr>
              <w:t>reclassified</w:t>
            </w: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8"/>
                <w:szCs w:val="18"/>
                <w:color w:val="auto"/>
              </w:rPr>
            </w:pPr>
          </w:p>
        </w:tc>
        <w:tc>
          <w:tcPr>
            <w:tcW w:w="9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reported</w:t>
            </w:r>
          </w:p>
        </w:tc>
        <w:tc>
          <w:tcPr>
            <w:tcW w:w="800" w:type="dxa"/>
            <w:vAlign w:val="bottom"/>
            <w:gridSpan w:val="3"/>
          </w:tcPr>
          <w:p>
            <w:pPr>
              <w:spacing w:after="0"/>
              <w:rPr>
                <w:sz w:val="20"/>
                <w:szCs w:val="20"/>
                <w:color w:val="auto"/>
              </w:rPr>
            </w:pPr>
            <w:r>
              <w:rPr>
                <w:rFonts w:ascii="Arial" w:cs="Arial" w:eastAsia="Arial" w:hAnsi="Arial"/>
                <w:sz w:val="16"/>
                <w:szCs w:val="16"/>
                <w:b w:val="1"/>
                <w:bCs w:val="1"/>
                <w:color w:val="auto"/>
                <w:w w:val="86"/>
              </w:rPr>
              <w:t>reclassified</w:t>
            </w:r>
          </w:p>
        </w:tc>
        <w:tc>
          <w:tcPr>
            <w:tcW w:w="2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1"/>
              </w:rPr>
              <w:t>Reported</w:t>
            </w:r>
          </w:p>
        </w:tc>
        <w:tc>
          <w:tcPr>
            <w:tcW w:w="0" w:type="dxa"/>
            <w:vAlign w:val="bottom"/>
          </w:tcPr>
          <w:p>
            <w:pPr>
              <w:spacing w:after="0"/>
              <w:rPr>
                <w:sz w:val="1"/>
                <w:szCs w:val="1"/>
                <w:color w:val="auto"/>
              </w:rPr>
            </w:pPr>
          </w:p>
        </w:tc>
      </w:tr>
      <w:tr>
        <w:trPr>
          <w:trHeight w:val="203"/>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left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expense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(2,962)</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(137)</w:t>
            </w:r>
          </w:p>
        </w:tc>
        <w:tc>
          <w:tcPr>
            <w:tcW w:w="900" w:type="dxa"/>
            <w:vAlign w:val="bottom"/>
            <w:gridSpan w:val="6"/>
            <w:shd w:val="clear" w:color="auto" w:fill="CFF0FC"/>
          </w:tcPr>
          <w:p>
            <w:pPr>
              <w:jc w:val="right"/>
              <w:spacing w:after="0"/>
              <w:rPr>
                <w:sz w:val="20"/>
                <w:szCs w:val="20"/>
                <w:color w:val="auto"/>
              </w:rPr>
            </w:pPr>
            <w:r>
              <w:rPr>
                <w:rFonts w:ascii="Arial" w:cs="Arial" w:eastAsia="Arial" w:hAnsi="Arial"/>
                <w:sz w:val="16"/>
                <w:szCs w:val="16"/>
                <w:color w:val="auto"/>
              </w:rPr>
              <w:t>$  (3,099)</w:t>
            </w: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   (3,738)</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(234)</w:t>
            </w:r>
          </w:p>
        </w:tc>
        <w:tc>
          <w:tcPr>
            <w:tcW w:w="14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(3,972)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(4,162)</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(213)</w:t>
            </w: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  (4,375)</w:t>
            </w:r>
          </w:p>
        </w:tc>
        <w:tc>
          <w:tcPr>
            <w:tcW w:w="0" w:type="dxa"/>
            <w:vAlign w:val="bottom"/>
          </w:tcPr>
          <w:p>
            <w:pPr>
              <w:spacing w:after="0"/>
              <w:rPr>
                <w:sz w:val="1"/>
                <w:szCs w:val="1"/>
                <w:color w:val="auto"/>
              </w:rPr>
            </w:pPr>
          </w:p>
        </w:tc>
      </w:tr>
      <w:tr>
        <w:trPr>
          <w:trHeight w:val="206"/>
        </w:trPr>
        <w:tc>
          <w:tcPr>
            <w:tcW w:w="1660" w:type="dxa"/>
            <w:vAlign w:val="bottom"/>
          </w:tcPr>
          <w:p>
            <w:pPr>
              <w:spacing w:after="0"/>
              <w:rPr>
                <w:sz w:val="20"/>
                <w:szCs w:val="20"/>
                <w:color w:val="auto"/>
              </w:rPr>
            </w:pPr>
            <w:r>
              <w:rPr>
                <w:rFonts w:ascii="Arial" w:cs="Arial" w:eastAsia="Arial" w:hAnsi="Arial"/>
                <w:sz w:val="16"/>
                <w:szCs w:val="16"/>
                <w:color w:val="auto"/>
              </w:rPr>
              <w:t>General and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20"/>
                <w:szCs w:val="20"/>
                <w:color w:val="auto"/>
              </w:rPr>
            </w:pPr>
            <w:r>
              <w:rPr>
                <w:rFonts w:ascii="Arial" w:cs="Arial" w:eastAsia="Arial" w:hAnsi="Arial"/>
                <w:sz w:val="16"/>
                <w:szCs w:val="16"/>
                <w:color w:val="auto"/>
              </w:rPr>
              <w:t>administrative expense</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(351)</w:t>
            </w:r>
          </w:p>
        </w:tc>
        <w:tc>
          <w:tcPr>
            <w:tcW w:w="900" w:type="dxa"/>
            <w:vAlign w:val="bottom"/>
            <w:gridSpan w:val="6"/>
          </w:tcPr>
          <w:p>
            <w:pPr>
              <w:jc w:val="right"/>
              <w:spacing w:after="0"/>
              <w:rPr>
                <w:sz w:val="20"/>
                <w:szCs w:val="20"/>
                <w:color w:val="auto"/>
              </w:rPr>
            </w:pPr>
            <w:r>
              <w:rPr>
                <w:rFonts w:ascii="Arial" w:cs="Arial" w:eastAsia="Arial" w:hAnsi="Arial"/>
                <w:sz w:val="16"/>
                <w:szCs w:val="16"/>
                <w:color w:val="auto"/>
              </w:rPr>
              <w:t>(3,422)</w:t>
            </w:r>
          </w:p>
        </w:tc>
        <w:tc>
          <w:tcPr>
            <w:tcW w:w="1080" w:type="dxa"/>
            <w:vAlign w:val="bottom"/>
            <w:gridSpan w:val="4"/>
          </w:tcPr>
          <w:p>
            <w:pPr>
              <w:jc w:val="right"/>
              <w:ind w:right="160"/>
              <w:spacing w:after="0"/>
              <w:rPr>
                <w:sz w:val="20"/>
                <w:szCs w:val="20"/>
                <w:color w:val="auto"/>
              </w:rPr>
            </w:pPr>
            <w:r>
              <w:rPr>
                <w:rFonts w:ascii="Arial" w:cs="Arial" w:eastAsia="Arial" w:hAnsi="Arial"/>
                <w:sz w:val="16"/>
                <w:szCs w:val="16"/>
                <w:color w:val="auto"/>
              </w:rPr>
              <w:t>(4,558)</w:t>
            </w: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(2,549)</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(4,145)</w:t>
            </w:r>
          </w:p>
        </w:tc>
        <w:tc>
          <w:tcPr>
            <w:tcW w:w="80" w:type="dxa"/>
            <w:vAlign w:val="bottom"/>
          </w:tcPr>
          <w:p>
            <w:pPr>
              <w:spacing w:after="0"/>
              <w:rPr>
                <w:sz w:val="18"/>
                <w:szCs w:val="18"/>
                <w:color w:val="auto"/>
              </w:rPr>
            </w:pPr>
          </w:p>
        </w:tc>
        <w:tc>
          <w:tcPr>
            <w:tcW w:w="920" w:type="dxa"/>
            <w:vAlign w:val="bottom"/>
            <w:gridSpan w:val="3"/>
          </w:tcPr>
          <w:p>
            <w:pPr>
              <w:jc w:val="right"/>
              <w:ind w:right="79"/>
              <w:spacing w:after="0"/>
              <w:rPr>
                <w:sz w:val="20"/>
                <w:szCs w:val="20"/>
                <w:color w:val="auto"/>
              </w:rPr>
            </w:pPr>
            <w:r>
              <w:rPr>
                <w:rFonts w:ascii="Arial" w:cs="Arial" w:eastAsia="Arial" w:hAnsi="Arial"/>
                <w:sz w:val="16"/>
                <w:szCs w:val="16"/>
                <w:color w:val="auto"/>
              </w:rPr>
              <w:t>(8,642)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(12,787)</w:t>
            </w:r>
          </w:p>
        </w:tc>
        <w:tc>
          <w:tcPr>
            <w:tcW w:w="0" w:type="dxa"/>
            <w:vAlign w:val="bottom"/>
          </w:tcPr>
          <w:p>
            <w:pPr>
              <w:spacing w:after="0"/>
              <w:rPr>
                <w:sz w:val="1"/>
                <w:szCs w:val="1"/>
                <w:color w:val="auto"/>
              </w:rPr>
            </w:pPr>
          </w:p>
        </w:tc>
      </w:tr>
      <w:tr>
        <w:trPr>
          <w:trHeight w:val="209"/>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Research and</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development expense</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(184)</w:t>
            </w:r>
          </w:p>
        </w:tc>
        <w:tc>
          <w:tcPr>
            <w:tcW w:w="900" w:type="dxa"/>
            <w:vAlign w:val="bottom"/>
            <w:gridSpan w:val="6"/>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(120)</w:t>
            </w:r>
          </w:p>
        </w:tc>
        <w:tc>
          <w:tcPr>
            <w:tcW w:w="140" w:type="dxa"/>
            <w:vAlign w:val="bottom"/>
            <w:tcBorders>
              <w:left w:val="single" w:sz="8" w:color="CFF0FC"/>
            </w:tcBorders>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(2,312)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(2,302)</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(193)</w:t>
            </w: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06"/>
        </w:trPr>
        <w:tc>
          <w:tcPr>
            <w:tcW w:w="1660" w:type="dxa"/>
            <w:vAlign w:val="bottom"/>
          </w:tcPr>
          <w:p>
            <w:pPr>
              <w:spacing w:after="0"/>
              <w:rPr>
                <w:sz w:val="20"/>
                <w:szCs w:val="20"/>
                <w:color w:val="auto"/>
              </w:rPr>
            </w:pPr>
            <w:r>
              <w:rPr>
                <w:rFonts w:ascii="Arial" w:cs="Arial" w:eastAsia="Arial" w:hAnsi="Arial"/>
                <w:sz w:val="16"/>
                <w:szCs w:val="16"/>
                <w:color w:val="auto"/>
              </w:rPr>
              <w:t>Share-based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6"/>
                <w:szCs w:val="16"/>
                <w:color w:val="auto"/>
              </w:rPr>
              <w:t>(2,903)</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2,903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(9,048)</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9,048</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w w:val="91"/>
              </w:rPr>
              <w:t>Total operating expenses</w:t>
            </w: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(8,340)</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00" w:type="dxa"/>
            <w:vAlign w:val="bottom"/>
            <w:gridSpan w:val="6"/>
            <w:shd w:val="clear" w:color="auto" w:fill="CFF0FC"/>
          </w:tcPr>
          <w:p>
            <w:pPr>
              <w:jc w:val="right"/>
              <w:spacing w:after="0"/>
              <w:rPr>
                <w:sz w:val="20"/>
                <w:szCs w:val="20"/>
                <w:color w:val="auto"/>
              </w:rPr>
            </w:pPr>
            <w:r>
              <w:rPr>
                <w:rFonts w:ascii="Arial" w:cs="Arial" w:eastAsia="Arial" w:hAnsi="Arial"/>
                <w:sz w:val="16"/>
                <w:szCs w:val="16"/>
                <w:color w:val="auto"/>
              </w:rPr>
              <w:t>(8,340)</w:t>
            </w: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(13,391)</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(13,391)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w w:val="93"/>
              </w:rPr>
              <w:t>(19,657)</w:t>
            </w:r>
          </w:p>
        </w:tc>
        <w:tc>
          <w:tcPr>
            <w:tcW w:w="8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(19,657)</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6"/>
                <w:szCs w:val="16"/>
                <w:color w:val="auto"/>
              </w:rPr>
              <w:t>Operating loss</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(3,658)</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Arial" w:cs="Arial" w:eastAsia="Arial" w:hAnsi="Arial"/>
                <w:sz w:val="16"/>
                <w:szCs w:val="16"/>
                <w:color w:val="auto"/>
              </w:rPr>
              <w:t>(3,658)</w:t>
            </w:r>
          </w:p>
        </w:tc>
        <w:tc>
          <w:tcPr>
            <w:tcW w:w="1080" w:type="dxa"/>
            <w:vAlign w:val="bottom"/>
            <w:gridSpan w:val="4"/>
          </w:tcPr>
          <w:p>
            <w:pPr>
              <w:jc w:val="right"/>
              <w:ind w:right="160"/>
              <w:spacing w:after="0"/>
              <w:rPr>
                <w:sz w:val="20"/>
                <w:szCs w:val="20"/>
                <w:color w:val="auto"/>
              </w:rPr>
            </w:pPr>
            <w:r>
              <w:rPr>
                <w:rFonts w:ascii="Arial" w:cs="Arial" w:eastAsia="Arial" w:hAnsi="Arial"/>
                <w:sz w:val="16"/>
                <w:szCs w:val="16"/>
                <w:color w:val="auto"/>
              </w:rPr>
              <w:t>(10,592)</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(10,592)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w w:val="93"/>
              </w:rPr>
              <w:t>(15,406)</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(15,406)</w:t>
            </w:r>
          </w:p>
        </w:tc>
        <w:tc>
          <w:tcPr>
            <w:tcW w:w="0" w:type="dxa"/>
            <w:vAlign w:val="bottom"/>
          </w:tcPr>
          <w:p>
            <w:pPr>
              <w:spacing w:after="0"/>
              <w:rPr>
                <w:sz w:val="1"/>
                <w:szCs w:val="1"/>
                <w:color w:val="auto"/>
              </w:rPr>
            </w:pPr>
          </w:p>
        </w:tc>
      </w:tr>
      <w:tr>
        <w:trPr>
          <w:trHeight w:val="209"/>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taxes</w:t>
            </w: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(3,566)</w:t>
            </w: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00" w:type="dxa"/>
            <w:vAlign w:val="bottom"/>
            <w:gridSpan w:val="6"/>
            <w:shd w:val="clear" w:color="auto" w:fill="CFF0FC"/>
          </w:tcPr>
          <w:p>
            <w:pPr>
              <w:jc w:val="right"/>
              <w:spacing w:after="0"/>
              <w:rPr>
                <w:sz w:val="20"/>
                <w:szCs w:val="20"/>
                <w:color w:val="auto"/>
              </w:rPr>
            </w:pPr>
            <w:r>
              <w:rPr>
                <w:rFonts w:ascii="Arial" w:cs="Arial" w:eastAsia="Arial" w:hAnsi="Arial"/>
                <w:sz w:val="16"/>
                <w:szCs w:val="16"/>
                <w:color w:val="auto"/>
              </w:rPr>
              <w:t>(3,566)</w:t>
            </w: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(10,502)</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(10,502)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w w:val="93"/>
              </w:rPr>
              <w:t>(15,048)</w:t>
            </w:r>
          </w:p>
        </w:tc>
        <w:tc>
          <w:tcPr>
            <w:tcW w:w="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(15,048)</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(3,566)</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Arial" w:cs="Arial" w:eastAsia="Arial" w:hAnsi="Arial"/>
                <w:sz w:val="16"/>
                <w:szCs w:val="16"/>
                <w:color w:val="auto"/>
              </w:rPr>
              <w:t>(3,566)</w:t>
            </w:r>
          </w:p>
        </w:tc>
        <w:tc>
          <w:tcPr>
            <w:tcW w:w="1080" w:type="dxa"/>
            <w:vAlign w:val="bottom"/>
            <w:gridSpan w:val="4"/>
          </w:tcPr>
          <w:p>
            <w:pPr>
              <w:jc w:val="right"/>
              <w:ind w:right="160"/>
              <w:spacing w:after="0"/>
              <w:rPr>
                <w:sz w:val="20"/>
                <w:szCs w:val="20"/>
                <w:color w:val="auto"/>
              </w:rPr>
            </w:pPr>
            <w:r>
              <w:rPr>
                <w:rFonts w:ascii="Arial" w:cs="Arial" w:eastAsia="Arial" w:hAnsi="Arial"/>
                <w:sz w:val="16"/>
                <w:szCs w:val="16"/>
                <w:color w:val="auto"/>
              </w:rPr>
              <w:t>(10,502)</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(10,502)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w w:val="93"/>
              </w:rPr>
              <w:t>(15,048)</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(15,048)</w:t>
            </w:r>
          </w:p>
        </w:tc>
        <w:tc>
          <w:tcPr>
            <w:tcW w:w="0" w:type="dxa"/>
            <w:vAlign w:val="bottom"/>
          </w:tcPr>
          <w:p>
            <w:pPr>
              <w:spacing w:after="0"/>
              <w:rPr>
                <w:sz w:val="1"/>
                <w:szCs w:val="1"/>
                <w:color w:val="auto"/>
              </w:rPr>
            </w:pPr>
          </w:p>
        </w:tc>
      </w:tr>
      <w:tr>
        <w:trPr>
          <w:trHeight w:val="867"/>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11"/>
          </w:tcPr>
          <w:p>
            <w:pPr>
              <w:ind w:left="40"/>
              <w:spacing w:after="0"/>
              <w:rPr>
                <w:sz w:val="20"/>
                <w:szCs w:val="20"/>
                <w:color w:val="auto"/>
              </w:rPr>
            </w:pPr>
            <w:r>
              <w:rPr>
                <w:rFonts w:ascii="Arial" w:cs="Arial" w:eastAsia="Arial" w:hAnsi="Arial"/>
                <w:sz w:val="16"/>
                <w:szCs w:val="16"/>
                <w:b w:val="1"/>
                <w:bCs w:val="1"/>
                <w:color w:val="auto"/>
                <w:w w:val="92"/>
              </w:rPr>
              <w:t>Quarter-ended June 30, 2020</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15"/>
          </w:tcPr>
          <w:p>
            <w:pPr>
              <w:jc w:val="right"/>
              <w:ind w:right="620"/>
              <w:spacing w:after="0"/>
              <w:rPr>
                <w:sz w:val="20"/>
                <w:szCs w:val="20"/>
                <w:color w:val="auto"/>
              </w:rPr>
            </w:pPr>
            <w:r>
              <w:rPr>
                <w:rFonts w:ascii="Arial" w:cs="Arial" w:eastAsia="Arial" w:hAnsi="Arial"/>
                <w:sz w:val="16"/>
                <w:szCs w:val="16"/>
                <w:b w:val="1"/>
                <w:bCs w:val="1"/>
                <w:color w:val="auto"/>
              </w:rPr>
              <w:t>Quarter-ended September 30, 2020</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As</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As previously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7"/>
                <w:szCs w:val="17"/>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7"/>
              </w:rPr>
              <w:t>As</w:t>
            </w:r>
          </w:p>
        </w:tc>
        <w:tc>
          <w:tcPr>
            <w:tcW w:w="82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previously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ind w:left="240"/>
              <w:spacing w:after="0"/>
              <w:rPr>
                <w:sz w:val="20"/>
                <w:szCs w:val="20"/>
                <w:color w:val="auto"/>
              </w:rPr>
            </w:pPr>
            <w:r>
              <w:rPr>
                <w:rFonts w:ascii="Arial" w:cs="Arial" w:eastAsia="Arial" w:hAnsi="Arial"/>
                <w:sz w:val="16"/>
                <w:szCs w:val="16"/>
                <w:b w:val="1"/>
                <w:bCs w:val="1"/>
                <w:color w:val="auto"/>
                <w:w w:val="95"/>
              </w:rPr>
              <w:t>Amount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b w:val="1"/>
                <w:bCs w:val="1"/>
                <w:color w:val="auto"/>
                <w:w w:val="87"/>
              </w:rPr>
              <w:t>As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reported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reclassified</w:t>
            </w:r>
          </w:p>
        </w:tc>
        <w:tc>
          <w:tcPr>
            <w:tcW w:w="320" w:type="dxa"/>
            <w:vAlign w:val="bottom"/>
            <w:gridSpan w:val="2"/>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260" w:type="dxa"/>
            <w:vAlign w:val="bottom"/>
            <w:gridSpan w:val="2"/>
          </w:tcPr>
          <w:p>
            <w:pPr>
              <w:spacing w:after="0"/>
              <w:rPr>
                <w:sz w:val="18"/>
                <w:szCs w:val="18"/>
                <w:color w:val="auto"/>
              </w:rPr>
            </w:pPr>
          </w:p>
        </w:tc>
        <w:tc>
          <w:tcPr>
            <w:tcW w:w="820" w:type="dxa"/>
            <w:vAlign w:val="bottom"/>
            <w:gridSpan w:val="3"/>
          </w:tcPr>
          <w:p>
            <w:pPr>
              <w:ind w:left="60"/>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6"/>
          </w:tcPr>
          <w:p>
            <w:pPr>
              <w:ind w:left="240"/>
              <w:spacing w:after="0"/>
              <w:rPr>
                <w:sz w:val="20"/>
                <w:szCs w:val="20"/>
                <w:color w:val="auto"/>
              </w:rPr>
            </w:pPr>
            <w:r>
              <w:rPr>
                <w:rFonts w:ascii="Arial" w:cs="Arial" w:eastAsia="Arial" w:hAnsi="Arial"/>
                <w:sz w:val="16"/>
                <w:szCs w:val="16"/>
                <w:b w:val="1"/>
                <w:bCs w:val="1"/>
                <w:color w:val="auto"/>
              </w:rPr>
              <w:t>reclassified</w:t>
            </w:r>
          </w:p>
        </w:tc>
        <w:tc>
          <w:tcPr>
            <w:tcW w:w="960" w:type="dxa"/>
            <w:vAlign w:val="bottom"/>
            <w:gridSpan w:val="4"/>
          </w:tcPr>
          <w:p>
            <w:pPr>
              <w:spacing w:after="0"/>
              <w:rPr>
                <w:sz w:val="20"/>
                <w:szCs w:val="20"/>
                <w:color w:val="auto"/>
              </w:rPr>
            </w:pPr>
            <w:r>
              <w:rPr>
                <w:rFonts w:ascii="Arial" w:cs="Arial" w:eastAsia="Arial" w:hAnsi="Arial"/>
                <w:sz w:val="16"/>
                <w:szCs w:val="16"/>
                <w:b w:val="1"/>
                <w:bCs w:val="1"/>
                <w:color w:val="auto"/>
              </w:rPr>
              <w:t>Reported</w:t>
            </w:r>
          </w:p>
        </w:tc>
        <w:tc>
          <w:tcPr>
            <w:tcW w:w="0" w:type="dxa"/>
            <w:vAlign w:val="bottom"/>
          </w:tcPr>
          <w:p>
            <w:pPr>
              <w:spacing w:after="0"/>
              <w:rPr>
                <w:sz w:val="1"/>
                <w:szCs w:val="1"/>
                <w:color w:val="auto"/>
              </w:rPr>
            </w:pPr>
          </w:p>
        </w:tc>
      </w:tr>
      <w:tr>
        <w:trPr>
          <w:trHeight w:val="20"/>
        </w:trPr>
        <w:tc>
          <w:tcPr>
            <w:tcW w:w="2640" w:type="dxa"/>
            <w:vAlign w:val="bottom"/>
            <w:gridSpan w:val="4"/>
            <w:vMerge w:val="restart"/>
            <w:shd w:val="clear" w:color="auto" w:fill="CFF0FC"/>
          </w:tcPr>
          <w:p>
            <w:pPr>
              <w:spacing w:after="0"/>
              <w:rPr>
                <w:sz w:val="20"/>
                <w:szCs w:val="20"/>
                <w:color w:val="auto"/>
              </w:rPr>
            </w:pPr>
            <w:r>
              <w:rPr>
                <w:rFonts w:ascii="Arial" w:cs="Arial" w:eastAsia="Arial" w:hAnsi="Arial"/>
                <w:sz w:val="16"/>
                <w:szCs w:val="16"/>
                <w:color w:val="auto"/>
              </w:rPr>
              <w:t>Sales and marketing expense</w:t>
            </w: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40" w:type="dxa"/>
            <w:vAlign w:val="bottom"/>
            <w:gridSpan w:val="4"/>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w w:val="98"/>
              </w:rPr>
              <w:t>(3,951)</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(309)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(4,260)</w:t>
            </w:r>
          </w:p>
        </w:tc>
        <w:tc>
          <w:tcPr>
            <w:tcW w:w="14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(2,935)</w:t>
            </w:r>
          </w:p>
        </w:tc>
        <w:tc>
          <w:tcPr>
            <w:tcW w:w="5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(330)</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13"/>
        </w:trPr>
        <w:tc>
          <w:tcPr>
            <w:tcW w:w="2640" w:type="dxa"/>
            <w:vAlign w:val="bottom"/>
            <w:gridSpan w:val="4"/>
          </w:tcPr>
          <w:p>
            <w:pPr>
              <w:spacing w:after="0"/>
              <w:rPr>
                <w:sz w:val="20"/>
                <w:szCs w:val="20"/>
                <w:color w:val="auto"/>
              </w:rPr>
            </w:pPr>
            <w:r>
              <w:rPr>
                <w:rFonts w:ascii="Arial" w:cs="Arial" w:eastAsia="Arial" w:hAnsi="Arial"/>
                <w:sz w:val="16"/>
                <w:szCs w:val="16"/>
                <w:color w:val="auto"/>
              </w:rPr>
              <w:t>General and administrative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6"/>
                <w:szCs w:val="16"/>
                <w:color w:val="auto"/>
                <w:w w:val="98"/>
              </w:rPr>
              <w:t>(6,361)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(3,348)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(9,709)</w:t>
            </w:r>
          </w:p>
        </w:tc>
        <w:tc>
          <w:tcPr>
            <w:tcW w:w="14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6"/>
                <w:szCs w:val="16"/>
                <w:color w:val="auto"/>
              </w:rPr>
              <w:t>(5,536)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(2,766)</w:t>
            </w:r>
          </w:p>
        </w:tc>
        <w:tc>
          <w:tcPr>
            <w:tcW w:w="2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(8,302)</w:t>
            </w:r>
          </w:p>
        </w:tc>
        <w:tc>
          <w:tcPr>
            <w:tcW w:w="0" w:type="dxa"/>
            <w:vAlign w:val="bottom"/>
          </w:tcPr>
          <w:p>
            <w:pPr>
              <w:spacing w:after="0"/>
              <w:rPr>
                <w:sz w:val="1"/>
                <w:szCs w:val="1"/>
                <w:color w:val="auto"/>
              </w:rPr>
            </w:pPr>
          </w:p>
        </w:tc>
      </w:tr>
      <w:tr>
        <w:trPr>
          <w:trHeight w:val="219"/>
        </w:trPr>
        <w:tc>
          <w:tcPr>
            <w:tcW w:w="264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Research and development expense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w w:val="98"/>
              </w:rPr>
              <w:t>(2,332)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(2,538)</w:t>
            </w:r>
          </w:p>
        </w:tc>
        <w:tc>
          <w:tcPr>
            <w:tcW w:w="140" w:type="dxa"/>
            <w:vAlign w:val="bottom"/>
            <w:tcBorders>
              <w:left w:val="single" w:sz="8" w:color="CFF0FC"/>
            </w:tcBorders>
            <w:shd w:val="clear" w:color="auto" w:fill="CFF0FC"/>
          </w:tcPr>
          <w:p>
            <w:pPr>
              <w:spacing w:after="0"/>
              <w:rPr>
                <w:sz w:val="19"/>
                <w:szCs w:val="19"/>
                <w:color w:val="auto"/>
              </w:rPr>
            </w:pPr>
          </w:p>
        </w:tc>
        <w:tc>
          <w:tcPr>
            <w:tcW w:w="94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(3,204)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(170)</w:t>
            </w: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13"/>
        </w:trPr>
        <w:tc>
          <w:tcPr>
            <w:tcW w:w="1740" w:type="dxa"/>
            <w:vAlign w:val="bottom"/>
            <w:gridSpan w:val="2"/>
          </w:tcPr>
          <w:p>
            <w:pPr>
              <w:spacing w:after="0"/>
              <w:rPr>
                <w:sz w:val="20"/>
                <w:szCs w:val="20"/>
                <w:color w:val="auto"/>
              </w:rPr>
            </w:pPr>
            <w:r>
              <w:rPr>
                <w:rFonts w:ascii="Arial" w:cs="Arial" w:eastAsia="Arial" w:hAnsi="Arial"/>
                <w:sz w:val="16"/>
                <w:szCs w:val="16"/>
                <w:color w:val="auto"/>
                <w:w w:val="87"/>
              </w:rPr>
              <w:t>Share-based compensation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6"/>
                <w:szCs w:val="16"/>
                <w:color w:val="auto"/>
                <w:w w:val="98"/>
              </w:rPr>
              <w:t>(3,863)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3,863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6"/>
                <w:szCs w:val="16"/>
                <w:color w:val="auto"/>
              </w:rPr>
              <w:t>(3,266)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3,266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w w:val="91"/>
              </w:rPr>
              <w:t>Total operating expenses</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6"/>
            <w:shd w:val="clear" w:color="auto" w:fill="CFF0FC"/>
          </w:tcPr>
          <w:p>
            <w:pPr>
              <w:jc w:val="right"/>
              <w:ind w:right="180"/>
              <w:spacing w:after="0"/>
              <w:rPr>
                <w:sz w:val="20"/>
                <w:szCs w:val="20"/>
                <w:color w:val="auto"/>
              </w:rPr>
            </w:pPr>
            <w:r>
              <w:rPr>
                <w:rFonts w:ascii="Arial" w:cs="Arial" w:eastAsia="Arial" w:hAnsi="Arial"/>
                <w:sz w:val="16"/>
                <w:szCs w:val="16"/>
                <w:color w:val="auto"/>
              </w:rPr>
              <w:t>(16,507)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(16,507)</w:t>
            </w:r>
          </w:p>
        </w:tc>
        <w:tc>
          <w:tcPr>
            <w:tcW w:w="140" w:type="dxa"/>
            <w:vAlign w:val="bottom"/>
            <w:tcBorders>
              <w:left w:val="single" w:sz="8" w:color="CFF0FC"/>
            </w:tcBorders>
            <w:shd w:val="clear" w:color="auto" w:fill="CFF0FC"/>
          </w:tcPr>
          <w:p>
            <w:pPr>
              <w:spacing w:after="0"/>
              <w:rPr>
                <w:sz w:val="19"/>
                <w:szCs w:val="19"/>
                <w:color w:val="auto"/>
              </w:rPr>
            </w:pPr>
          </w:p>
        </w:tc>
        <w:tc>
          <w:tcPr>
            <w:tcW w:w="94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(14,941)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(14,941)</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6"/>
                <w:szCs w:val="16"/>
                <w:color w:val="auto"/>
              </w:rPr>
              <w:t>Operating loss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6"/>
          </w:tcPr>
          <w:p>
            <w:pPr>
              <w:jc w:val="right"/>
              <w:ind w:right="180"/>
              <w:spacing w:after="0"/>
              <w:rPr>
                <w:sz w:val="20"/>
                <w:szCs w:val="20"/>
                <w:color w:val="auto"/>
              </w:rPr>
            </w:pPr>
            <w:r>
              <w:rPr>
                <w:rFonts w:ascii="Arial" w:cs="Arial" w:eastAsia="Arial" w:hAnsi="Arial"/>
                <w:sz w:val="16"/>
                <w:szCs w:val="16"/>
                <w:color w:val="auto"/>
              </w:rPr>
              <w:t>(13,023)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(13,023)</w:t>
            </w:r>
          </w:p>
        </w:tc>
        <w:tc>
          <w:tcPr>
            <w:tcW w:w="14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6"/>
                <w:szCs w:val="16"/>
                <w:color w:val="auto"/>
              </w:rPr>
              <w:t>(10,214)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(10,214)</w:t>
            </w:r>
          </w:p>
        </w:tc>
        <w:tc>
          <w:tcPr>
            <w:tcW w:w="0" w:type="dxa"/>
            <w:vAlign w:val="bottom"/>
          </w:tcPr>
          <w:p>
            <w:pPr>
              <w:spacing w:after="0"/>
              <w:rPr>
                <w:sz w:val="1"/>
                <w:szCs w:val="1"/>
                <w:color w:val="auto"/>
              </w:rPr>
            </w:pPr>
          </w:p>
        </w:tc>
      </w:tr>
      <w:tr>
        <w:trPr>
          <w:trHeight w:val="219"/>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w w:val="89"/>
              </w:rPr>
              <w:t>Loss before income taxes</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6"/>
            <w:shd w:val="clear" w:color="auto" w:fill="CFF0FC"/>
          </w:tcPr>
          <w:p>
            <w:pPr>
              <w:jc w:val="right"/>
              <w:ind w:right="180"/>
              <w:spacing w:after="0"/>
              <w:rPr>
                <w:sz w:val="20"/>
                <w:szCs w:val="20"/>
                <w:color w:val="auto"/>
              </w:rPr>
            </w:pPr>
            <w:r>
              <w:rPr>
                <w:rFonts w:ascii="Arial" w:cs="Arial" w:eastAsia="Arial" w:hAnsi="Arial"/>
                <w:sz w:val="16"/>
                <w:szCs w:val="16"/>
                <w:color w:val="auto"/>
              </w:rPr>
              <w:t>(12,910)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(12,910)</w:t>
            </w:r>
          </w:p>
        </w:tc>
        <w:tc>
          <w:tcPr>
            <w:tcW w:w="140" w:type="dxa"/>
            <w:vAlign w:val="bottom"/>
            <w:tcBorders>
              <w:left w:val="single" w:sz="8" w:color="CFF0FC"/>
            </w:tcBorders>
            <w:shd w:val="clear" w:color="auto" w:fill="CFF0FC"/>
          </w:tcPr>
          <w:p>
            <w:pPr>
              <w:spacing w:after="0"/>
              <w:rPr>
                <w:sz w:val="19"/>
                <w:szCs w:val="19"/>
                <w:color w:val="auto"/>
              </w:rPr>
            </w:pPr>
          </w:p>
        </w:tc>
        <w:tc>
          <w:tcPr>
            <w:tcW w:w="94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(10,217)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(10,217)</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6"/>
          </w:tcPr>
          <w:p>
            <w:pPr>
              <w:jc w:val="right"/>
              <w:ind w:right="180"/>
              <w:spacing w:after="0"/>
              <w:rPr>
                <w:sz w:val="20"/>
                <w:szCs w:val="20"/>
                <w:color w:val="auto"/>
              </w:rPr>
            </w:pPr>
            <w:r>
              <w:rPr>
                <w:rFonts w:ascii="Arial" w:cs="Arial" w:eastAsia="Arial" w:hAnsi="Arial"/>
                <w:sz w:val="16"/>
                <w:szCs w:val="16"/>
                <w:color w:val="auto"/>
              </w:rPr>
              <w:t>(12,914)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(12,914)</w:t>
            </w:r>
          </w:p>
        </w:tc>
        <w:tc>
          <w:tcPr>
            <w:tcW w:w="14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6"/>
                <w:szCs w:val="16"/>
                <w:color w:val="auto"/>
              </w:rPr>
              <w:t>(10,227)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(10,227)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Company has considered all events occurring subsequent to June 30, 2021 and has concluded that all significant events have been disclosed in the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125" w:right="499" w:bottom="1440" w:gutter="0" w:footer="0" w:header="0"/>
        </w:sectPr>
      </w:pPr>
    </w:p>
    <w:bookmarkStart w:id="98" w:name="page99"/>
    <w:bookmarkEnd w:id="98"/>
    <w:p>
      <w:pPr>
        <w:spacing w:after="0" w:line="200" w:lineRule="exact"/>
        <w:rPr>
          <w:sz w:val="20"/>
          <w:szCs w:val="20"/>
          <w:color w:val="auto"/>
        </w:rPr>
      </w:pPr>
    </w:p>
    <w:p>
      <w:pPr>
        <w:spacing w:after="0" w:line="326" w:lineRule="exact"/>
        <w:rPr>
          <w:sz w:val="20"/>
          <w:szCs w:val="20"/>
          <w:color w:val="auto"/>
        </w:rPr>
      </w:pPr>
    </w:p>
    <w:p>
      <w:pPr>
        <w:jc w:val="center"/>
        <w:ind w:left="2060"/>
        <w:spacing w:after="0"/>
        <w:rPr>
          <w:sz w:val="20"/>
          <w:szCs w:val="20"/>
          <w:color w:val="auto"/>
        </w:rPr>
      </w:pPr>
      <w:r>
        <w:rPr>
          <w:rFonts w:ascii="Arial" w:cs="Arial" w:eastAsia="Arial" w:hAnsi="Arial"/>
          <w:sz w:val="78"/>
          <w:szCs w:val="78"/>
          <w:u w:val="single" w:color="auto"/>
          <w:color w:val="auto"/>
        </w:rPr>
        <w:t>Delaware</w:t>
      </w:r>
    </w:p>
    <w:p>
      <w:pPr>
        <w:spacing w:after="0" w:line="165" w:lineRule="exact"/>
        <w:rPr>
          <w:sz w:val="20"/>
          <w:szCs w:val="20"/>
          <w:color w:val="auto"/>
        </w:rPr>
      </w:pPr>
    </w:p>
    <w:p>
      <w:pPr>
        <w:ind w:left="4140"/>
        <w:spacing w:after="0"/>
        <w:rPr>
          <w:sz w:val="20"/>
          <w:szCs w:val="20"/>
          <w:color w:val="auto"/>
        </w:rPr>
      </w:pPr>
      <w:r>
        <w:rPr>
          <w:rFonts w:ascii="Arial" w:cs="Arial" w:eastAsia="Arial" w:hAnsi="Arial"/>
          <w:sz w:val="29"/>
          <w:szCs w:val="29"/>
          <w:color w:val="auto"/>
        </w:rPr>
        <w:t>The First State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0"/>
        <w:spacing w:after="0"/>
        <w:rPr>
          <w:sz w:val="20"/>
          <w:szCs w:val="20"/>
          <w:color w:val="auto"/>
        </w:rPr>
      </w:pPr>
      <w:r>
        <w:rPr>
          <w:rFonts w:ascii="Arial" w:cs="Arial" w:eastAsia="Arial" w:hAnsi="Arial"/>
          <w:sz w:val="15"/>
          <w:szCs w:val="15"/>
          <w:color w:val="auto"/>
        </w:rPr>
        <w:t>Page 1</w:t>
      </w:r>
    </w:p>
    <w:p>
      <w:pPr>
        <w:spacing w:after="0" w:line="969" w:lineRule="exact"/>
        <w:rPr>
          <w:sz w:val="20"/>
          <w:szCs w:val="20"/>
          <w:color w:val="auto"/>
        </w:rPr>
      </w:pPr>
    </w:p>
    <w:p>
      <w:pPr>
        <w:sectPr>
          <w:pgSz w:w="11900" w:h="16838" w:orient="portrait"/>
          <w:cols w:equalWidth="0" w:num="2">
            <w:col w:w="7920" w:space="720"/>
            <w:col w:w="2480"/>
          </w:cols>
          <w:pgMar w:left="4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right="1800" w:firstLine="610"/>
        <w:spacing w:after="0" w:line="230" w:lineRule="auto"/>
        <w:rPr>
          <w:sz w:val="20"/>
          <w:szCs w:val="20"/>
          <w:color w:val="auto"/>
        </w:rPr>
      </w:pPr>
      <w:r>
        <w:rPr>
          <w:rFonts w:ascii="Courier New" w:cs="Courier New" w:eastAsia="Courier New" w:hAnsi="Courier New"/>
          <w:sz w:val="20"/>
          <w:szCs w:val="20"/>
          <w:b w:val="1"/>
          <w:bCs w:val="1"/>
          <w:i w:val="1"/>
          <w:iCs w:val="1"/>
          <w:color w:val="auto"/>
        </w:rPr>
        <w:t>I, JEFFREY W. BULLOCK, SECRETARY OF STATE OF THE STATE OF DELAWARE, DO HEREBY CERTIFY THE ATTACHED IS A TRUE AND CORRECT COPY OF THE CERTIFICATE OF AMENDMENT OF “AVITA THERAPEUTICS, INC.”, CHANGING ITS NAME FROM "AVITA THERAPEUTICS, INC." TO "AVITA MEDICAL, INC.", FILED IN THIS OFFICE ON THE SECOND DAY OF DECEMBER, A.D. 2020, AT 8:40 O`CLOCK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2381250</wp:posOffset>
            </wp:positionV>
            <wp:extent cx="3960495" cy="14573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39604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200" w:type="dxa"/>
            <w:vAlign w:val="bottom"/>
          </w:tcPr>
          <w:p>
            <w:pPr>
              <w:spacing w:after="0"/>
              <w:rPr>
                <w:sz w:val="20"/>
                <w:szCs w:val="20"/>
                <w:color w:val="auto"/>
              </w:rPr>
            </w:pPr>
            <w:r>
              <w:rPr>
                <w:rFonts w:ascii="Arial" w:cs="Arial" w:eastAsia="Arial" w:hAnsi="Arial"/>
                <w:sz w:val="22"/>
                <w:szCs w:val="22"/>
                <w:color w:val="auto"/>
              </w:rPr>
              <w:t>7906862 8100</w:t>
            </w:r>
          </w:p>
        </w:tc>
        <w:tc>
          <w:tcPr>
            <w:tcW w:w="5920" w:type="dxa"/>
            <w:vAlign w:val="bottom"/>
          </w:tcPr>
          <w:p>
            <w:pPr>
              <w:jc w:val="right"/>
              <w:spacing w:after="0"/>
              <w:rPr>
                <w:sz w:val="20"/>
                <w:szCs w:val="20"/>
                <w:color w:val="auto"/>
              </w:rPr>
            </w:pPr>
            <w:r>
              <w:rPr>
                <w:rFonts w:ascii="Arial" w:cs="Arial" w:eastAsia="Arial" w:hAnsi="Arial"/>
                <w:sz w:val="22"/>
                <w:szCs w:val="22"/>
                <w:color w:val="auto"/>
              </w:rPr>
              <w:t>Authentication: 204206702</w:t>
            </w:r>
          </w:p>
        </w:tc>
      </w:tr>
      <w:tr>
        <w:trPr>
          <w:trHeight w:val="310"/>
        </w:trPr>
        <w:tc>
          <w:tcPr>
            <w:tcW w:w="5200" w:type="dxa"/>
            <w:vAlign w:val="bottom"/>
          </w:tcPr>
          <w:p>
            <w:pPr>
              <w:spacing w:after="0"/>
              <w:rPr>
                <w:sz w:val="20"/>
                <w:szCs w:val="20"/>
                <w:color w:val="auto"/>
              </w:rPr>
            </w:pPr>
            <w:r>
              <w:rPr>
                <w:rFonts w:ascii="Arial" w:cs="Arial" w:eastAsia="Arial" w:hAnsi="Arial"/>
                <w:sz w:val="22"/>
                <w:szCs w:val="22"/>
                <w:color w:val="auto"/>
              </w:rPr>
              <w:t>SR# 20208532389</w:t>
            </w:r>
          </w:p>
        </w:tc>
        <w:tc>
          <w:tcPr>
            <w:tcW w:w="5920" w:type="dxa"/>
            <w:vAlign w:val="bottom"/>
          </w:tcPr>
          <w:p>
            <w:pPr>
              <w:jc w:val="right"/>
              <w:spacing w:after="0"/>
              <w:rPr>
                <w:sz w:val="20"/>
                <w:szCs w:val="20"/>
                <w:color w:val="auto"/>
              </w:rPr>
            </w:pPr>
            <w:r>
              <w:rPr>
                <w:rFonts w:ascii="Arial" w:cs="Arial" w:eastAsia="Arial" w:hAnsi="Arial"/>
                <w:sz w:val="22"/>
                <w:szCs w:val="22"/>
                <w:color w:val="auto"/>
              </w:rPr>
              <w:t>Date: 12-02-20</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You may verify this certificate online at 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508635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type w:val="continuous"/>
        </w:sectPr>
      </w:pPr>
    </w:p>
    <w:bookmarkStart w:id="99" w:name="page100"/>
    <w:bookmarkEnd w:id="99"/>
    <w:p>
      <w:pPr>
        <w:spacing w:after="0" w:line="250" w:lineRule="exact"/>
        <w:rPr>
          <w:sz w:val="20"/>
          <w:szCs w:val="20"/>
          <w:color w:val="auto"/>
        </w:rPr>
      </w:pPr>
    </w:p>
    <w:p>
      <w:pPr>
        <w:jc w:val="center"/>
        <w:ind w:left="2180"/>
        <w:spacing w:after="0"/>
        <w:rPr>
          <w:sz w:val="20"/>
          <w:szCs w:val="20"/>
          <w:color w:val="auto"/>
        </w:rPr>
      </w:pPr>
      <w:r>
        <w:rPr>
          <w:rFonts w:ascii="Arial" w:cs="Arial" w:eastAsia="Arial" w:hAnsi="Arial"/>
          <w:sz w:val="21"/>
          <w:szCs w:val="21"/>
          <w:b w:val="1"/>
          <w:bCs w:val="1"/>
          <w:u w:val="single" w:color="auto"/>
          <w:color w:val="050505"/>
        </w:rPr>
        <w:t>AVITA THERAPEUTICS, INC.</w:t>
      </w:r>
    </w:p>
    <w:p>
      <w:pPr>
        <w:spacing w:after="0" w:line="272" w:lineRule="exact"/>
        <w:rPr>
          <w:sz w:val="20"/>
          <w:szCs w:val="20"/>
          <w:color w:val="auto"/>
        </w:rPr>
      </w:pPr>
    </w:p>
    <w:p>
      <w:pPr>
        <w:ind w:left="2880"/>
        <w:spacing w:after="0"/>
        <w:rPr>
          <w:sz w:val="20"/>
          <w:szCs w:val="20"/>
          <w:color w:val="auto"/>
        </w:rPr>
      </w:pPr>
      <w:r>
        <w:rPr>
          <w:rFonts w:ascii="Arial" w:cs="Arial" w:eastAsia="Arial" w:hAnsi="Arial"/>
          <w:sz w:val="21"/>
          <w:szCs w:val="21"/>
          <w:b w:val="1"/>
          <w:bCs w:val="1"/>
          <w:color w:val="050505"/>
        </w:rPr>
        <w:t>CERTIFICATE OF AMENDMENT OF</w:t>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21"/>
          <w:szCs w:val="21"/>
          <w:b w:val="1"/>
          <w:bCs w:val="1"/>
          <w:color w:val="050505"/>
        </w:rPr>
        <w:t>CERTIFICATE OF INCORPORATION</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5"/>
          <w:szCs w:val="15"/>
          <w:color w:val="1D1A26"/>
        </w:rPr>
        <w:t>Sta</w:t>
      </w:r>
      <w:r>
        <w:rPr>
          <w:rFonts w:ascii="Arial" w:cs="Arial" w:eastAsia="Arial" w:hAnsi="Arial"/>
          <w:sz w:val="15"/>
          <w:szCs w:val="15"/>
          <w:color w:val="050505"/>
        </w:rPr>
        <w:t>t</w:t>
      </w:r>
      <w:r>
        <w:rPr>
          <w:rFonts w:ascii="Arial" w:cs="Arial" w:eastAsia="Arial" w:hAnsi="Arial"/>
          <w:sz w:val="15"/>
          <w:szCs w:val="15"/>
          <w:color w:val="2D2A36"/>
        </w:rPr>
        <w:t>e of</w:t>
      </w:r>
    </w:p>
    <w:p>
      <w:pPr>
        <w:jc w:val="center"/>
        <w:ind w:right="1820"/>
        <w:spacing w:after="0" w:line="227" w:lineRule="auto"/>
        <w:rPr>
          <w:sz w:val="20"/>
          <w:szCs w:val="20"/>
          <w:color w:val="auto"/>
        </w:rPr>
      </w:pPr>
      <w:r>
        <w:rPr>
          <w:rFonts w:ascii="Arial" w:cs="Arial" w:eastAsia="Arial" w:hAnsi="Arial"/>
          <w:sz w:val="15"/>
          <w:szCs w:val="15"/>
          <w:color w:val="050505"/>
        </w:rPr>
        <w:t>D</w:t>
      </w:r>
      <w:r>
        <w:rPr>
          <w:rFonts w:ascii="Arial" w:cs="Arial" w:eastAsia="Arial" w:hAnsi="Arial"/>
          <w:sz w:val="15"/>
          <w:szCs w:val="15"/>
          <w:color w:val="2D2A36"/>
        </w:rPr>
        <w:t>elaware</w:t>
      </w:r>
    </w:p>
    <w:p>
      <w:pPr>
        <w:ind w:left="100"/>
        <w:spacing w:after="0" w:line="225" w:lineRule="auto"/>
        <w:rPr>
          <w:sz w:val="20"/>
          <w:szCs w:val="20"/>
          <w:color w:val="auto"/>
        </w:rPr>
      </w:pPr>
      <w:r>
        <w:rPr>
          <w:rFonts w:ascii="Arial" w:cs="Arial" w:eastAsia="Arial" w:hAnsi="Arial"/>
          <w:sz w:val="15"/>
          <w:szCs w:val="15"/>
          <w:color w:val="1D1A26"/>
        </w:rPr>
        <w:t xml:space="preserve">Secretary </w:t>
      </w:r>
      <w:r>
        <w:rPr>
          <w:rFonts w:ascii="Arial" w:cs="Arial" w:eastAsia="Arial" w:hAnsi="Arial"/>
          <w:sz w:val="15"/>
          <w:szCs w:val="15"/>
          <w:color w:val="2D2A36"/>
        </w:rPr>
        <w:t>o</w:t>
      </w:r>
      <w:r>
        <w:rPr>
          <w:rFonts w:ascii="Arial" w:cs="Arial" w:eastAsia="Arial" w:hAnsi="Arial"/>
          <w:sz w:val="15"/>
          <w:szCs w:val="15"/>
          <w:color w:val="050505"/>
        </w:rPr>
        <w:t>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2D2A36"/>
        </w:rPr>
        <w:t>State D</w:t>
      </w:r>
      <w:r>
        <w:rPr>
          <w:rFonts w:ascii="Arial" w:cs="Arial" w:eastAsia="Arial" w:hAnsi="Arial"/>
          <w:sz w:val="14"/>
          <w:szCs w:val="14"/>
          <w:color w:val="050505"/>
        </w:rPr>
        <w:t>i</w:t>
      </w:r>
      <w:r>
        <w:rPr>
          <w:rFonts w:ascii="Arial" w:cs="Arial" w:eastAsia="Arial" w:hAnsi="Arial"/>
          <w:sz w:val="14"/>
          <w:szCs w:val="14"/>
          <w:color w:val="2D2A36"/>
        </w:rPr>
        <w:t>visio</w:t>
      </w:r>
      <w:r>
        <w:rPr>
          <w:rFonts w:ascii="Arial" w:cs="Arial" w:eastAsia="Arial" w:hAnsi="Arial"/>
          <w:sz w:val="14"/>
          <w:szCs w:val="14"/>
          <w:color w:val="050505"/>
        </w:rPr>
        <w:t>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2D2A36"/>
        </w:rPr>
        <w:t>of Co</w:t>
      </w:r>
      <w:r>
        <w:rPr>
          <w:rFonts w:ascii="Arial" w:cs="Arial" w:eastAsia="Arial" w:hAnsi="Arial"/>
          <w:sz w:val="13"/>
          <w:szCs w:val="13"/>
          <w:color w:val="050505"/>
        </w:rPr>
        <w:t>rp</w:t>
      </w:r>
      <w:r>
        <w:rPr>
          <w:rFonts w:ascii="Arial" w:cs="Arial" w:eastAsia="Arial" w:hAnsi="Arial"/>
          <w:sz w:val="13"/>
          <w:szCs w:val="13"/>
          <w:color w:val="2D2A36"/>
        </w:rPr>
        <w:t>o</w:t>
      </w:r>
      <w:r>
        <w:rPr>
          <w:rFonts w:ascii="Arial" w:cs="Arial" w:eastAsia="Arial" w:hAnsi="Arial"/>
          <w:sz w:val="13"/>
          <w:szCs w:val="13"/>
          <w:color w:val="050505"/>
        </w:rPr>
        <w:t>r</w:t>
      </w:r>
      <w:r>
        <w:rPr>
          <w:rFonts w:ascii="Arial" w:cs="Arial" w:eastAsia="Arial" w:hAnsi="Arial"/>
          <w:sz w:val="13"/>
          <w:szCs w:val="13"/>
          <w:color w:val="1D1A26"/>
        </w:rPr>
        <w:t>atio</w:t>
      </w:r>
      <w:r>
        <w:rPr>
          <w:rFonts w:ascii="Arial" w:cs="Arial" w:eastAsia="Arial" w:hAnsi="Arial"/>
          <w:sz w:val="13"/>
          <w:szCs w:val="13"/>
          <w:color w:val="050505"/>
        </w:rPr>
        <w:t>n</w:t>
      </w:r>
      <w:r>
        <w:rPr>
          <w:rFonts w:ascii="Arial" w:cs="Arial" w:eastAsia="Arial" w:hAnsi="Arial"/>
          <w:sz w:val="13"/>
          <w:szCs w:val="13"/>
          <w:color w:val="2D2A36"/>
        </w:rPr>
        <w:t>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050505"/>
        </w:rPr>
        <w:t>D</w:t>
      </w:r>
      <w:r>
        <w:rPr>
          <w:rFonts w:ascii="Arial" w:cs="Arial" w:eastAsia="Arial" w:hAnsi="Arial"/>
          <w:sz w:val="13"/>
          <w:szCs w:val="13"/>
          <w:color w:val="1D1A26"/>
        </w:rPr>
        <w:t>e</w:t>
      </w:r>
      <w:r>
        <w:rPr>
          <w:rFonts w:ascii="Arial" w:cs="Arial" w:eastAsia="Arial" w:hAnsi="Arial"/>
          <w:sz w:val="13"/>
          <w:szCs w:val="13"/>
          <w:color w:val="050505"/>
        </w:rPr>
        <w:t>li</w:t>
      </w:r>
      <w:r>
        <w:rPr>
          <w:rFonts w:ascii="Arial" w:cs="Arial" w:eastAsia="Arial" w:hAnsi="Arial"/>
          <w:sz w:val="13"/>
          <w:szCs w:val="13"/>
          <w:color w:val="2D2A36"/>
        </w:rPr>
        <w:t>vered</w:t>
      </w:r>
      <w:r>
        <w:rPr>
          <w:rFonts w:ascii="Arial" w:cs="Arial" w:eastAsia="Arial" w:hAnsi="Arial"/>
          <w:sz w:val="13"/>
          <w:szCs w:val="13"/>
          <w:color w:val="050505"/>
        </w:rPr>
        <w:t xml:space="preserve"> </w:t>
      </w:r>
      <w:r>
        <w:rPr>
          <w:rFonts w:ascii="Arial" w:cs="Arial" w:eastAsia="Arial" w:hAnsi="Arial"/>
          <w:sz w:val="13"/>
          <w:szCs w:val="13"/>
          <w:color w:val="1D1A26"/>
        </w:rPr>
        <w:t>08:40</w:t>
      </w:r>
    </w:p>
    <w:p>
      <w:pPr>
        <w:spacing w:after="0" w:line="13" w:lineRule="exact"/>
        <w:rPr>
          <w:sz w:val="20"/>
          <w:szCs w:val="20"/>
          <w:color w:val="auto"/>
        </w:rPr>
      </w:pPr>
    </w:p>
    <w:p>
      <w:pPr>
        <w:jc w:val="center"/>
        <w:ind w:right="1820"/>
        <w:spacing w:after="0"/>
        <w:rPr>
          <w:sz w:val="20"/>
          <w:szCs w:val="20"/>
          <w:color w:val="auto"/>
        </w:rPr>
      </w:pPr>
      <w:r>
        <w:rPr>
          <w:rFonts w:ascii="Arial" w:cs="Arial" w:eastAsia="Arial" w:hAnsi="Arial"/>
          <w:sz w:val="13"/>
          <w:szCs w:val="13"/>
          <w:color w:val="1D1A26"/>
        </w:rPr>
        <w:t xml:space="preserve">AM </w:t>
      </w:r>
      <w:r>
        <w:rPr>
          <w:rFonts w:ascii="Arial" w:cs="Arial" w:eastAsia="Arial" w:hAnsi="Arial"/>
          <w:sz w:val="13"/>
          <w:szCs w:val="13"/>
          <w:color w:val="050505"/>
        </w:rPr>
        <w:t>1</w:t>
      </w:r>
      <w:r>
        <w:rPr>
          <w:rFonts w:ascii="Arial" w:cs="Arial" w:eastAsia="Arial" w:hAnsi="Arial"/>
          <w:sz w:val="13"/>
          <w:szCs w:val="13"/>
          <w:color w:val="1D1A26"/>
        </w:rPr>
        <w:t>2</w:t>
      </w:r>
      <w:r>
        <w:rPr>
          <w:rFonts w:ascii="Arial" w:cs="Arial" w:eastAsia="Arial" w:hAnsi="Arial"/>
          <w:sz w:val="13"/>
          <w:szCs w:val="13"/>
          <w:color w:val="827E7C"/>
        </w:rPr>
        <w:t>/</w:t>
      </w:r>
      <w:r>
        <w:rPr>
          <w:rFonts w:ascii="Arial" w:cs="Arial" w:eastAsia="Arial" w:hAnsi="Arial"/>
          <w:sz w:val="13"/>
          <w:szCs w:val="13"/>
          <w:color w:val="1D1A26"/>
        </w:rPr>
        <w:t>02</w:t>
      </w:r>
      <w:r>
        <w:rPr>
          <w:rFonts w:ascii="Arial" w:cs="Arial" w:eastAsia="Arial" w:hAnsi="Arial"/>
          <w:sz w:val="13"/>
          <w:szCs w:val="13"/>
          <w:color w:val="979195"/>
        </w:rPr>
        <w:t>/</w:t>
      </w:r>
      <w:r>
        <w:rPr>
          <w:rFonts w:ascii="Arial" w:cs="Arial" w:eastAsia="Arial" w:hAnsi="Arial"/>
          <w:sz w:val="13"/>
          <w:szCs w:val="13"/>
          <w:color w:val="2D2A36"/>
        </w:rPr>
        <w:t>2020</w:t>
      </w:r>
    </w:p>
    <w:p>
      <w:pPr>
        <w:spacing w:after="0" w:line="2" w:lineRule="exact"/>
        <w:rPr>
          <w:sz w:val="20"/>
          <w:szCs w:val="20"/>
          <w:color w:val="auto"/>
        </w:rPr>
      </w:pPr>
    </w:p>
    <w:p>
      <w:pPr>
        <w:jc w:val="center"/>
        <w:ind w:right="1820"/>
        <w:spacing w:after="0"/>
        <w:rPr>
          <w:sz w:val="20"/>
          <w:szCs w:val="20"/>
          <w:color w:val="auto"/>
        </w:rPr>
      </w:pPr>
      <w:r>
        <w:rPr>
          <w:rFonts w:ascii="Arial" w:cs="Arial" w:eastAsia="Arial" w:hAnsi="Arial"/>
          <w:sz w:val="15"/>
          <w:szCs w:val="15"/>
          <w:color w:val="1D1A26"/>
        </w:rPr>
        <w:t>FILE</w:t>
      </w:r>
      <w:r>
        <w:rPr>
          <w:rFonts w:ascii="Arial" w:cs="Arial" w:eastAsia="Arial" w:hAnsi="Arial"/>
          <w:sz w:val="15"/>
          <w:szCs w:val="15"/>
          <w:color w:val="050505"/>
        </w:rPr>
        <w:t>D</w:t>
      </w:r>
    </w:p>
    <w:p>
      <w:pPr>
        <w:jc w:val="center"/>
        <w:ind w:right="1820"/>
        <w:spacing w:after="0" w:line="225" w:lineRule="auto"/>
        <w:rPr>
          <w:sz w:val="20"/>
          <w:szCs w:val="20"/>
          <w:color w:val="auto"/>
        </w:rPr>
      </w:pPr>
      <w:r>
        <w:rPr>
          <w:rFonts w:ascii="Arial" w:cs="Arial" w:eastAsia="Arial" w:hAnsi="Arial"/>
          <w:sz w:val="15"/>
          <w:szCs w:val="15"/>
          <w:color w:val="1D1A26"/>
        </w:rPr>
        <w:t>08:</w:t>
      </w:r>
      <w:r>
        <w:rPr>
          <w:rFonts w:ascii="Arial" w:cs="Arial" w:eastAsia="Arial" w:hAnsi="Arial"/>
          <w:sz w:val="15"/>
          <w:szCs w:val="15"/>
          <w:color w:val="050505"/>
        </w:rPr>
        <w:t>4</w:t>
      </w:r>
      <w:r>
        <w:rPr>
          <w:rFonts w:ascii="Arial" w:cs="Arial" w:eastAsia="Arial" w:hAnsi="Arial"/>
          <w:sz w:val="15"/>
          <w:szCs w:val="15"/>
          <w:color w:val="1D1A26"/>
        </w:rPr>
        <w:t>0AM</w:t>
      </w:r>
    </w:p>
    <w:p>
      <w:pPr>
        <w:jc w:val="center"/>
        <w:ind w:right="1820"/>
        <w:spacing w:after="0" w:line="214" w:lineRule="auto"/>
        <w:rPr>
          <w:sz w:val="20"/>
          <w:szCs w:val="20"/>
          <w:color w:val="auto"/>
        </w:rPr>
      </w:pPr>
      <w:r>
        <w:rPr>
          <w:rFonts w:ascii="Arial" w:cs="Arial" w:eastAsia="Arial" w:hAnsi="Arial"/>
          <w:sz w:val="15"/>
          <w:szCs w:val="15"/>
          <w:color w:val="050505"/>
        </w:rPr>
        <w:t>1</w:t>
      </w:r>
      <w:r>
        <w:rPr>
          <w:rFonts w:ascii="Arial" w:cs="Arial" w:eastAsia="Arial" w:hAnsi="Arial"/>
          <w:sz w:val="15"/>
          <w:szCs w:val="15"/>
          <w:color w:val="1D1A26"/>
        </w:rPr>
        <w:t>2</w:t>
      </w:r>
      <w:r>
        <w:rPr>
          <w:rFonts w:ascii="Arial" w:cs="Arial" w:eastAsia="Arial" w:hAnsi="Arial"/>
          <w:sz w:val="15"/>
          <w:szCs w:val="15"/>
          <w:color w:val="827E7C"/>
        </w:rPr>
        <w:t>/</w:t>
      </w:r>
      <w:r>
        <w:rPr>
          <w:rFonts w:ascii="Arial" w:cs="Arial" w:eastAsia="Arial" w:hAnsi="Arial"/>
          <w:sz w:val="15"/>
          <w:szCs w:val="15"/>
          <w:color w:val="2D2A36"/>
        </w:rPr>
        <w:t>02</w:t>
      </w:r>
      <w:r>
        <w:rPr>
          <w:rFonts w:ascii="Arial" w:cs="Arial" w:eastAsia="Arial" w:hAnsi="Arial"/>
          <w:sz w:val="15"/>
          <w:szCs w:val="15"/>
          <w:color w:val="444446"/>
        </w:rPr>
        <w:t>/2</w:t>
      </w:r>
      <w:r>
        <w:rPr>
          <w:rFonts w:ascii="Arial" w:cs="Arial" w:eastAsia="Arial" w:hAnsi="Arial"/>
          <w:sz w:val="15"/>
          <w:szCs w:val="15"/>
          <w:color w:val="2D2A36"/>
        </w:rPr>
        <w:t>020</w:t>
      </w:r>
    </w:p>
    <w:p>
      <w:pPr>
        <w:jc w:val="center"/>
        <w:ind w:right="1820"/>
        <w:spacing w:after="0" w:line="222" w:lineRule="auto"/>
        <w:rPr>
          <w:sz w:val="20"/>
          <w:szCs w:val="20"/>
          <w:color w:val="auto"/>
        </w:rPr>
      </w:pPr>
      <w:r>
        <w:rPr>
          <w:rFonts w:ascii="Arial" w:cs="Arial" w:eastAsia="Arial" w:hAnsi="Arial"/>
          <w:sz w:val="16"/>
          <w:szCs w:val="16"/>
          <w:b w:val="1"/>
          <w:bCs w:val="1"/>
          <w:color w:val="2D2A36"/>
        </w:rPr>
        <w:t>S</w:t>
      </w:r>
      <w:r>
        <w:rPr>
          <w:rFonts w:ascii="Arial" w:cs="Arial" w:eastAsia="Arial" w:hAnsi="Arial"/>
          <w:sz w:val="16"/>
          <w:szCs w:val="16"/>
          <w:b w:val="1"/>
          <w:bCs w:val="1"/>
          <w:color w:val="050505"/>
        </w:rPr>
        <w:t>R</w:t>
      </w:r>
    </w:p>
    <w:p>
      <w:pPr>
        <w:jc w:val="center"/>
        <w:ind w:right="1820"/>
        <w:spacing w:after="0"/>
        <w:rPr>
          <w:sz w:val="20"/>
          <w:szCs w:val="20"/>
          <w:color w:val="auto"/>
        </w:rPr>
      </w:pPr>
      <w:r>
        <w:rPr>
          <w:rFonts w:ascii="Arial" w:cs="Arial" w:eastAsia="Arial" w:hAnsi="Arial"/>
          <w:sz w:val="13"/>
          <w:szCs w:val="13"/>
          <w:color w:val="1D1A26"/>
        </w:rPr>
        <w:t xml:space="preserve">20208532389 </w:t>
      </w:r>
      <w:r>
        <w:rPr>
          <w:rFonts w:ascii="Arial" w:cs="Arial" w:eastAsia="Arial" w:hAnsi="Arial"/>
          <w:sz w:val="13"/>
          <w:szCs w:val="13"/>
          <w:color w:val="050505"/>
        </w:rPr>
        <w:t>-</w:t>
      </w:r>
    </w:p>
    <w:p>
      <w:pPr>
        <w:spacing w:after="0" w:line="2" w:lineRule="exact"/>
        <w:rPr>
          <w:sz w:val="20"/>
          <w:szCs w:val="20"/>
          <w:color w:val="auto"/>
        </w:rPr>
      </w:pPr>
    </w:p>
    <w:p>
      <w:pPr>
        <w:jc w:val="center"/>
        <w:ind w:right="1820"/>
        <w:spacing w:after="0"/>
        <w:rPr>
          <w:sz w:val="20"/>
          <w:szCs w:val="20"/>
          <w:color w:val="auto"/>
        </w:rPr>
      </w:pPr>
      <w:r>
        <w:rPr>
          <w:rFonts w:ascii="Arial" w:cs="Arial" w:eastAsia="Arial" w:hAnsi="Arial"/>
          <w:sz w:val="15"/>
          <w:szCs w:val="15"/>
          <w:color w:val="050505"/>
        </w:rPr>
        <w:t>Fil</w:t>
      </w:r>
      <w:r>
        <w:rPr>
          <w:rFonts w:ascii="Arial" w:cs="Arial" w:eastAsia="Arial" w:hAnsi="Arial"/>
          <w:sz w:val="15"/>
          <w:szCs w:val="15"/>
          <w:color w:val="1D1A26"/>
        </w:rPr>
        <w:t>e N</w:t>
      </w:r>
      <w:r>
        <w:rPr>
          <w:rFonts w:ascii="Arial" w:cs="Arial" w:eastAsia="Arial" w:hAnsi="Arial"/>
          <w:sz w:val="15"/>
          <w:szCs w:val="15"/>
          <w:color w:val="050505"/>
        </w:rPr>
        <w:t>um</w:t>
      </w:r>
      <w:r>
        <w:rPr>
          <w:rFonts w:ascii="Arial" w:cs="Arial" w:eastAsia="Arial" w:hAnsi="Arial"/>
          <w:sz w:val="15"/>
          <w:szCs w:val="15"/>
          <w:color w:val="1D1A26"/>
        </w:rPr>
        <w:t>ber</w:t>
      </w:r>
    </w:p>
    <w:p>
      <w:pPr>
        <w:ind w:left="200"/>
        <w:spacing w:after="0"/>
        <w:rPr>
          <w:sz w:val="20"/>
          <w:szCs w:val="20"/>
          <w:color w:val="auto"/>
        </w:rPr>
      </w:pPr>
      <w:r>
        <w:rPr>
          <w:rFonts w:ascii="Arial" w:cs="Arial" w:eastAsia="Arial" w:hAnsi="Arial"/>
          <w:sz w:val="15"/>
          <w:szCs w:val="15"/>
          <w:color w:val="444446"/>
        </w:rPr>
        <w:t>7</w:t>
      </w:r>
      <w:r>
        <w:rPr>
          <w:rFonts w:ascii="Arial" w:cs="Arial" w:eastAsia="Arial" w:hAnsi="Arial"/>
          <w:sz w:val="15"/>
          <w:szCs w:val="15"/>
          <w:color w:val="1D1A26"/>
        </w:rPr>
        <w:t>906862</w:t>
      </w:r>
    </w:p>
    <w:p>
      <w:pPr>
        <w:spacing w:after="0" w:line="200" w:lineRule="exact"/>
        <w:rPr>
          <w:sz w:val="20"/>
          <w:szCs w:val="20"/>
          <w:color w:val="auto"/>
        </w:rPr>
      </w:pPr>
    </w:p>
    <w:p>
      <w:pPr>
        <w:sectPr>
          <w:pgSz w:w="11900" w:h="16838" w:orient="portrait"/>
          <w:cols w:equalWidth="0" w:num="2">
            <w:col w:w="7140" w:space="720"/>
            <w:col w:w="2760"/>
          </w:cols>
          <w:pgMar w:left="460" w:top="828" w:right="819" w:bottom="1440" w:gutter="0" w:footer="0" w:header="0"/>
        </w:sectPr>
      </w:pPr>
    </w:p>
    <w:p>
      <w:pPr>
        <w:spacing w:after="0" w:line="330" w:lineRule="exact"/>
        <w:rPr>
          <w:sz w:val="20"/>
          <w:szCs w:val="20"/>
          <w:color w:val="auto"/>
        </w:rPr>
      </w:pPr>
    </w:p>
    <w:p>
      <w:pPr>
        <w:jc w:val="both"/>
        <w:ind w:firstLine="778"/>
        <w:spacing w:after="0" w:line="243" w:lineRule="auto"/>
        <w:rPr>
          <w:sz w:val="20"/>
          <w:szCs w:val="20"/>
          <w:color w:val="auto"/>
        </w:rPr>
      </w:pPr>
      <w:r>
        <w:rPr>
          <w:rFonts w:ascii="Arial" w:cs="Arial" w:eastAsia="Arial" w:hAnsi="Arial"/>
          <w:sz w:val="22"/>
          <w:szCs w:val="22"/>
          <w:color w:val="050505"/>
        </w:rPr>
        <w:t xml:space="preserve">Avita Therapeutics, Inc. (the </w:t>
      </w:r>
      <w:r>
        <w:rPr>
          <w:rFonts w:ascii="Arial" w:cs="Arial" w:eastAsia="Arial" w:hAnsi="Arial"/>
          <w:sz w:val="22"/>
          <w:szCs w:val="22"/>
          <w:b w:val="1"/>
          <w:bCs w:val="1"/>
          <w:color w:val="050505"/>
        </w:rPr>
        <w:t>"Corporation"),</w:t>
      </w:r>
      <w:r>
        <w:rPr>
          <w:rFonts w:ascii="Arial" w:cs="Arial" w:eastAsia="Arial" w:hAnsi="Arial"/>
          <w:sz w:val="22"/>
          <w:szCs w:val="22"/>
          <w:color w:val="050505"/>
        </w:rPr>
        <w:t xml:space="preserve"> a corporation organized and existing under and by virtue of the General Corporation Law of the State of Delaware (the "DGCL"), for the purpose of amending its Certificate of Incorporation, hereby certifies as follows:</w:t>
      </w:r>
    </w:p>
    <w:p>
      <w:pPr>
        <w:spacing w:after="0" w:line="204" w:lineRule="exact"/>
        <w:rPr>
          <w:sz w:val="20"/>
          <w:szCs w:val="20"/>
          <w:color w:val="auto"/>
        </w:rPr>
      </w:pPr>
    </w:p>
    <w:p>
      <w:pPr>
        <w:jc w:val="both"/>
        <w:ind w:firstLine="778"/>
        <w:spacing w:after="0" w:line="300" w:lineRule="auto"/>
        <w:rPr>
          <w:sz w:val="20"/>
          <w:szCs w:val="20"/>
          <w:color w:val="auto"/>
        </w:rPr>
      </w:pPr>
      <w:r>
        <w:rPr>
          <w:rFonts w:ascii="Arial" w:cs="Arial" w:eastAsia="Arial" w:hAnsi="Arial"/>
          <w:sz w:val="19"/>
          <w:szCs w:val="19"/>
          <w:b w:val="1"/>
          <w:bCs w:val="1"/>
          <w:color w:val="050505"/>
        </w:rPr>
        <w:t xml:space="preserve">FIRST: </w:t>
      </w:r>
      <w:r>
        <w:rPr>
          <w:rFonts w:ascii="Arial" w:cs="Arial" w:eastAsia="Arial" w:hAnsi="Arial"/>
          <w:sz w:val="19"/>
          <w:szCs w:val="19"/>
          <w:color w:val="050505"/>
        </w:rPr>
        <w:t>That by resolution of the Board of Directors of the Corporation setting forth a proposed amendment of</w:t>
      </w:r>
      <w:r>
        <w:rPr>
          <w:rFonts w:ascii="Arial" w:cs="Arial" w:eastAsia="Arial" w:hAnsi="Arial"/>
          <w:sz w:val="19"/>
          <w:szCs w:val="19"/>
          <w:b w:val="1"/>
          <w:bCs w:val="1"/>
          <w:color w:val="050505"/>
        </w:rPr>
        <w:t xml:space="preserve"> </w:t>
      </w:r>
      <w:r>
        <w:rPr>
          <w:rFonts w:ascii="Arial" w:cs="Arial" w:eastAsia="Arial" w:hAnsi="Arial"/>
          <w:sz w:val="19"/>
          <w:szCs w:val="19"/>
          <w:color w:val="050505"/>
        </w:rPr>
        <w:t>the Certificate of Incorporation of the Corporation, the Board of Directors declared said amendment to be advisable and authorized, approved and adopted said amendment. The resolution setting forth the proposed amendment is as follows:</w:t>
      </w:r>
    </w:p>
    <w:p>
      <w:pPr>
        <w:spacing w:after="0" w:line="153" w:lineRule="exact"/>
        <w:rPr>
          <w:sz w:val="20"/>
          <w:szCs w:val="20"/>
          <w:color w:val="auto"/>
        </w:rPr>
      </w:pPr>
    </w:p>
    <w:p>
      <w:pPr>
        <w:jc w:val="both"/>
        <w:ind w:firstLine="778"/>
        <w:spacing w:after="0" w:line="256" w:lineRule="auto"/>
        <w:rPr>
          <w:sz w:val="20"/>
          <w:szCs w:val="20"/>
          <w:color w:val="auto"/>
        </w:rPr>
      </w:pPr>
      <w:r>
        <w:rPr>
          <w:rFonts w:ascii="Arial" w:cs="Arial" w:eastAsia="Arial" w:hAnsi="Arial"/>
          <w:sz w:val="22"/>
          <w:szCs w:val="22"/>
          <w:b w:val="1"/>
          <w:bCs w:val="1"/>
          <w:color w:val="050505"/>
        </w:rPr>
        <w:t xml:space="preserve">NOW, </w:t>
      </w:r>
      <w:r>
        <w:rPr>
          <w:rFonts w:ascii="Arial" w:cs="Arial" w:eastAsia="Arial" w:hAnsi="Arial"/>
          <w:sz w:val="22"/>
          <w:szCs w:val="22"/>
          <w:color w:val="050505"/>
        </w:rPr>
        <w:t>THEREFORE, BE IT RESOLVED, that Section 1.01 of Article 1 of the Certificate of Incorporation</w:t>
      </w:r>
      <w:r>
        <w:rPr>
          <w:rFonts w:ascii="Arial" w:cs="Arial" w:eastAsia="Arial" w:hAnsi="Arial"/>
          <w:sz w:val="22"/>
          <w:szCs w:val="22"/>
          <w:b w:val="1"/>
          <w:bCs w:val="1"/>
          <w:color w:val="050505"/>
        </w:rPr>
        <w:t xml:space="preserve"> </w:t>
      </w:r>
      <w:r>
        <w:rPr>
          <w:rFonts w:ascii="Arial" w:cs="Arial" w:eastAsia="Arial" w:hAnsi="Arial"/>
          <w:sz w:val="22"/>
          <w:szCs w:val="22"/>
          <w:color w:val="050505"/>
        </w:rPr>
        <w:t>shall be amended in its entirety to read as follows: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2"/>
          <w:szCs w:val="22"/>
          <w:color w:val="050505"/>
        </w:rPr>
        <w:t xml:space="preserve">"SECTION 1.01 </w:t>
      </w:r>
      <w:r>
        <w:rPr>
          <w:rFonts w:ascii="Arial" w:cs="Arial" w:eastAsia="Arial" w:hAnsi="Arial"/>
          <w:sz w:val="22"/>
          <w:szCs w:val="22"/>
          <w:u w:val="single" w:color="auto"/>
          <w:color w:val="050505"/>
        </w:rPr>
        <w:t>Name.</w:t>
      </w:r>
      <w:r>
        <w:rPr>
          <w:rFonts w:ascii="Arial" w:cs="Arial" w:eastAsia="Arial" w:hAnsi="Arial"/>
          <w:sz w:val="22"/>
          <w:szCs w:val="22"/>
          <w:color w:val="050505"/>
        </w:rPr>
        <w:t xml:space="preserve"> The name of  the Corporation  is </w:t>
      </w:r>
      <w:r>
        <w:rPr>
          <w:rFonts w:ascii="Arial" w:cs="Arial" w:eastAsia="Arial" w:hAnsi="Arial"/>
          <w:sz w:val="22"/>
          <w:szCs w:val="22"/>
          <w:b w:val="1"/>
          <w:bCs w:val="1"/>
          <w:color w:val="050505"/>
        </w:rPr>
        <w:t>"AVITA</w:t>
      </w:r>
      <w:r>
        <w:rPr>
          <w:rFonts w:ascii="Arial" w:cs="Arial" w:eastAsia="Arial" w:hAnsi="Arial"/>
          <w:sz w:val="22"/>
          <w:szCs w:val="22"/>
          <w:color w:val="050505"/>
        </w:rPr>
        <w:t xml:space="preserve"> Medical, Inc." (the "Corporation")."</w:t>
      </w:r>
    </w:p>
    <w:p>
      <w:pPr>
        <w:spacing w:after="0" w:line="233" w:lineRule="exact"/>
        <w:rPr>
          <w:sz w:val="20"/>
          <w:szCs w:val="20"/>
          <w:color w:val="auto"/>
        </w:rPr>
      </w:pPr>
    </w:p>
    <w:p>
      <w:pPr>
        <w:jc w:val="both"/>
        <w:ind w:firstLine="778"/>
        <w:spacing w:after="0" w:line="256" w:lineRule="auto"/>
        <w:rPr>
          <w:sz w:val="20"/>
          <w:szCs w:val="20"/>
          <w:color w:val="auto"/>
        </w:rPr>
      </w:pPr>
      <w:r>
        <w:rPr>
          <w:rFonts w:ascii="Arial" w:cs="Arial" w:eastAsia="Arial" w:hAnsi="Arial"/>
          <w:sz w:val="22"/>
          <w:szCs w:val="22"/>
          <w:b w:val="1"/>
          <w:bCs w:val="1"/>
          <w:color w:val="050505"/>
        </w:rPr>
        <w:t xml:space="preserve">SECOND: </w:t>
      </w:r>
      <w:r>
        <w:rPr>
          <w:rFonts w:ascii="Arial" w:cs="Arial" w:eastAsia="Arial" w:hAnsi="Arial"/>
          <w:sz w:val="22"/>
          <w:szCs w:val="22"/>
          <w:color w:val="050505"/>
        </w:rPr>
        <w:t>That said amendment of the Certificate of Incorporation of the Corporation herein certified was duly</w:t>
      </w:r>
      <w:r>
        <w:rPr>
          <w:rFonts w:ascii="Arial" w:cs="Arial" w:eastAsia="Arial" w:hAnsi="Arial"/>
          <w:sz w:val="22"/>
          <w:szCs w:val="22"/>
          <w:b w:val="1"/>
          <w:bCs w:val="1"/>
          <w:color w:val="050505"/>
        </w:rPr>
        <w:t xml:space="preserve"> </w:t>
      </w:r>
      <w:r>
        <w:rPr>
          <w:rFonts w:ascii="Arial" w:cs="Arial" w:eastAsia="Arial" w:hAnsi="Arial"/>
          <w:sz w:val="22"/>
          <w:szCs w:val="22"/>
          <w:color w:val="050505"/>
        </w:rPr>
        <w:t>adopted pursuant to the provisions of Section 242 of the DGCL.</w:t>
      </w:r>
    </w:p>
    <w:p>
      <w:pPr>
        <w:spacing w:after="0" w:line="195" w:lineRule="exact"/>
        <w:rPr>
          <w:sz w:val="20"/>
          <w:szCs w:val="20"/>
          <w:color w:val="auto"/>
        </w:rPr>
      </w:pPr>
    </w:p>
    <w:p>
      <w:pPr>
        <w:jc w:val="both"/>
        <w:ind w:firstLine="778"/>
        <w:spacing w:after="0" w:line="250" w:lineRule="auto"/>
        <w:rPr>
          <w:sz w:val="20"/>
          <w:szCs w:val="20"/>
          <w:color w:val="auto"/>
        </w:rPr>
      </w:pPr>
      <w:r>
        <w:rPr>
          <w:rFonts w:ascii="Arial" w:cs="Arial" w:eastAsia="Arial" w:hAnsi="Arial"/>
          <w:sz w:val="22"/>
          <w:szCs w:val="22"/>
          <w:color w:val="050505"/>
        </w:rPr>
        <w:t>IN WITNESS WHEREOF, the Corporation has caused this Certificate of Amendment to be executed on this 25th day of November, 2020</w:t>
      </w:r>
      <w:r>
        <w:rPr>
          <w:rFonts w:ascii="Arial" w:cs="Arial" w:eastAsia="Arial" w:hAnsi="Arial"/>
          <w:sz w:val="22"/>
          <w:szCs w:val="22"/>
          <w:color w:val="1D1A26"/>
        </w:rPr>
        <w:t>.</w:t>
      </w:r>
    </w:p>
    <w:p>
      <w:pPr>
        <w:spacing w:after="0" w:line="204" w:lineRule="exact"/>
        <w:rPr>
          <w:sz w:val="20"/>
          <w:szCs w:val="20"/>
          <w:color w:val="auto"/>
        </w:rPr>
      </w:pPr>
    </w:p>
    <w:p>
      <w:pPr>
        <w:ind w:left="6060"/>
        <w:spacing w:after="0"/>
        <w:rPr>
          <w:sz w:val="20"/>
          <w:szCs w:val="20"/>
          <w:color w:val="auto"/>
        </w:rPr>
      </w:pPr>
      <w:r>
        <w:rPr>
          <w:rFonts w:ascii="Arial" w:cs="Arial" w:eastAsia="Arial" w:hAnsi="Arial"/>
          <w:sz w:val="21"/>
          <w:szCs w:val="21"/>
          <w:b w:val="1"/>
          <w:bCs w:val="1"/>
          <w:color w:val="050505"/>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167640</wp:posOffset>
            </wp:positionV>
            <wp:extent cx="2614295" cy="814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2614295" cy="814705"/>
                    </a:xfrm>
                    <a:prstGeom prst="rect">
                      <a:avLst/>
                    </a:prstGeom>
                    <a:noFill/>
                  </pic:spPr>
                </pic:pic>
              </a:graphicData>
            </a:graphic>
          </wp:anchor>
        </w:drawing>
      </w:r>
    </w:p>
    <w:p>
      <w:pPr>
        <w:sectPr>
          <w:pgSz w:w="11900" w:h="16838" w:orient="portrait"/>
          <w:cols w:equalWidth="0" w:num="1">
            <w:col w:w="10620"/>
          </w:cols>
          <w:pgMar w:left="460" w:top="828" w:right="81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831"/>
        <w:spacing w:after="0" w:line="266" w:lineRule="auto"/>
        <w:rPr>
          <w:sz w:val="20"/>
          <w:szCs w:val="20"/>
          <w:color w:val="auto"/>
        </w:rPr>
      </w:pPr>
      <w:r>
        <w:rPr>
          <w:rFonts w:ascii="Arial" w:cs="Arial" w:eastAsia="Arial" w:hAnsi="Arial"/>
          <w:sz w:val="18"/>
          <w:szCs w:val="18"/>
          <w:b w:val="1"/>
          <w:bCs w:val="1"/>
          <w:color w:val="auto"/>
        </w:rPr>
        <w:t xml:space="preserve">THIS THIRD AMENDMENT TO LEASE AGREEMENT </w:t>
      </w:r>
      <w:r>
        <w:rPr>
          <w:rFonts w:ascii="Arial" w:cs="Arial" w:eastAsia="Arial" w:hAnsi="Arial"/>
          <w:sz w:val="18"/>
          <w:szCs w:val="18"/>
          <w:color w:val="auto"/>
        </w:rPr>
        <w:t>(the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17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RIF III – Avenue Stanford, LLC, a 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Avita Medical Americas, LLC,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831"/>
        <w:spacing w:after="0" w:line="301" w:lineRule="auto"/>
        <w:rPr>
          <w:sz w:val="20"/>
          <w:szCs w:val="20"/>
          <w:color w:val="auto"/>
        </w:rPr>
      </w:pPr>
      <w:r>
        <w:rPr>
          <w:rFonts w:ascii="Arial" w:cs="Arial" w:eastAsia="Arial" w:hAnsi="Arial"/>
          <w:sz w:val="16"/>
          <w:szCs w:val="16"/>
          <w:color w:val="auto"/>
        </w:rPr>
        <w:t>WHEREAS, Landlord and Tenant have entered into a Lease dated October 3, 2016, as amended by that certain First Amendment to Lease, dated as of December 14, 2016, and as amended by that certain Second Amendment to Lease, dated as of December 4, 2017 (as amended, the “</w:t>
      </w:r>
      <w:r>
        <w:rPr>
          <w:rFonts w:ascii="Arial" w:cs="Arial" w:eastAsia="Arial" w:hAnsi="Arial"/>
          <w:sz w:val="16"/>
          <w:szCs w:val="16"/>
          <w:b w:val="1"/>
          <w:bCs w:val="1"/>
          <w:color w:val="auto"/>
        </w:rPr>
        <w:t>Existing Lease</w:t>
      </w:r>
      <w:r>
        <w:rPr>
          <w:rFonts w:ascii="Arial" w:cs="Arial" w:eastAsia="Arial" w:hAnsi="Arial"/>
          <w:sz w:val="16"/>
          <w:szCs w:val="16"/>
          <w:color w:val="auto"/>
        </w:rPr>
        <w:t>”) pursuant to which Landlord leased to Tenant certain premises consisting of approximately 17,465 square feet located at 28159 Avenue Stanford, Suites 200 and 220, Valencia, California, 91355 (the “</w:t>
      </w:r>
      <w:r>
        <w:rPr>
          <w:rFonts w:ascii="Arial" w:cs="Arial" w:eastAsia="Arial" w:hAnsi="Arial"/>
          <w:sz w:val="16"/>
          <w:szCs w:val="16"/>
          <w:b w:val="1"/>
          <w:bCs w:val="1"/>
          <w:color w:val="auto"/>
        </w:rPr>
        <w:t>Premises</w:t>
      </w:r>
      <w:r>
        <w:rPr>
          <w:rFonts w:ascii="Arial" w:cs="Arial" w:eastAsia="Arial" w:hAnsi="Arial"/>
          <w:sz w:val="16"/>
          <w:szCs w:val="16"/>
          <w:color w:val="auto"/>
        </w:rPr>
        <w:t>”), such Existing Lease, as heretofore modified, being herein referred to as the “</w:t>
      </w:r>
      <w:r>
        <w:rPr>
          <w:rFonts w:ascii="Arial" w:cs="Arial" w:eastAsia="Arial" w:hAnsi="Arial"/>
          <w:sz w:val="16"/>
          <w:szCs w:val="16"/>
          <w:b w:val="1"/>
          <w:bCs w:val="1"/>
          <w:color w:val="auto"/>
        </w:rPr>
        <w:t>Lease</w:t>
      </w:r>
      <w:r>
        <w:rPr>
          <w:rFonts w:ascii="Arial" w:cs="Arial" w:eastAsia="Arial" w:hAnsi="Arial"/>
          <w:sz w:val="16"/>
          <w:szCs w:val="16"/>
          <w:color w:val="auto"/>
        </w:rPr>
        <w:t>”.</w:t>
      </w:r>
    </w:p>
    <w:p>
      <w:pPr>
        <w:spacing w:after="0" w:line="144" w:lineRule="exact"/>
        <w:rPr>
          <w:sz w:val="20"/>
          <w:szCs w:val="20"/>
          <w:color w:val="auto"/>
        </w:rPr>
      </w:pPr>
    </w:p>
    <w:p>
      <w:pPr>
        <w:jc w:val="both"/>
        <w:ind w:firstLine="831"/>
        <w:spacing w:after="0" w:line="277" w:lineRule="auto"/>
        <w:rPr>
          <w:sz w:val="20"/>
          <w:szCs w:val="20"/>
          <w:color w:val="auto"/>
        </w:rPr>
      </w:pPr>
      <w:r>
        <w:rPr>
          <w:rFonts w:ascii="Arial" w:cs="Arial" w:eastAsia="Arial" w:hAnsi="Arial"/>
          <w:sz w:val="18"/>
          <w:szCs w:val="18"/>
          <w:color w:val="auto"/>
        </w:rPr>
        <w:t>WHEREAS, the current Expiration Date of the Lease is January 31, 2021. Landlord and Tenant desire to modify the Lease to, among other things, extend the term of the Lease, on the terms and conditions set forth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G R E E M E N 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NOW THEREFORE, in consideration of the Premises and the mutual covenants hereinafter contained, the parties hereto agree as follows:</w:t>
      </w:r>
    </w:p>
    <w:p>
      <w:pPr>
        <w:spacing w:after="0" w:line="244" w:lineRule="exact"/>
        <w:rPr>
          <w:sz w:val="20"/>
          <w:szCs w:val="20"/>
          <w:color w:val="auto"/>
        </w:rPr>
      </w:pPr>
    </w:p>
    <w:p>
      <w:pPr>
        <w:ind w:left="1240" w:right="260" w:hanging="409"/>
        <w:spacing w:after="0" w:line="282"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Lease Term is extended such that the Lease shall terminate on July 31, 2022 (the “</w:t>
      </w:r>
      <w:r>
        <w:rPr>
          <w:rFonts w:ascii="Arial" w:cs="Arial" w:eastAsia="Arial" w:hAnsi="Arial"/>
          <w:sz w:val="18"/>
          <w:szCs w:val="18"/>
          <w:b w:val="1"/>
          <w:bCs w:val="1"/>
          <w:color w:val="auto"/>
        </w:rPr>
        <w:t>Third Extension Term</w:t>
      </w:r>
      <w:r>
        <w:rPr>
          <w:rFonts w:ascii="Arial" w:cs="Arial" w:eastAsia="Arial" w:hAnsi="Arial"/>
          <w:sz w:val="18"/>
          <w:szCs w:val="18"/>
          <w:color w:val="auto"/>
        </w:rPr>
        <w:t>”). The monthly Base Rent during the Third Extension Term shall be as follows:</w:t>
      </w:r>
    </w:p>
    <w:p>
      <w:pPr>
        <w:spacing w:after="0" w:line="364" w:lineRule="exact"/>
        <w:rPr>
          <w:sz w:val="20"/>
          <w:szCs w:val="20"/>
          <w:color w:val="auto"/>
        </w:rPr>
      </w:pPr>
    </w:p>
    <w:tbl>
      <w:tblPr>
        <w:tblLayout w:type="fixed"/>
        <w:tblInd w:w="2040" w:type="dxa"/>
        <w:tblCellMar>
          <w:top w:w="0" w:type="dxa"/>
          <w:left w:w="0" w:type="dxa"/>
          <w:bottom w:w="0" w:type="dxa"/>
          <w:right w:w="0" w:type="dxa"/>
        </w:tblCellMar>
      </w:tblPr>
      <w:tr>
        <w:trPr>
          <w:trHeight w:val="220"/>
        </w:trPr>
        <w:tc>
          <w:tcPr>
            <w:tcW w:w="3700" w:type="dxa"/>
            <w:vAlign w:val="bottom"/>
          </w:tcPr>
          <w:p>
            <w:pPr>
              <w:jc w:val="center"/>
              <w:ind w:right="950"/>
              <w:spacing w:after="0"/>
              <w:rPr>
                <w:sz w:val="20"/>
                <w:szCs w:val="20"/>
                <w:color w:val="auto"/>
              </w:rPr>
            </w:pPr>
            <w:r>
              <w:rPr>
                <w:rFonts w:ascii="Arial" w:cs="Arial" w:eastAsia="Arial" w:hAnsi="Arial"/>
                <w:sz w:val="18"/>
                <w:szCs w:val="18"/>
                <w:b w:val="1"/>
                <w:bCs w:val="1"/>
                <w:color w:val="auto"/>
                <w:w w:val="89"/>
              </w:rPr>
              <w:t>Period</w:t>
            </w:r>
          </w:p>
        </w:tc>
        <w:tc>
          <w:tcPr>
            <w:tcW w:w="252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Monthly Base Rent</w:t>
            </w:r>
          </w:p>
        </w:tc>
      </w:tr>
      <w:tr>
        <w:trPr>
          <w:trHeight w:val="229"/>
        </w:trPr>
        <w:tc>
          <w:tcPr>
            <w:tcW w:w="3700" w:type="dxa"/>
            <w:vAlign w:val="bottom"/>
          </w:tcPr>
          <w:p>
            <w:pPr>
              <w:jc w:val="center"/>
              <w:ind w:right="950"/>
              <w:spacing w:after="0"/>
              <w:rPr>
                <w:sz w:val="20"/>
                <w:szCs w:val="20"/>
                <w:color w:val="auto"/>
              </w:rPr>
            </w:pPr>
            <w:r>
              <w:rPr>
                <w:rFonts w:ascii="Arial" w:cs="Arial" w:eastAsia="Arial" w:hAnsi="Arial"/>
                <w:sz w:val="18"/>
                <w:szCs w:val="18"/>
                <w:color w:val="auto"/>
                <w:w w:val="89"/>
              </w:rPr>
              <w:t>February 1, 2021 – January 31, 2022</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88"/>
              </w:rPr>
              <w:t>$33,183.50</w:t>
            </w:r>
          </w:p>
        </w:tc>
      </w:tr>
      <w:tr>
        <w:trPr>
          <w:trHeight w:val="230"/>
        </w:trPr>
        <w:tc>
          <w:tcPr>
            <w:tcW w:w="3700" w:type="dxa"/>
            <w:vAlign w:val="bottom"/>
          </w:tcPr>
          <w:p>
            <w:pPr>
              <w:jc w:val="center"/>
              <w:ind w:right="950"/>
              <w:spacing w:after="0"/>
              <w:rPr>
                <w:sz w:val="20"/>
                <w:szCs w:val="20"/>
                <w:color w:val="auto"/>
              </w:rPr>
            </w:pPr>
            <w:r>
              <w:rPr>
                <w:rFonts w:ascii="Arial" w:cs="Arial" w:eastAsia="Arial" w:hAnsi="Arial"/>
                <w:sz w:val="18"/>
                <w:szCs w:val="18"/>
                <w:color w:val="auto"/>
                <w:w w:val="90"/>
              </w:rPr>
              <w:t>February 1, 2022 – July 31, 2022</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88"/>
              </w:rPr>
              <w:t>$34,179.01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-419100</wp:posOffset>
            </wp:positionV>
            <wp:extent cx="4911725" cy="428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4911725" cy="428625"/>
                    </a:xfrm>
                    <a:prstGeom prst="rect">
                      <a:avLst/>
                    </a:prstGeom>
                    <a:noFill/>
                  </pic:spPr>
                </pic:pic>
              </a:graphicData>
            </a:graphic>
          </wp:anchor>
        </w:drawing>
      </w:r>
    </w:p>
    <w:p>
      <w:pPr>
        <w:spacing w:after="0" w:line="398" w:lineRule="exact"/>
        <w:rPr>
          <w:sz w:val="20"/>
          <w:szCs w:val="20"/>
          <w:color w:val="auto"/>
        </w:rPr>
      </w:pPr>
    </w:p>
    <w:p>
      <w:pPr>
        <w:jc w:val="both"/>
        <w:ind w:left="1240" w:hanging="409"/>
        <w:spacing w:after="0" w:line="259" w:lineRule="auto"/>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expressly provided herein, all defined terms used in this Amendment shall have the same respective meanings as are provided for such defined terms in the Lease. Tenant shall accept the Premises in its “as is” condition, without any representations or warranties, and shall pay increases in Common Area Operating Expenses, over the Base Years as provided in the Lease during the Third Extension Term.</w:t>
      </w:r>
    </w:p>
    <w:p>
      <w:pPr>
        <w:spacing w:after="0" w:line="186" w:lineRule="exact"/>
        <w:rPr>
          <w:rFonts w:ascii="Arial" w:cs="Arial" w:eastAsia="Arial" w:hAnsi="Arial"/>
          <w:sz w:val="18"/>
          <w:szCs w:val="18"/>
          <w:color w:val="auto"/>
        </w:rPr>
      </w:pPr>
    </w:p>
    <w:p>
      <w:pPr>
        <w:jc w:val="both"/>
        <w:ind w:left="1240" w:hanging="409"/>
        <w:spacing w:after="0" w:line="263" w:lineRule="auto"/>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Landlord’s address for notice purposes is hereby amended as follows: Any notices or demands directed to Landlord shall be delivered to Rexford Industrial Realty, L.P., 11620 Wilshire Boulevard, Suite 1000, Los Angeles, California, 90025; Tel. 310.966.1680, Fax 310.966.1690; Attn.: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262890</wp:posOffset>
            </wp:positionV>
            <wp:extent cx="660400" cy="6000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ind w:left="409"/>
        <w:spacing w:after="0"/>
        <w:rPr>
          <w:sz w:val="20"/>
          <w:szCs w:val="20"/>
          <w:color w:val="auto"/>
        </w:rPr>
      </w:pPr>
      <w:r>
        <w:rPr>
          <w:rFonts w:ascii="Arial" w:cs="Arial" w:eastAsia="Arial" w:hAnsi="Arial"/>
          <w:sz w:val="18"/>
          <w:szCs w:val="18"/>
          <w:color w:val="auto"/>
        </w:rPr>
        <w:t>DLanzer@rexfordindustrial.com.</w:t>
      </w:r>
    </w:p>
    <w:p>
      <w:pPr>
        <w:spacing w:after="0" w:line="239" w:lineRule="exact"/>
        <w:rPr>
          <w:sz w:val="20"/>
          <w:szCs w:val="20"/>
          <w:color w:val="auto"/>
        </w:rPr>
      </w:pPr>
    </w:p>
    <w:p>
      <w:pPr>
        <w:jc w:val="both"/>
        <w:ind w:left="409" w:hanging="409"/>
        <w:spacing w:after="0" w:line="311" w:lineRule="auto"/>
        <w:tabs>
          <w:tab w:leader="none" w:pos="40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Tenant warrants, represents and certifies to Landlord that as of the date of this Amendment, (i) Landlord is not in default under the Lease, (ii) Tenant does not have any defenses or offsets to payment of rent and performance of its obligations under the Lease as and when the same become due; and (iii) Tenant has no remaining renewal, extension or termination options or rights of first offer or first refusal.</w:t>
      </w:r>
    </w:p>
    <w:p>
      <w:pPr>
        <w:spacing w:after="0" w:line="135" w:lineRule="exact"/>
        <w:rPr>
          <w:rFonts w:ascii="Arial" w:cs="Arial" w:eastAsia="Arial" w:hAnsi="Arial"/>
          <w:sz w:val="16"/>
          <w:szCs w:val="16"/>
          <w:color w:val="auto"/>
        </w:rPr>
      </w:pPr>
    </w:p>
    <w:p>
      <w:pPr>
        <w:jc w:val="both"/>
        <w:ind w:left="409" w:hanging="409"/>
        <w:spacing w:after="0" w:line="259" w:lineRule="auto"/>
        <w:tabs>
          <w:tab w:leader="none" w:pos="4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Tenant represents and warrants that it has dealt with no broker, agent or other person in connection with this transaction and that no broker, agent or other person brought about this transaction, other than CBRE, Inc., and Tenant agrees to indemnify and hold Landlord harmless from and against any claims by any other broker, agent or other person claiming a commission or other form of compensation by virtue of having dealt with Tenant with regard to this leasing transaction.</w:t>
      </w:r>
    </w:p>
    <w:p>
      <w:pPr>
        <w:spacing w:after="0" w:line="173" w:lineRule="exact"/>
        <w:rPr>
          <w:rFonts w:ascii="Arial" w:cs="Arial" w:eastAsia="Arial" w:hAnsi="Arial"/>
          <w:sz w:val="18"/>
          <w:szCs w:val="18"/>
          <w:color w:val="auto"/>
        </w:rPr>
      </w:pPr>
    </w:p>
    <w:p>
      <w:pPr>
        <w:jc w:val="both"/>
        <w:ind w:left="409" w:hanging="409"/>
        <w:spacing w:after="0" w:line="263" w:lineRule="auto"/>
        <w:tabs>
          <w:tab w:leader="none" w:pos="4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183" w:lineRule="exact"/>
        <w:rPr>
          <w:rFonts w:ascii="Arial" w:cs="Arial" w:eastAsia="Arial" w:hAnsi="Arial"/>
          <w:sz w:val="18"/>
          <w:szCs w:val="18"/>
          <w:color w:val="auto"/>
        </w:rPr>
      </w:pPr>
    </w:p>
    <w:p>
      <w:pPr>
        <w:jc w:val="both"/>
        <w:ind w:left="409" w:hanging="409"/>
        <w:spacing w:after="0" w:line="263" w:lineRule="auto"/>
        <w:tabs>
          <w:tab w:leader="none" w:pos="4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170" w:lineRule="exact"/>
        <w:rPr>
          <w:rFonts w:ascii="Arial" w:cs="Arial" w:eastAsia="Arial" w:hAnsi="Arial"/>
          <w:sz w:val="18"/>
          <w:szCs w:val="18"/>
          <w:color w:val="auto"/>
        </w:rPr>
      </w:pPr>
    </w:p>
    <w:p>
      <w:pPr>
        <w:jc w:val="both"/>
        <w:ind w:left="409" w:hanging="409"/>
        <w:spacing w:after="0" w:line="259" w:lineRule="auto"/>
        <w:tabs>
          <w:tab w:leader="none" w:pos="4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Lease, in the event the so-called “split roll” property tax ballot initiative passes in California thereby removing certain Proposition 13 tax protections applicable to commercial properties (the “</w:t>
      </w:r>
      <w:r>
        <w:rPr>
          <w:rFonts w:ascii="Arial" w:cs="Arial" w:eastAsia="Arial" w:hAnsi="Arial"/>
          <w:sz w:val="18"/>
          <w:szCs w:val="18"/>
          <w:b w:val="1"/>
          <w:bCs w:val="1"/>
          <w:color w:val="auto"/>
        </w:rPr>
        <w:t>Split Roll Initiative</w:t>
      </w:r>
      <w:r>
        <w:rPr>
          <w:rFonts w:ascii="Arial" w:cs="Arial" w:eastAsia="Arial" w:hAnsi="Arial"/>
          <w:sz w:val="18"/>
          <w:szCs w:val="18"/>
          <w:color w:val="auto"/>
        </w:rPr>
        <w:t>”), the amount of Real Property Taxes applicable to the Base Year shall not include the amount of any increase in Real Property Taxes resulting from a reassessment triggered by the Split Roll Initiative.</w:t>
      </w:r>
    </w:p>
    <w:p>
      <w:pPr>
        <w:spacing w:after="0" w:line="186" w:lineRule="exact"/>
        <w:rPr>
          <w:rFonts w:ascii="Arial" w:cs="Arial" w:eastAsia="Arial" w:hAnsi="Arial"/>
          <w:sz w:val="18"/>
          <w:szCs w:val="18"/>
          <w:color w:val="auto"/>
        </w:rPr>
      </w:pPr>
    </w:p>
    <w:p>
      <w:pPr>
        <w:jc w:val="both"/>
        <w:ind w:left="409" w:hanging="409"/>
        <w:spacing w:after="0" w:line="255" w:lineRule="auto"/>
        <w:tabs>
          <w:tab w:leader="none" w:pos="4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Annually, Tenant at Tenant’s sole cost and expense, shall deliver to Landlord data regarding the electricity consumed in the operation of the Premises (the “</w:t>
      </w:r>
      <w:r>
        <w:rPr>
          <w:rFonts w:ascii="Arial" w:cs="Arial" w:eastAsia="Arial" w:hAnsi="Arial"/>
          <w:sz w:val="18"/>
          <w:szCs w:val="18"/>
          <w:b w:val="1"/>
          <w:bCs w:val="1"/>
          <w:color w:val="auto"/>
        </w:rPr>
        <w:t>Energy Data</w:t>
      </w:r>
      <w:r>
        <w:rPr>
          <w:rFonts w:ascii="Arial" w:cs="Arial" w:eastAsia="Arial" w:hAnsi="Arial"/>
          <w:sz w:val="18"/>
          <w:szCs w:val="18"/>
          <w:color w:val="auto"/>
        </w:rPr>
        <w:t>”) for purposes of regulatory compliance, manual and automated benchmarking, energy management, building environmental performance labeling and other related purposes, including but not limited, to the Environmental Protection Agency’s Energy Star rating system and other energy benchmarking systems. Tenant agrees to update such benchmarking information for Tenant’s operations conducted during the year. Landlord shall use commercially reasonable efforts to utilize automated data transmittal services offered by utility companies to access the Energy Data.</w:t>
      </w:r>
    </w:p>
    <w:p>
      <w:pPr>
        <w:spacing w:after="0" w:line="174" w:lineRule="exact"/>
        <w:rPr>
          <w:rFonts w:ascii="Arial" w:cs="Arial" w:eastAsia="Arial" w:hAnsi="Arial"/>
          <w:sz w:val="18"/>
          <w:szCs w:val="18"/>
          <w:color w:val="auto"/>
        </w:rPr>
      </w:pPr>
    </w:p>
    <w:p>
      <w:pPr>
        <w:jc w:val="both"/>
        <w:ind w:left="409" w:hanging="409"/>
        <w:spacing w:after="0" w:line="277" w:lineRule="auto"/>
        <w:tabs>
          <w:tab w:leader="none" w:pos="409"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accordance with the California Consumer Privacy Act (“</w:t>
      </w:r>
      <w:r>
        <w:rPr>
          <w:rFonts w:ascii="Arial" w:cs="Arial" w:eastAsia="Arial" w:hAnsi="Arial"/>
          <w:sz w:val="17"/>
          <w:szCs w:val="17"/>
          <w:b w:val="1"/>
          <w:bCs w:val="1"/>
          <w:color w:val="auto"/>
        </w:rPr>
        <w:t>CCPA</w:t>
      </w:r>
      <w:r>
        <w:rPr>
          <w:rFonts w:ascii="Arial" w:cs="Arial" w:eastAsia="Arial" w:hAnsi="Arial"/>
          <w:sz w:val="17"/>
          <w:szCs w:val="17"/>
          <w:color w:val="auto"/>
        </w:rPr>
        <w:t>”), Landlord makes the following disclosure: Landlord collects certain categories of personal information about tenants including identifiers (such as names, email addresses and telephone numbers) and commercial information relating to tenants’ business operations. Such personal information is collected by Landlord for use in providing services under the Lease and for other internal business purposes. Landlord does not sell personal information. To learn more about Landlord’s privacy policy, please visit https://www.rexfordindustrial.com/privacy-policy.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384175</wp:posOffset>
            </wp:positionV>
            <wp:extent cx="660400" cy="6000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469"/>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207645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09"/>
          </w:cols>
          <w:pgMar w:left="1151" w:top="341" w:right="339" w:bottom="1440" w:gutter="0" w:footer="0" w:header="0"/>
        </w:sectPr>
      </w:pPr>
    </w:p>
    <w:bookmarkStart w:id="102" w:name="page103"/>
    <w:bookmarkEnd w:id="102"/>
    <w:p>
      <w:pPr>
        <w:jc w:val="both"/>
        <w:ind w:left="409" w:hanging="409"/>
        <w:spacing w:after="0" w:line="293" w:lineRule="auto"/>
        <w:tabs>
          <w:tab w:leader="none" w:pos="409"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party hereto, and their respective successors and assigns shall be authorized to rely upon the signatures of all of the parties hereto on this Amendment which are delivered by facsimile or PDF as constituting a duly authorized, irrevocable, actual, current delivery of this Amendment with original ink signatures of each person and entity. Further, the parties hereto expressly consent and agree that this Amendment may be electronically signed and that electronic signatures appearing on this Amendment shall be treated, for purposes of validity, enforceability and admissibility, the same as hand-written signatures. This Amendment may be executed in counterparts, each of which shall be deemed an original part and all of which together shall constitute a single agreement.</w:t>
      </w:r>
    </w:p>
    <w:p>
      <w:pPr>
        <w:spacing w:after="0" w:line="164" w:lineRule="exact"/>
        <w:rPr>
          <w:rFonts w:ascii="Arial" w:cs="Arial" w:eastAsia="Arial" w:hAnsi="Arial"/>
          <w:sz w:val="16"/>
          <w:szCs w:val="16"/>
          <w:color w:val="auto"/>
        </w:rPr>
      </w:pPr>
    </w:p>
    <w:p>
      <w:pPr>
        <w:ind w:left="409" w:hanging="409"/>
        <w:spacing w:after="0"/>
        <w:tabs>
          <w:tab w:leader="none" w:pos="4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ACM Notification is attached hereto as Exhibit “A” and shall be incorporated into the Lease.</w:t>
      </w:r>
    </w:p>
    <w:p>
      <w:pPr>
        <w:spacing w:after="0" w:line="198" w:lineRule="exact"/>
        <w:rPr>
          <w:rFonts w:ascii="Arial" w:cs="Arial" w:eastAsia="Arial" w:hAnsi="Arial"/>
          <w:sz w:val="18"/>
          <w:szCs w:val="18"/>
          <w:color w:val="auto"/>
        </w:rPr>
      </w:pPr>
    </w:p>
    <w:p>
      <w:pPr>
        <w:ind w:left="409" w:hanging="409"/>
        <w:spacing w:after="0"/>
        <w:tabs>
          <w:tab w:leader="none" w:pos="4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Coronavirus Acknowledgement is attached hereto as Addendum One and shall be incorporated into the Lease.</w:t>
      </w:r>
    </w:p>
    <w:p>
      <w:pPr>
        <w:spacing w:after="0" w:line="238" w:lineRule="exact"/>
        <w:rPr>
          <w:rFonts w:ascii="Arial" w:cs="Arial" w:eastAsia="Arial" w:hAnsi="Arial"/>
          <w:sz w:val="18"/>
          <w:szCs w:val="18"/>
          <w:color w:val="auto"/>
        </w:rPr>
      </w:pPr>
    </w:p>
    <w:p>
      <w:pPr>
        <w:ind w:left="409" w:hanging="409"/>
        <w:spacing w:after="0"/>
        <w:tabs>
          <w:tab w:leader="none" w:pos="4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Option to Extend is attached hereto as Addendum Two and shall be incorporated into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8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434975</wp:posOffset>
            </wp:positionV>
            <wp:extent cx="660400" cy="6000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469"/>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207645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09"/>
          </w:cols>
          <w:pgMar w:left="1151" w:top="571" w:right="339" w:bottom="1440" w:gutter="0" w:footer="0" w:header="0"/>
        </w:sectPr>
      </w:pPr>
    </w:p>
    <w:bookmarkStart w:id="103" w:name="page104"/>
    <w:bookmarkEnd w:id="103"/>
    <w:p>
      <w:pPr>
        <w:ind w:left="840"/>
        <w:spacing w:after="0"/>
        <w:rPr>
          <w:sz w:val="20"/>
          <w:szCs w:val="20"/>
          <w:color w:val="auto"/>
        </w:rPr>
      </w:pPr>
      <w:r>
        <w:rPr>
          <w:rFonts w:ascii="Arial" w:cs="Arial" w:eastAsia="Arial" w:hAnsi="Arial"/>
          <w:sz w:val="18"/>
          <w:szCs w:val="18"/>
          <w:color w:val="auto"/>
        </w:rPr>
        <w:t>IN WITNESS WHEREOF, the parties hereto have signed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AVITA MEDICAL AMERICAS,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Michael Perry</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-128905</wp:posOffset>
            </wp:positionV>
            <wp:extent cx="2442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24765</wp:posOffset>
            </wp:positionV>
            <wp:extent cx="24428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CEO</w:t>
      </w:r>
    </w:p>
    <w:p>
      <w:pPr>
        <w:spacing w:after="0" w:line="29" w:lineRule="exact"/>
        <w:rPr>
          <w:sz w:val="20"/>
          <w:szCs w:val="20"/>
          <w:color w:val="auto"/>
        </w:rPr>
      </w:pPr>
    </w:p>
    <w:p>
      <w:pPr>
        <w:spacing w:after="0"/>
        <w:tabs>
          <w:tab w:leader="none" w:pos="640" w:val="left"/>
          <w:tab w:leader="none" w:pos="2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20"/>
          <w:szCs w:val="20"/>
          <w:color w:val="auto"/>
        </w:rPr>
        <w:t>Nov 20, 2020</w:t>
      </w:r>
      <w:r>
        <w:rPr>
          <w:sz w:val="20"/>
          <w:szCs w:val="20"/>
          <w:color w:val="auto"/>
        </w:rPr>
        <w:tab/>
      </w:r>
      <w:r>
        <w:rPr>
          <w:rFonts w:ascii="Arial" w:cs="Arial" w:eastAsia="Arial" w:hAnsi="Arial"/>
          <w:sz w:val="18"/>
          <w:szCs w:val="18"/>
          <w:color w:val="auto"/>
        </w:rPr>
        <w:t>7:35 AM PST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2442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-143510</wp:posOffset>
            </wp:positionV>
            <wp:extent cx="24428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RIF III – AVENUE STANFORD,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Rexford Industrial Realty, L.P.,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Maryland limited partnership,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Managing Member</w:t>
      </w:r>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Rexford Industrial Realty, Inc.,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Maryland corporation,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General Partner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Howard Schwimmer</w:t>
            </w:r>
          </w:p>
        </w:tc>
        <w:tc>
          <w:tcPr>
            <w:tcW w:w="1880" w:type="dxa"/>
            <w:vAlign w:val="bottom"/>
            <w:tcBorders>
              <w:bottom w:val="single" w:sz="8" w:color="auto"/>
            </w:tcBorders>
          </w:tcPr>
          <w:p>
            <w:pPr>
              <w:spacing w:after="0"/>
              <w:rPr>
                <w:sz w:val="21"/>
                <w:szCs w:val="21"/>
                <w:color w:val="auto"/>
              </w:rPr>
            </w:pPr>
          </w:p>
        </w:tc>
        <w:tc>
          <w:tcPr>
            <w:tcW w:w="6720" w:type="dxa"/>
            <w:vAlign w:val="bottom"/>
          </w:tcPr>
          <w:p>
            <w:pPr>
              <w:spacing w:after="0"/>
              <w:rPr>
                <w:sz w:val="21"/>
                <w:szCs w:val="21"/>
                <w:color w:val="auto"/>
              </w:rPr>
            </w:pPr>
          </w:p>
        </w:tc>
      </w:t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640" w:type="dxa"/>
            <w:vAlign w:val="bottom"/>
            <w:gridSpan w:val="2"/>
          </w:tcPr>
          <w:p>
            <w:pPr>
              <w:spacing w:after="0" w:line="195" w:lineRule="exact"/>
              <w:rPr>
                <w:sz w:val="20"/>
                <w:szCs w:val="20"/>
                <w:color w:val="auto"/>
              </w:rPr>
            </w:pPr>
            <w:r>
              <w:rPr>
                <w:rFonts w:ascii="Arial" w:cs="Arial" w:eastAsia="Arial" w:hAnsi="Arial"/>
                <w:sz w:val="18"/>
                <w:szCs w:val="18"/>
                <w:color w:val="auto"/>
              </w:rPr>
              <w:t>Howard Schwimmer</w:t>
            </w:r>
          </w:p>
        </w:tc>
        <w:tc>
          <w:tcPr>
            <w:tcW w:w="1880" w:type="dxa"/>
            <w:vAlign w:val="bottom"/>
          </w:tcPr>
          <w:p>
            <w:pPr>
              <w:spacing w:after="0"/>
              <w:rPr>
                <w:sz w:val="16"/>
                <w:szCs w:val="16"/>
                <w:color w:val="auto"/>
              </w:rPr>
            </w:pPr>
          </w:p>
        </w:tc>
        <w:tc>
          <w:tcPr>
            <w:tcW w:w="6720" w:type="dxa"/>
            <w:vAlign w:val="bottom"/>
          </w:tcPr>
          <w:p>
            <w:pPr>
              <w:spacing w:after="0"/>
              <w:rPr>
                <w:sz w:val="16"/>
                <w:szCs w:val="16"/>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Printed:</w:t>
            </w:r>
          </w:p>
        </w:tc>
        <w:tc>
          <w:tcPr>
            <w:tcW w:w="2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6720" w:type="dxa"/>
            <w:vAlign w:val="bottom"/>
          </w:tcPr>
          <w:p>
            <w:pPr>
              <w:spacing w:after="0"/>
              <w:rPr>
                <w:sz w:val="20"/>
                <w:szCs w:val="20"/>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Co-Chief Executive Officer</w:t>
            </w:r>
          </w:p>
        </w:tc>
        <w:tc>
          <w:tcPr>
            <w:tcW w:w="6720" w:type="dxa"/>
            <w:vAlign w:val="bottom"/>
          </w:tcPr>
          <w:p>
            <w:pPr>
              <w:spacing w:after="0"/>
              <w:rPr>
                <w:sz w:val="19"/>
                <w:szCs w:val="19"/>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6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Nov 20,2020</w:t>
            </w:r>
          </w:p>
        </w:tc>
        <w:tc>
          <w:tcPr>
            <w:tcW w:w="18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2:55 PM PST</w:t>
            </w:r>
          </w:p>
        </w:tc>
        <w:tc>
          <w:tcPr>
            <w:tcW w:w="6720" w:type="dxa"/>
            <w:vAlign w:val="bottom"/>
          </w:tcPr>
          <w:p>
            <w:pPr>
              <w:spacing w:after="0"/>
              <w:rPr>
                <w:sz w:val="19"/>
                <w:szCs w:val="19"/>
                <w:color w:val="auto"/>
              </w:rPr>
            </w:pPr>
          </w:p>
        </w:tc>
      </w:tr>
      <w:tr>
        <w:trPr>
          <w:trHeight w:val="1796"/>
        </w:trPr>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-436880</wp:posOffset>
            </wp:positionV>
            <wp:extent cx="394335" cy="2139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394335" cy="21399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ACM Notification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Exhibit is attached to and made a part of the Amendment by and between RIF III – Avenue Stanford, LLC, a 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Avita Medical Americas, LLC,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28159 Avenue Stanford, Valencia, California, 91355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Asbestos-containing materials ("</w:t>
      </w:r>
      <w:r>
        <w:rPr>
          <w:rFonts w:ascii="Arial" w:cs="Arial" w:eastAsia="Arial" w:hAnsi="Arial"/>
          <w:sz w:val="18"/>
          <w:szCs w:val="18"/>
          <w:b w:val="1"/>
          <w:bCs w:val="1"/>
          <w:color w:val="auto"/>
        </w:rPr>
        <w:t>ACMs</w:t>
      </w:r>
      <w:r>
        <w:rPr>
          <w:rFonts w:ascii="Arial" w:cs="Arial" w:eastAsia="Arial" w:hAnsi="Arial"/>
          <w:sz w:val="18"/>
          <w:szCs w:val="18"/>
          <w:color w:val="auto"/>
        </w:rPr>
        <w:t>") were historically commonly used in the construction of commercial buildings across the country. ACMs were commonly used because of their beneficial qualities; ACMs are fire-resistant and provide good noise and temperature insulation.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common types of ACMs include surfacing materials (such as spray-on fireproofing, stucco, plaster and textured paint), flooring materials (such as vinyl floor tile and vinyl floor sheeting) and their associated mastics, carpet mastic, thermal system insulation (such as pipe or duct wrap, boiler wrap and cooling tower insulation), roofing materials, drywall, drywall joint tape and drywall joint compound, acoustic ceiling tiles, transits board, base cove and associated mastic, caulking, window glazing and fire doors. These materials are not required under law to be removed from any building (except prior to demolition and certain renovation projects). Moreover, ACMs generally are not thought to present a threat to human health unless they cause a release of asbestos fibers into the air, which does not typically occur unless (1) the ACMs are in deteriorated condition, or (2) the ACMs have been significantly disturbed (such as through abrasive cleaning, or maintenance or renovation activities).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possible that some of the various types of ACMs noted above (or other types) are present at various locations in the Building. Anyone who finds any such materials in the Building should assume them to contain asbestos unless those materials are properly tested and found to be otherwise. In addition, under applicable law, certain of these materials are required to be presumed to contain asbestos in the Building if the Building was built prior to 1981 (these materials are typically referred to as "Presumed Asbestos Containing Materials" or "</w:t>
      </w:r>
      <w:r>
        <w:rPr>
          <w:rFonts w:ascii="Arial" w:cs="Arial" w:eastAsia="Arial" w:hAnsi="Arial"/>
          <w:sz w:val="17"/>
          <w:szCs w:val="17"/>
          <w:b w:val="1"/>
          <w:bCs w:val="1"/>
          <w:color w:val="auto"/>
        </w:rPr>
        <w:t>PACM</w:t>
      </w:r>
      <w:r>
        <w:rPr>
          <w:rFonts w:ascii="Arial" w:cs="Arial" w:eastAsia="Arial" w:hAnsi="Arial"/>
          <w:sz w:val="17"/>
          <w:szCs w:val="17"/>
          <w:color w:val="auto"/>
        </w:rPr>
        <w:t>"). PACM consists of thermal system insulation and surfacing material found in buildings constructed prior to 1981, and asphalt or vinyl flooring installed prior to 1981. If the Building was built prior to 1981 and any thermal system insulation, asphalt or vinyl flooring or surfacing materials are found to be present in the Building, such materials must be considered PACM unless properly tested and found otherwise. In addition, Landlord has identified the presence of certain ACMs in the Building. For information about the specific types and locations of these identified ACMs, please contact the Building manager. The Building Manager maintains records of the Building's asbestos information including any Building asbestos surveys, sampling and abatement reports. This information is maintained as part of Landlord's asbestos Operations and Maintenance Plan ("</w:t>
      </w:r>
      <w:r>
        <w:rPr>
          <w:rFonts w:ascii="Arial" w:cs="Arial" w:eastAsia="Arial" w:hAnsi="Arial"/>
          <w:sz w:val="17"/>
          <w:szCs w:val="17"/>
          <w:b w:val="1"/>
          <w:bCs w:val="1"/>
          <w:color w:val="auto"/>
        </w:rPr>
        <w:t>O&amp;M Plan</w:t>
      </w:r>
      <w:r>
        <w:rPr>
          <w:rFonts w:ascii="Arial" w:cs="Arial" w:eastAsia="Arial" w:hAnsi="Arial"/>
          <w:sz w:val="17"/>
          <w:szCs w:val="17"/>
          <w:color w:val="auto"/>
        </w:rPr>
        <w: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O&amp;M Plan is designed to minimize the potential of any harmful asbestos exposure to any person in the Building. Because Landlord is not a physician, scientist or industrial hygienist, Landlord has no special knowledge of the health impact of exposure to asbestos. Therefore, Landlord hired an independent environmental consulting firm to prepare an O&amp;M Plan. The O&amp;M Plan includes a schedule of actions to be taken in order to (1) maintain any building ACMs in good condition, and (2) to prevent any significant disturbance of such ACMs. Appropriate Landlord personnel receive regular periodic training on how to properly administer the O&amp;M Plan.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O&amp;M Plan describes the risks associated with asbestos exposure and how to prevent such exposure. The O&amp;M Plan describes those risks, in general, as follows: asbestos is not a significant health concern unless asbestos fibers are released and inhaled. If inhaled, asbestos fibers can accumulate in the lungs and, as exposure increases, the risk of disease (such as asbestosis and cancer) increases. However, measures taken to minimize exposure and consequently minimize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264795</wp:posOffset>
            </wp:positionV>
            <wp:extent cx="660400" cy="6000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accumulation of fibers, can reduce the risk of adverse health effects.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O&amp;M Plan also describes a number of activities which should be avoided in order to prevent a release of asbestos fibers. In particular, some of the activities which may present a health risk (because those activities may cause an airborne release of asbestos fibers) include moving, drilling, boring or otherwise disturbing ACMs. Consequently, such activities should not be attempted by any person not qualified to handle ACMs. In other words, the approval of Building management must be obtained prior to engaging in any such activities. Please contact the Building manager for more information in this regard. A copy of the written O&amp;M Plan is located in the Building Management Office and, upon your request, will be made available to tenants for you to review and copy during regular business hours.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of the potential or presumed presence of ACM in the Building, we are also providing the following warning, which is commonly known as a California Proposition 65 warning: WARNING: This building contains asbestos, a chemical known to the State of California to cause cancer.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the Building manager with any questions regarding the contents of this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572135</wp:posOffset>
            </wp:positionV>
            <wp:extent cx="660400" cy="6000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ADDENDUM 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CORONAVIRUS ACKNOWLEDGEMENT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TO AND A PART OF THE THIRD AMENDMENT TO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NOVEMBER 17, 2020,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RIF III – AVENUE STANFORD, LLC, A CALIFORNIA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AVITA MEDICAL AMERICAS, LLC, A DELAWARE LIMITED LIABILITY COMPANY</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parties hereby acknowledge that, as of the date of this Amendment, the coronavirus outbreak, including, without limitation Covid-19 and any mutations thereof (the “</w:t>
      </w:r>
      <w:r>
        <w:rPr>
          <w:rFonts w:ascii="Arial" w:cs="Arial" w:eastAsia="Arial" w:hAnsi="Arial"/>
          <w:sz w:val="17"/>
          <w:szCs w:val="17"/>
          <w:b w:val="1"/>
          <w:bCs w:val="1"/>
          <w:color w:val="auto"/>
        </w:rPr>
        <w:t>Coronavirus Situation</w:t>
      </w:r>
      <w:r>
        <w:rPr>
          <w:rFonts w:ascii="Arial" w:cs="Arial" w:eastAsia="Arial" w:hAnsi="Arial"/>
          <w:sz w:val="17"/>
          <w:szCs w:val="17"/>
          <w:color w:val="auto"/>
        </w:rPr>
        <w:t>”) has resulted in various governmental entities at various levels (federal, state, county, city and local) to issue various laws, ordinances, regulations, orders and controls directly in response to the Coronavirus Situation (collectively and as hereinafter promulgated, the “</w:t>
      </w:r>
      <w:r>
        <w:rPr>
          <w:rFonts w:ascii="Arial" w:cs="Arial" w:eastAsia="Arial" w:hAnsi="Arial"/>
          <w:sz w:val="17"/>
          <w:szCs w:val="17"/>
          <w:b w:val="1"/>
          <w:bCs w:val="1"/>
          <w:color w:val="auto"/>
        </w:rPr>
        <w:t>Coronavirus Governmental Actions</w:t>
      </w:r>
      <w:r>
        <w:rPr>
          <w:rFonts w:ascii="Arial" w:cs="Arial" w:eastAsia="Arial" w:hAnsi="Arial"/>
          <w:sz w:val="17"/>
          <w:szCs w:val="17"/>
          <w:color w:val="auto"/>
        </w:rPr>
        <w:t>”), which have included, without limitation, orders that may give tenants the right to withhold or defer rent payments without late fees or interest (“</w:t>
      </w:r>
      <w:r>
        <w:rPr>
          <w:rFonts w:ascii="Arial" w:cs="Arial" w:eastAsia="Arial" w:hAnsi="Arial"/>
          <w:sz w:val="17"/>
          <w:szCs w:val="17"/>
          <w:b w:val="1"/>
          <w:bCs w:val="1"/>
          <w:color w:val="auto"/>
        </w:rPr>
        <w:t>Coronavirus Rent Deferrals</w:t>
      </w:r>
      <w:r>
        <w:rPr>
          <w:rFonts w:ascii="Arial" w:cs="Arial" w:eastAsia="Arial" w:hAnsi="Arial"/>
          <w:sz w:val="17"/>
          <w:szCs w:val="17"/>
          <w:color w:val="auto"/>
        </w:rPr>
        <w:t>”). Landlord and Tenant acknowledge that this Amendment is being entered into while both parties have knowledge and awareness of the Coronavirus Situation and the ongoing Coronavirus Governmental Actions, and Tenant acknowledges and agrees that Landlord would not lease the Premises to Tenant without Tenant expressly waiving any current or future rights to Coronavirus Rent Deferrals and all other rights now or in the future to withhold any payments to Landlord arising in any way from the Coronavirus Governmental Actions. Therefore, in consideration of the foregoing and Landlord’s willingness to enter into this Amendment, to the maximum extent allowed by Legal Requirements, Tenant hereby expressly and irrevocably waives any and all current or future rights to Coronavirus Rent Deferrals and all other rights now or in the future to withhold any payments of Rent to Landlord arising in any way from the Coronavirus Governmental Actions. Tenant acknowledges and agrees that Landlord is under no obligation to provide notice of any incidents of coronavirus infections within the Project, and the presence of coronavirus infected individuals within the Project is not an excuse or basis for not making payments to Landlord otherwise due under this Amendment, including, without limitation, Rent.</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the foregoing, in the event Tenant ever seeks to defer or withhold Rent, Tenant shall promptly provide Landlord with the following documentation for Tenant and any Guarantors to substantiate the impact of the Coronavirus Situation, it being understood that failure to provide any such documentation by Tenant while withholding any rent shall be considered an Event of Default by Tenant under this Agreement: (a) projected cash flow statements covering the next six (6) months, showing all sources and uses of cash; (b) summary of all cash receipts and expenditures for the six (6) most recent calendar months, and for the current month to date; (c) schedule of liabilities identifying for each, the nature and amount of the debt, the monthly payment amount, any collateral for the debt, whether and to what extent any defaults, and what relief, if any, was requested or granted by the creditor; (d) current balance sheet along with profit and loss statements for the prior two (2) years and monthly to date; (e) list of all bank and other cash deposit accounts held by (i) Tenant or any Guarantor, (ii) any other entity that is owned or controlled, directly or indirectly, by Tenant or any Guarantor and (iii) the primary owners of the business; (f) six (6) most recent monthly statements for each of the accounts described above; (g) complete tax returns for the prior two (2) years filed by Tenant, any Guarantor and the primary owners of the business; (h) all owners’ or stockholders’ individual monetary contributions in helping to sustain the monthly operations of the Tenant entity during the prior twelve (12) month period; and (i) submission of the applicable Corona Virus Situation disaster assistance program and related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396875</wp:posOffset>
            </wp:positionV>
            <wp:extent cx="660400" cy="6000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ADDENDUM TWO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TO EXTEND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TO AND A PART OF THE THIRD AMENDMENT TO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NOVEMBER 17, 2020,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RIF III – AVENUE STANFORD, LLC, A CALIFORNIA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AVITA MEDICAL AMERICAS, LLC, A DELAWARE LIMITED LIABILITY COMPANY</w:t>
      </w:r>
    </w:p>
    <w:p>
      <w:pPr>
        <w:spacing w:after="0" w:line="200" w:lineRule="exact"/>
        <w:rPr>
          <w:sz w:val="20"/>
          <w:szCs w:val="20"/>
          <w:color w:val="auto"/>
        </w:rPr>
      </w:pPr>
    </w:p>
    <w:p>
      <w:pPr>
        <w:spacing w:after="0" w:line="227" w:lineRule="exact"/>
        <w:rPr>
          <w:sz w:val="20"/>
          <w:szCs w:val="20"/>
          <w:color w:val="auto"/>
        </w:rPr>
      </w:pPr>
    </w:p>
    <w:p>
      <w:pPr>
        <w:jc w:val="both"/>
        <w:ind w:firstLine="839"/>
        <w:spacing w:after="0" w:line="291" w:lineRule="auto"/>
        <w:tabs>
          <w:tab w:leader="none" w:pos="1671"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Provided that as of the time of the giving of the Extension Notice and the Commencement Date of the Extension Term, (x) Tenant is the Tenant originally named herein, (y) Tenant actually occupies all of the Premises initially demised under this Lease and any space added to the Premises, and (z) no Default exists or would exist but forthe passage of time or the giving of notice, or both; then Tenant shall have the right to extend the Term of the Lease for an additional term of three (3) years (such additional term is hereinafter called the "</w:t>
      </w:r>
      <w:r>
        <w:rPr>
          <w:rFonts w:ascii="Arial" w:cs="Arial" w:eastAsia="Arial" w:hAnsi="Arial"/>
          <w:sz w:val="16"/>
          <w:szCs w:val="16"/>
          <w:b w:val="1"/>
          <w:bCs w:val="1"/>
          <w:color w:val="auto"/>
        </w:rPr>
        <w:t>Extension Term</w:t>
      </w:r>
      <w:r>
        <w:rPr>
          <w:rFonts w:ascii="Arial" w:cs="Arial" w:eastAsia="Arial" w:hAnsi="Arial"/>
          <w:sz w:val="16"/>
          <w:szCs w:val="16"/>
          <w:color w:val="auto"/>
        </w:rPr>
        <w:t>") commencing on the day following the expiration of the Third Extension Term (hereinafter referred to as the "</w:t>
      </w:r>
      <w:r>
        <w:rPr>
          <w:rFonts w:ascii="Arial" w:cs="Arial" w:eastAsia="Arial" w:hAnsi="Arial"/>
          <w:sz w:val="16"/>
          <w:szCs w:val="16"/>
          <w:b w:val="1"/>
          <w:bCs w:val="1"/>
          <w:color w:val="auto"/>
        </w:rPr>
        <w:t>Commencement Date of the Extension Term</w:t>
      </w:r>
      <w:r>
        <w:rPr>
          <w:rFonts w:ascii="Arial" w:cs="Arial" w:eastAsia="Arial" w:hAnsi="Arial"/>
          <w:sz w:val="16"/>
          <w:szCs w:val="16"/>
          <w:color w:val="auto"/>
        </w:rPr>
        <w:t>"). In order to properly exercise Tenant’s right to the Extension Term, Tenant shall give Landlord written notice (hereinafter called the "</w:t>
      </w:r>
      <w:r>
        <w:rPr>
          <w:rFonts w:ascii="Arial" w:cs="Arial" w:eastAsia="Arial" w:hAnsi="Arial"/>
          <w:sz w:val="16"/>
          <w:szCs w:val="16"/>
          <w:b w:val="1"/>
          <w:bCs w:val="1"/>
          <w:color w:val="auto"/>
        </w:rPr>
        <w:t>Extension Notice</w:t>
      </w:r>
      <w:r>
        <w:rPr>
          <w:rFonts w:ascii="Arial" w:cs="Arial" w:eastAsia="Arial" w:hAnsi="Arial"/>
          <w:sz w:val="16"/>
          <w:szCs w:val="16"/>
          <w:color w:val="auto"/>
        </w:rPr>
        <w:t>") of its election to extend the Term of the Lease at least 6 months, but not more than 9 months, prior to the scheduled expiration date of the Third Extension Term.</w:t>
      </w:r>
    </w:p>
    <w:p>
      <w:pPr>
        <w:spacing w:after="0" w:line="152" w:lineRule="exact"/>
        <w:rPr>
          <w:rFonts w:ascii="Arial" w:cs="Arial" w:eastAsia="Arial" w:hAnsi="Arial"/>
          <w:sz w:val="16"/>
          <w:szCs w:val="16"/>
          <w:color w:val="auto"/>
        </w:rPr>
      </w:pPr>
    </w:p>
    <w:p>
      <w:pPr>
        <w:jc w:val="both"/>
        <w:ind w:firstLine="839"/>
        <w:spacing w:after="0" w:line="290" w:lineRule="auto"/>
        <w:tabs>
          <w:tab w:leader="none" w:pos="168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Base Rent payable by Tenant to Landlord during the first year of the Extension Term shall be the greater of (i) an amount equal to 103% of the Base Rent applicable to the last year of the Third Extension Term and (ii) the then prevailing market rate for comparable space in the Project and comparable buildings in the vicinity of the Project, taking into account the size of the Lease, the length of the renewal term, market escalations and the credit of Tenant. The Base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 In the event Landlord and Tenant fail to reach anagreement on such rental rate and execute the Amendment (defined below) prior to the expiration of the Lease, then Tenant's exercise of the renewal option shall be deemed withdrawn and the Lease shall terminate on its original expiration date. Upon each anniversary of the Commencement Date of the Extension Term, the Base Rent shall be increased by3%.</w:t>
      </w:r>
    </w:p>
    <w:p>
      <w:pPr>
        <w:spacing w:after="0" w:line="165" w:lineRule="exact"/>
        <w:rPr>
          <w:rFonts w:ascii="Arial" w:cs="Arial" w:eastAsia="Arial" w:hAnsi="Arial"/>
          <w:sz w:val="16"/>
          <w:szCs w:val="16"/>
          <w:color w:val="auto"/>
        </w:rPr>
      </w:pPr>
    </w:p>
    <w:p>
      <w:pPr>
        <w:jc w:val="both"/>
        <w:ind w:firstLine="839"/>
        <w:spacing w:after="0" w:line="327" w:lineRule="auto"/>
        <w:tabs>
          <w:tab w:leader="none" w:pos="1671"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determination of Base Rent does not reduce the Tenant's obligation to pay or reimburse Landlord for Common Area Operating Expenses, Insurance Cost Increases, Increases above the Base Real Property Taxes and other reimbursable items as set forth in the Lease, and Tenant shall reimburse and pay Landlord as set forth in the Leasewith respect to such Common Area Operating Expenses, Insurance Cost Increases, Increases above the Base Real Property Taxes and other items with respect to the Premises during the Extension Term without regard to any cap onsuch expenses set forth in the Lease.</w:t>
      </w:r>
    </w:p>
    <w:p>
      <w:pPr>
        <w:spacing w:after="0" w:line="126" w:lineRule="exact"/>
        <w:rPr>
          <w:rFonts w:ascii="Arial" w:cs="Arial" w:eastAsia="Arial" w:hAnsi="Arial"/>
          <w:sz w:val="15"/>
          <w:szCs w:val="15"/>
          <w:color w:val="auto"/>
        </w:rPr>
      </w:pPr>
    </w:p>
    <w:p>
      <w:pPr>
        <w:jc w:val="both"/>
        <w:ind w:firstLine="839"/>
        <w:spacing w:after="0" w:line="286" w:lineRule="auto"/>
        <w:tabs>
          <w:tab w:leader="none" w:pos="1681"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for the Base Rent as determined above, Tenant's occupancy of the Premises during the Extension Term shall be on the same terms and conditions as are in effect immediately prior to the expiration of the Third Amendment Extension Term; provided, however, Tenant shall have no further right to any allowances, credits or abatements or any options to expand, contract, renew or extend the Lease.</w:t>
      </w:r>
    </w:p>
    <w:p>
      <w:pPr>
        <w:spacing w:after="0" w:line="165" w:lineRule="exact"/>
        <w:rPr>
          <w:rFonts w:ascii="Arial" w:cs="Arial" w:eastAsia="Arial" w:hAnsi="Arial"/>
          <w:sz w:val="17"/>
          <w:szCs w:val="17"/>
          <w:color w:val="auto"/>
        </w:rPr>
      </w:pPr>
    </w:p>
    <w:p>
      <w:pPr>
        <w:ind w:firstLine="839"/>
        <w:spacing w:after="0" w:line="277" w:lineRule="auto"/>
        <w:tabs>
          <w:tab w:leader="none" w:pos="16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Tenant does not give the Extension Notice within the period set forth in paragraph (a) above, Tenant's right to extend the Lease Term shall automatically terminate. Time is of the essence as to the giving of the ExtensionNotice.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254635</wp:posOffset>
            </wp:positionV>
            <wp:extent cx="660400" cy="6000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8" w:name="page109"/>
    <w:bookmarkEnd w:id="108"/>
    <w:p>
      <w:pPr>
        <w:ind w:left="-839" w:firstLine="839"/>
        <w:spacing w:after="0" w:line="277" w:lineRule="auto"/>
        <w:tabs>
          <w:tab w:leader="none" w:pos="8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Landlord shall have no obligation to refurbish or otherwise improve the Premises for the ExtensionTerm. The Premises shall be tendered on the Commencement Date of the Extension Term in "as-is" condition.</w:t>
      </w:r>
    </w:p>
    <w:p>
      <w:pPr>
        <w:spacing w:after="0" w:line="129" w:lineRule="exact"/>
        <w:rPr>
          <w:rFonts w:ascii="Arial" w:cs="Arial" w:eastAsia="Arial" w:hAnsi="Arial"/>
          <w:sz w:val="18"/>
          <w:szCs w:val="18"/>
          <w:color w:val="auto"/>
        </w:rPr>
      </w:pPr>
    </w:p>
    <w:p>
      <w:pPr>
        <w:ind w:left="-839" w:firstLine="839"/>
        <w:spacing w:after="0" w:line="277" w:lineRule="auto"/>
        <w:tabs>
          <w:tab w:leader="none" w:pos="8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Lease is extended for the Extension Term, then Landlord shall prepare and Tenant shall execute an amendment to the Lease confirming the extension of the Lease Term and the other provisions applicable thereto (the "</w:t>
      </w:r>
      <w:r>
        <w:rPr>
          <w:rFonts w:ascii="Arial" w:cs="Arial" w:eastAsia="Arial" w:hAnsi="Arial"/>
          <w:sz w:val="18"/>
          <w:szCs w:val="18"/>
          <w:b w:val="1"/>
          <w:bCs w:val="1"/>
          <w:color w:val="auto"/>
        </w:rPr>
        <w:t>Amendment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39" w:firstLine="839"/>
        <w:spacing w:after="0" w:line="277" w:lineRule="auto"/>
        <w:tabs>
          <w:tab w:leader="none" w:pos="8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Tenant exercises its right to extend the Term of the Lease for the Extension Term pursuant to thisAddendum, the term "Term" as used in the Lease, shall be construed to include, when practicable, the Extension Termexcept as provided in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254635</wp:posOffset>
            </wp:positionV>
            <wp:extent cx="660400" cy="6000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6604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461"/>
        <w:spacing w:after="0"/>
        <w:rPr>
          <w:sz w:val="20"/>
          <w:szCs w:val="20"/>
          <w:color w:val="auto"/>
        </w:rPr>
      </w:pPr>
      <w:r>
        <w:rPr>
          <w:rFonts w:ascii="Arial" w:cs="Arial" w:eastAsia="Arial" w:hAnsi="Arial"/>
          <w:sz w:val="18"/>
          <w:szCs w:val="18"/>
          <w:color w:val="auto"/>
        </w:rPr>
        <w:t>INITIALS</w:t>
      </w:r>
    </w:p>
    <w:p>
      <w:pPr>
        <w:sectPr>
          <w:pgSz w:w="11900" w:h="16838" w:orient="portrait"/>
          <w:cols w:equalWidth="0" w:num="1">
            <w:col w:w="10401"/>
          </w:cols>
          <w:pgMar w:left="1159" w:top="57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10.11</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EMPLOYMENT AGREEMENT</w:t>
      </w:r>
    </w:p>
    <w:p>
      <w:pPr>
        <w:spacing w:after="0" w:line="200" w:lineRule="exact"/>
        <w:rPr>
          <w:sz w:val="20"/>
          <w:szCs w:val="20"/>
          <w:color w:val="auto"/>
        </w:rPr>
      </w:pPr>
    </w:p>
    <w:p>
      <w:pPr>
        <w:spacing w:after="0" w:line="245" w:lineRule="exact"/>
        <w:rPr>
          <w:sz w:val="20"/>
          <w:szCs w:val="20"/>
          <w:color w:val="auto"/>
        </w:rPr>
      </w:pPr>
    </w:p>
    <w:p>
      <w:pPr>
        <w:ind w:left="120" w:right="380" w:firstLine="780"/>
        <w:spacing w:after="0" w:line="263" w:lineRule="auto"/>
        <w:rPr>
          <w:sz w:val="20"/>
          <w:szCs w:val="20"/>
          <w:color w:val="auto"/>
        </w:rPr>
      </w:pPr>
      <w:r>
        <w:rPr>
          <w:rFonts w:ascii="Arial" w:cs="Arial" w:eastAsia="Arial" w:hAnsi="Arial"/>
          <w:sz w:val="18"/>
          <w:szCs w:val="18"/>
          <w:color w:val="auto"/>
        </w:rPr>
        <w:t>This EXECUTIVE EMPLOYMENT AGREEMENT ("Agreement") is made and entered into on November 12, 2019, by and between Avita Medical Ltd., an Australian corporation (the "Company"), Avita Medical Americas, LLC ("Avita America ") and Michael Perry, an individual (the " Executive") with reference to the following: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WHEREAS, the Executive has been serving in the role of Chief Executive Officer of the Company since June 1, 2017,</w:t>
      </w:r>
    </w:p>
    <w:p>
      <w:pPr>
        <w:spacing w:after="0" w:line="225" w:lineRule="exact"/>
        <w:rPr>
          <w:sz w:val="20"/>
          <w:szCs w:val="20"/>
          <w:color w:val="auto"/>
        </w:rPr>
      </w:pPr>
    </w:p>
    <w:p>
      <w:pPr>
        <w:ind w:left="120" w:right="600" w:firstLine="806"/>
        <w:spacing w:after="0" w:line="277" w:lineRule="auto"/>
        <w:rPr>
          <w:sz w:val="20"/>
          <w:szCs w:val="20"/>
          <w:color w:val="auto"/>
        </w:rPr>
      </w:pPr>
      <w:r>
        <w:rPr>
          <w:rFonts w:ascii="Arial" w:cs="Arial" w:eastAsia="Arial" w:hAnsi="Arial"/>
          <w:sz w:val="18"/>
          <w:szCs w:val="18"/>
          <w:color w:val="auto"/>
        </w:rPr>
        <w:t>WHEREAS the Board of Directors of the Company (the " Board") desires to employ Executive to serve as the Chief Executive Officer of the Company and to manage the operationsof the Company and its subsidiaries pursuant to this Agreement.</w:t>
      </w:r>
    </w:p>
    <w:p>
      <w:pPr>
        <w:spacing w:after="0" w:line="170" w:lineRule="exact"/>
        <w:rPr>
          <w:sz w:val="20"/>
          <w:szCs w:val="20"/>
          <w:color w:val="auto"/>
        </w:rPr>
      </w:pPr>
    </w:p>
    <w:p>
      <w:pPr>
        <w:ind w:left="120" w:right="460" w:firstLine="800"/>
        <w:spacing w:after="0" w:line="277" w:lineRule="auto"/>
        <w:rPr>
          <w:sz w:val="20"/>
          <w:szCs w:val="20"/>
          <w:color w:val="auto"/>
        </w:rPr>
      </w:pPr>
      <w:r>
        <w:rPr>
          <w:rFonts w:ascii="Arial" w:cs="Arial" w:eastAsia="Arial" w:hAnsi="Arial"/>
          <w:sz w:val="18"/>
          <w:szCs w:val="18"/>
          <w:color w:val="auto"/>
        </w:rPr>
        <w:t>WHEREAS the Executive is willing to continue to serve in the role of Chief Executive Office of the Company and provide services to the Company and its subsidiaries under the terms and conditions stated herein,</w:t>
      </w:r>
    </w:p>
    <w:p>
      <w:pPr>
        <w:spacing w:after="0" w:line="170" w:lineRule="exact"/>
        <w:rPr>
          <w:sz w:val="20"/>
          <w:szCs w:val="20"/>
          <w:color w:val="auto"/>
        </w:rPr>
      </w:pPr>
    </w:p>
    <w:p>
      <w:pPr>
        <w:ind w:left="120" w:right="300" w:firstLine="816"/>
        <w:spacing w:after="0" w:line="259" w:lineRule="auto"/>
        <w:rPr>
          <w:sz w:val="20"/>
          <w:szCs w:val="20"/>
          <w:color w:val="auto"/>
        </w:rPr>
      </w:pPr>
      <w:r>
        <w:rPr>
          <w:rFonts w:ascii="Arial" w:cs="Arial" w:eastAsia="Arial" w:hAnsi="Arial"/>
          <w:sz w:val="18"/>
          <w:szCs w:val="18"/>
          <w:color w:val="auto"/>
        </w:rPr>
        <w:t>WHEREAS, the Executive will serve as Chief Executive Officer of the Company, but will be paid through Avita America (so long as Avita America remains a wholly owned subsidiary of the Company), effective as of September 1, 2019 (the " Effective Date"); and the parties agree that the terms of this Agreement will apply from the Effective Date and replaces all prior agreements, arrangements or understandings concerning the appointment of the Executive;</w:t>
      </w:r>
    </w:p>
    <w:p>
      <w:pPr>
        <w:spacing w:after="0" w:line="187" w:lineRule="exact"/>
        <w:rPr>
          <w:sz w:val="20"/>
          <w:szCs w:val="20"/>
          <w:color w:val="auto"/>
        </w:rPr>
      </w:pPr>
    </w:p>
    <w:p>
      <w:pPr>
        <w:ind w:left="120" w:right="620" w:firstLine="795"/>
        <w:spacing w:after="0" w:line="277" w:lineRule="auto"/>
        <w:rPr>
          <w:sz w:val="20"/>
          <w:szCs w:val="20"/>
          <w:color w:val="auto"/>
        </w:rPr>
      </w:pPr>
      <w:r>
        <w:rPr>
          <w:rFonts w:ascii="Arial" w:cs="Arial" w:eastAsia="Arial" w:hAnsi="Arial"/>
          <w:sz w:val="18"/>
          <w:szCs w:val="18"/>
          <w:color w:val="auto"/>
        </w:rPr>
        <w:t>NOW, THEREFORE, in consideration of the mutual covenants and promises contained herein, and intending to be legally bound, it is hereby agreed by and between the parties hereto as follows:</w:t>
      </w:r>
    </w:p>
    <w:p>
      <w:pPr>
        <w:spacing w:after="0" w:line="166" w:lineRule="exact"/>
        <w:rPr>
          <w:sz w:val="20"/>
          <w:szCs w:val="20"/>
          <w:color w:val="auto"/>
        </w:rPr>
      </w:pPr>
    </w:p>
    <w:p>
      <w:pPr>
        <w:ind w:left="820" w:hanging="812"/>
        <w:spacing w:after="0"/>
        <w:tabs>
          <w:tab w:leader="none" w:pos="8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and Duties</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1.1</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here by employs the Executive as the Chief Executive Officer ("CEO") of the Company and the Executive hereby accepts such employment as of the Effective Date pursuant to the terms and conditions set forth herein. The Executive shall report directly to the Board.</w:t>
      </w:r>
    </w:p>
    <w:p>
      <w:pPr>
        <w:spacing w:after="0" w:line="124" w:lineRule="exact"/>
        <w:rPr>
          <w:sz w:val="20"/>
          <w:szCs w:val="20"/>
          <w:color w:val="auto"/>
        </w:rPr>
      </w:pPr>
    </w:p>
    <w:p>
      <w:pPr>
        <w:ind w:firstLine="1500"/>
        <w:spacing w:after="0" w:line="254" w:lineRule="auto"/>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Duties</w:t>
      </w:r>
      <w:r>
        <w:rPr>
          <w:rFonts w:ascii="Arial" w:cs="Arial" w:eastAsia="Arial" w:hAnsi="Arial"/>
          <w:sz w:val="18"/>
          <w:szCs w:val="18"/>
          <w:color w:val="auto"/>
        </w:rPr>
        <w:t>. The Executive shall perform, to the best of his ability and in a manner satisfactory to the Board, all such duties that are consistent with his title and position as the most senior executive officer of the Company, and such other duties as ma y reasonably be assigned to him by the Board. The Executive's duties will be conducted principally from the Company ' s North America office, currently located in Valencia, California, or at such other location as determined by the Board (but subject to the terms of this Agreement), with travel to such other locations from time to time as reasonably required. For absence of doubt, Executive can perform his duties from any location. Executive shall continue to commute as necessary from his principle residence in Denver, CO, at Company's reasonable expense, as further detailed in Section 3.4. The Board will not require Executive to relocate from Denver, CO.</w:t>
      </w:r>
    </w:p>
    <w:p>
      <w:pPr>
        <w:spacing w:after="0" w:line="195" w:lineRule="exact"/>
        <w:rPr>
          <w:sz w:val="20"/>
          <w:szCs w:val="20"/>
          <w:color w:val="auto"/>
        </w:rPr>
      </w:pPr>
    </w:p>
    <w:p>
      <w:pPr>
        <w:ind w:left="120" w:right="420" w:firstLine="806"/>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Time and Efforts.</w:t>
      </w:r>
      <w:r>
        <w:rPr>
          <w:rFonts w:ascii="Arial" w:cs="Arial" w:eastAsia="Arial" w:hAnsi="Arial"/>
          <w:sz w:val="18"/>
          <w:szCs w:val="18"/>
          <w:color w:val="auto"/>
        </w:rPr>
        <w:t xml:space="preserve"> The Executive shall devote his full business time and provide his best efforts, attention, and energies to the business of the Company and its subsidiaries and to the performance of Executive's duties hereunder, and Executive shall not engage in any other business, profession or occupation for compensation or otherwise during the employment period without the prior written consent of the Board; provided that, nothing herein shall preclude Executive from serving in any capacity with any civic, educational, or charitable organization,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case, and in the aggregate, such services do not materially conflict or interfere with Executive's obligations to the Company or its subsidiaries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p>
      <w:pPr>
        <w:ind w:left="112" w:right="4880"/>
        <w:spacing w:after="0" w:line="261" w:lineRule="auto"/>
        <w:rPr>
          <w:sz w:val="20"/>
          <w:szCs w:val="20"/>
          <w:color w:val="auto"/>
        </w:rPr>
      </w:pPr>
      <w:r>
        <w:rPr>
          <w:rFonts w:ascii="Arial" w:cs="Arial" w:eastAsia="Arial" w:hAnsi="Arial"/>
          <w:sz w:val="18"/>
          <w:szCs w:val="18"/>
          <w:color w:val="auto"/>
        </w:rPr>
        <w:t>such service is disclosed in advance by Executive to the Board. The Board has issued approval for Executive to maintain the following appointments:</w:t>
      </w:r>
    </w:p>
    <w:p>
      <w:pPr>
        <w:spacing w:after="0" w:line="171" w:lineRule="exact"/>
        <w:rPr>
          <w:sz w:val="20"/>
          <w:szCs w:val="20"/>
          <w:color w:val="auto"/>
        </w:rPr>
      </w:pPr>
    </w:p>
    <w:p>
      <w:pPr>
        <w:ind w:left="732" w:hanging="422"/>
        <w:spacing w:after="0"/>
        <w:tabs>
          <w:tab w:leader="none" w:pos="7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University of Colorado School of Medicine, </w:t>
      </w:r>
      <w:r>
        <w:rPr>
          <w:rFonts w:ascii="Arial" w:cs="Arial" w:eastAsia="Arial" w:hAnsi="Arial"/>
          <w:sz w:val="18"/>
          <w:szCs w:val="18"/>
          <w:i w:val="1"/>
          <w:iCs w:val="1"/>
          <w:color w:val="auto"/>
        </w:rPr>
        <w:t>Adjunct Professor</w:t>
      </w:r>
    </w:p>
    <w:p>
      <w:pPr>
        <w:spacing w:after="0" w:line="23" w:lineRule="exact"/>
        <w:rPr>
          <w:rFonts w:ascii="Arial" w:cs="Arial" w:eastAsia="Arial" w:hAnsi="Arial"/>
          <w:sz w:val="18"/>
          <w:szCs w:val="18"/>
          <w:color w:val="auto"/>
        </w:rPr>
      </w:pPr>
    </w:p>
    <w:p>
      <w:pPr>
        <w:ind w:left="732" w:hanging="422"/>
        <w:spacing w:after="0"/>
        <w:tabs>
          <w:tab w:leader="none" w:pos="7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Houston Methodist Research Institute /Cornell School of Medicine, </w:t>
      </w:r>
      <w:r>
        <w:rPr>
          <w:rFonts w:ascii="Arial" w:cs="Arial" w:eastAsia="Arial" w:hAnsi="Arial"/>
          <w:sz w:val="18"/>
          <w:szCs w:val="18"/>
          <w:i w:val="1"/>
          <w:iCs w:val="1"/>
          <w:color w:val="auto"/>
        </w:rPr>
        <w:t>Adjunct Professor</w:t>
      </w:r>
    </w:p>
    <w:p>
      <w:pPr>
        <w:spacing w:after="0" w:line="22" w:lineRule="exact"/>
        <w:rPr>
          <w:rFonts w:ascii="Arial" w:cs="Arial" w:eastAsia="Arial" w:hAnsi="Arial"/>
          <w:sz w:val="18"/>
          <w:szCs w:val="18"/>
          <w:color w:val="auto"/>
        </w:rPr>
      </w:pPr>
    </w:p>
    <w:p>
      <w:pPr>
        <w:ind w:left="732" w:hanging="422"/>
        <w:spacing w:after="0"/>
        <w:tabs>
          <w:tab w:leader="none" w:pos="7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Houston Methodist, External Advisory Board for Translational Medicine, </w:t>
      </w:r>
      <w:r>
        <w:rPr>
          <w:rFonts w:ascii="Arial" w:cs="Arial" w:eastAsia="Arial" w:hAnsi="Arial"/>
          <w:sz w:val="18"/>
          <w:szCs w:val="18"/>
          <w:i w:val="1"/>
          <w:iCs w:val="1"/>
          <w:color w:val="auto"/>
        </w:rPr>
        <w:t>Chair</w:t>
      </w:r>
    </w:p>
    <w:p>
      <w:pPr>
        <w:spacing w:after="0" w:line="9" w:lineRule="exact"/>
        <w:rPr>
          <w:rFonts w:ascii="Arial" w:cs="Arial" w:eastAsia="Arial" w:hAnsi="Arial"/>
          <w:sz w:val="18"/>
          <w:szCs w:val="18"/>
          <w:color w:val="auto"/>
        </w:rPr>
      </w:pPr>
    </w:p>
    <w:p>
      <w:pPr>
        <w:ind w:left="732" w:hanging="395"/>
        <w:spacing w:after="0"/>
        <w:tabs>
          <w:tab w:leader="none" w:pos="732"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Gamida Cell Ltd., </w:t>
      </w:r>
      <w:r>
        <w:rPr>
          <w:rFonts w:ascii="Arial" w:cs="Arial" w:eastAsia="Arial" w:hAnsi="Arial"/>
          <w:sz w:val="18"/>
          <w:szCs w:val="18"/>
          <w:i w:val="1"/>
          <w:iCs w:val="1"/>
          <w:color w:val="auto"/>
        </w:rPr>
        <w:t>Non-executive director</w:t>
      </w:r>
    </w:p>
    <w:p>
      <w:pPr>
        <w:spacing w:after="0" w:line="9" w:lineRule="exact"/>
        <w:rPr>
          <w:rFonts w:ascii="Arial" w:cs="Arial" w:eastAsia="Arial" w:hAnsi="Arial"/>
          <w:sz w:val="18"/>
          <w:szCs w:val="18"/>
          <w:color w:val="auto"/>
        </w:rPr>
      </w:pPr>
    </w:p>
    <w:p>
      <w:pPr>
        <w:ind w:left="732" w:hanging="408"/>
        <w:spacing w:after="0"/>
        <w:tabs>
          <w:tab w:leader="none" w:pos="7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Arrowhead Pharmaceuticals Inc., </w:t>
      </w:r>
      <w:r>
        <w:rPr>
          <w:rFonts w:ascii="Arial" w:cs="Arial" w:eastAsia="Arial" w:hAnsi="Arial"/>
          <w:sz w:val="18"/>
          <w:szCs w:val="18"/>
          <w:i w:val="1"/>
          <w:iCs w:val="1"/>
          <w:color w:val="auto"/>
        </w:rPr>
        <w:t>Non-executive director</w:t>
      </w:r>
    </w:p>
    <w:p>
      <w:pPr>
        <w:spacing w:after="0" w:line="9" w:lineRule="exact"/>
        <w:rPr>
          <w:rFonts w:ascii="Arial" w:cs="Arial" w:eastAsia="Arial" w:hAnsi="Arial"/>
          <w:sz w:val="18"/>
          <w:szCs w:val="18"/>
          <w:color w:val="auto"/>
        </w:rPr>
      </w:pPr>
    </w:p>
    <w:p>
      <w:pPr>
        <w:ind w:left="732" w:hanging="408"/>
        <w:spacing w:after="0"/>
        <w:tabs>
          <w:tab w:leader="none" w:pos="7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Armata Pharmaceuticals, </w:t>
      </w:r>
      <w:r>
        <w:rPr>
          <w:rFonts w:ascii="Arial" w:cs="Arial" w:eastAsia="Arial" w:hAnsi="Arial"/>
          <w:sz w:val="18"/>
          <w:szCs w:val="18"/>
          <w:i w:val="1"/>
          <w:iCs w:val="1"/>
          <w:color w:val="auto"/>
        </w:rPr>
        <w:t>Non-executive director</w:t>
      </w:r>
    </w:p>
    <w:p>
      <w:pPr>
        <w:spacing w:after="0" w:line="9" w:lineRule="exact"/>
        <w:rPr>
          <w:rFonts w:ascii="Arial" w:cs="Arial" w:eastAsia="Arial" w:hAnsi="Arial"/>
          <w:sz w:val="18"/>
          <w:szCs w:val="18"/>
          <w:color w:val="auto"/>
        </w:rPr>
      </w:pPr>
    </w:p>
    <w:p>
      <w:pPr>
        <w:ind w:left="752" w:hanging="415"/>
        <w:spacing w:after="0"/>
        <w:tabs>
          <w:tab w:leader="none" w:pos="752"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Bioscience Managers Pty Ltd, </w:t>
      </w:r>
      <w:r>
        <w:rPr>
          <w:rFonts w:ascii="Arial" w:cs="Arial" w:eastAsia="Arial" w:hAnsi="Arial"/>
          <w:sz w:val="18"/>
          <w:szCs w:val="18"/>
          <w:i w:val="1"/>
          <w:iCs w:val="1"/>
          <w:color w:val="auto"/>
        </w:rPr>
        <w:t>Managing Director</w:t>
      </w:r>
    </w:p>
    <w:p>
      <w:pPr>
        <w:spacing w:after="0" w:line="170" w:lineRule="exact"/>
        <w:rPr>
          <w:sz w:val="20"/>
          <w:szCs w:val="20"/>
          <w:color w:val="auto"/>
        </w:rPr>
      </w:pPr>
    </w:p>
    <w:p>
      <w:pPr>
        <w:ind w:left="112"/>
        <w:spacing w:after="0" w:line="246" w:lineRule="auto"/>
        <w:rPr>
          <w:sz w:val="20"/>
          <w:szCs w:val="20"/>
          <w:color w:val="auto"/>
        </w:rPr>
      </w:pPr>
      <w:r>
        <w:rPr>
          <w:rFonts w:ascii="Arial" w:cs="Arial" w:eastAsia="Arial" w:hAnsi="Arial"/>
          <w:sz w:val="18"/>
          <w:szCs w:val="18"/>
          <w:color w:val="auto"/>
        </w:rPr>
        <w:t>The Company will also reimburse the Executive for fees related to the maintenance of Veterinary Licensure in the U.S. and Canada and A VMA, CVMA and DEA licensures.</w:t>
      </w:r>
    </w:p>
    <w:p>
      <w:pPr>
        <w:spacing w:after="0" w:line="179" w:lineRule="exact"/>
        <w:rPr>
          <w:sz w:val="20"/>
          <w:szCs w:val="20"/>
          <w:color w:val="auto"/>
        </w:rPr>
      </w:pPr>
    </w:p>
    <w:p>
      <w:pPr>
        <w:ind w:left="832" w:hanging="832"/>
        <w:spacing w:after="0"/>
        <w:tabs>
          <w:tab w:leader="none" w:pos="8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Period</w:t>
      </w:r>
    </w:p>
    <w:p>
      <w:pPr>
        <w:spacing w:after="0" w:line="216" w:lineRule="exact"/>
        <w:rPr>
          <w:sz w:val="20"/>
          <w:szCs w:val="20"/>
          <w:color w:val="auto"/>
        </w:rPr>
      </w:pPr>
    </w:p>
    <w:p>
      <w:pPr>
        <w:ind w:left="112" w:right="360" w:firstLine="785"/>
        <w:spacing w:after="0" w:line="259" w:lineRule="auto"/>
        <w:rPr>
          <w:sz w:val="20"/>
          <w:szCs w:val="20"/>
          <w:color w:val="auto"/>
        </w:rPr>
      </w:pPr>
      <w:r>
        <w:rPr>
          <w:rFonts w:ascii="Arial" w:cs="Arial" w:eastAsia="Arial" w:hAnsi="Arial"/>
          <w:sz w:val="18"/>
          <w:szCs w:val="18"/>
          <w:color w:val="auto"/>
        </w:rPr>
        <w:t>The Company and the Executive hereby agree that the Executive' s employment by the Company shall be "at -will" and for an indefinite period of time, such that either the Executive or the Company may terminate this Agreement and the employment relationship at any time and for any reason, with or without Cause, with or without notice , but subject to the severance pay provisions (if applicable) as set forth below in Sections 5 and 6 of this Agreement.</w:t>
      </w:r>
    </w:p>
    <w:p>
      <w:pPr>
        <w:spacing w:after="0" w:line="183" w:lineRule="exact"/>
        <w:rPr>
          <w:sz w:val="20"/>
          <w:szCs w:val="20"/>
          <w:color w:val="auto"/>
        </w:rPr>
      </w:pPr>
    </w:p>
    <w:p>
      <w:pPr>
        <w:ind w:left="832" w:hanging="832"/>
        <w:spacing w:after="0"/>
        <w:tabs>
          <w:tab w:leader="none" w:pos="83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As the total consideration for the Executive' s services rendered here under, Executive shall be entitled to the following:</w:t>
      </w:r>
    </w:p>
    <w:p>
      <w:pPr>
        <w:spacing w:after="0" w:line="221" w:lineRule="exact"/>
        <w:rPr>
          <w:sz w:val="20"/>
          <w:szCs w:val="20"/>
          <w:color w:val="auto"/>
        </w:rPr>
      </w:pPr>
    </w:p>
    <w:p>
      <w:pPr>
        <w:ind w:left="112" w:right="400" w:firstLine="810"/>
        <w:spacing w:after="0" w:line="28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Base Salary</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Executive shall be paid an annual base salary of Four Hundred and Seventy-Five Thousand United States Dollars ($475,000.00) per year ("Base Salary"), subject to applicable tax deductions and withholdings, beginning on the Effective Date of the Agreement payable in regular installments in accordance with the customary payroll practices of Avita America. The Executive's salary will be subject to annual review by the Board and may be increased or decreased in the sole discretion of the Board.</w:t>
      </w:r>
    </w:p>
    <w:p>
      <w:pPr>
        <w:spacing w:after="0" w:line="178" w:lineRule="exact"/>
        <w:rPr>
          <w:sz w:val="20"/>
          <w:szCs w:val="20"/>
          <w:color w:val="auto"/>
        </w:rPr>
      </w:pPr>
    </w:p>
    <w:p>
      <w:pPr>
        <w:ind w:left="912"/>
        <w:spacing w:after="0"/>
        <w:tabs>
          <w:tab w:leader="none" w:pos="1772"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Annual Performance Bonus</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addition to the Base Salary, the Executive shall be eligible to receive an annual</w:t>
      </w:r>
    </w:p>
    <w:p>
      <w:pPr>
        <w:spacing w:after="0" w:line="27" w:lineRule="exact"/>
        <w:rPr>
          <w:sz w:val="20"/>
          <w:szCs w:val="20"/>
          <w:color w:val="auto"/>
        </w:rPr>
      </w:pPr>
    </w:p>
    <w:p>
      <w:pPr>
        <w:ind w:left="112" w:right="400"/>
        <w:spacing w:after="0" w:line="265" w:lineRule="auto"/>
        <w:rPr>
          <w:sz w:val="20"/>
          <w:szCs w:val="20"/>
          <w:color w:val="auto"/>
        </w:rPr>
      </w:pPr>
      <w:r>
        <w:rPr>
          <w:rFonts w:ascii="Arial" w:cs="Arial" w:eastAsia="Arial" w:hAnsi="Arial"/>
          <w:sz w:val="17"/>
          <w:szCs w:val="17"/>
          <w:color w:val="auto"/>
        </w:rPr>
        <w:t>performance bonus as determined by the Board with the exception of the guaranteed portion of the Annual Bonus which is to be paid in accordance with clause 3.2(b). ("Annual Bonus") based upon the Company's performance for the preceding calendar year of service (each year being regarded as a "Bonus Period"), as measured against certain performance targets as mutually established by the parties to be paid to Executive no later than March 15 of the year following the Bonus Period. The Annual Bonus shall be determined as follows:</w:t>
      </w:r>
    </w:p>
    <w:p>
      <w:pPr>
        <w:spacing w:after="0" w:line="1" w:lineRule="exact"/>
        <w:rPr>
          <w:sz w:val="20"/>
          <w:szCs w:val="20"/>
          <w:color w:val="auto"/>
        </w:rPr>
      </w:pPr>
    </w:p>
    <w:p>
      <w:pPr>
        <w:ind w:left="2112" w:right="700" w:hanging="411"/>
        <w:spacing w:after="0" w:line="260" w:lineRule="auto"/>
        <w:tabs>
          <w:tab w:leader="none" w:pos="21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ultimately determined in the Board' s discretion, the target amount of the Annual Bonus shall be seventy percent (70%) of Executive's Base Salary ("Target Bonus").</w:t>
      </w:r>
    </w:p>
    <w:p>
      <w:pPr>
        <w:spacing w:after="0" w:line="198" w:lineRule="exact"/>
        <w:rPr>
          <w:rFonts w:ascii="Arial" w:cs="Arial" w:eastAsia="Arial" w:hAnsi="Arial"/>
          <w:sz w:val="18"/>
          <w:szCs w:val="18"/>
          <w:color w:val="auto"/>
        </w:rPr>
      </w:pPr>
    </w:p>
    <w:p>
      <w:pPr>
        <w:ind w:left="2112" w:right="620" w:hanging="411"/>
        <w:spacing w:after="0" w:line="308" w:lineRule="auto"/>
        <w:tabs>
          <w:tab w:leader="none" w:pos="2112"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calendar year 2019, the Annual Bonus shall be prorated for 7/12ths of the year guaranteed at 50% of Executive's Base Salary and the remaining 7/12ths at the Board' s discretion for the remainder of the year.</w:t>
      </w:r>
    </w:p>
    <w:p>
      <w:pPr>
        <w:spacing w:after="0" w:line="146" w:lineRule="exact"/>
        <w:rPr>
          <w:rFonts w:ascii="Arial" w:cs="Arial" w:eastAsia="Arial" w:hAnsi="Arial"/>
          <w:sz w:val="17"/>
          <w:szCs w:val="17"/>
          <w:color w:val="auto"/>
        </w:rPr>
      </w:pPr>
    </w:p>
    <w:p>
      <w:pPr>
        <w:ind w:left="2112" w:right="600" w:hanging="411"/>
        <w:spacing w:after="0" w:line="277" w:lineRule="auto"/>
        <w:tabs>
          <w:tab w:leader="none" w:pos="21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the sole discretion of the Board, Executive may be entitled to an additional amount of up to fifty percent (50%) of the Target Bonus ("Additional Bonus") i.e., up to 105%</w:t>
      </w:r>
    </w:p>
    <w:p>
      <w:pPr>
        <w:spacing w:after="0" w:line="200" w:lineRule="exact"/>
        <w:rPr>
          <w:sz w:val="20"/>
          <w:szCs w:val="20"/>
          <w:color w:val="auto"/>
        </w:rPr>
      </w:pPr>
    </w:p>
    <w:p>
      <w:pPr>
        <w:spacing w:after="0" w:line="21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32"/>
          </w:cols>
          <w:pgMar w:left="328" w:top="355" w:right="439" w:bottom="1440" w:gutter="0" w:footer="0" w:header="0"/>
        </w:sectPr>
      </w:pPr>
    </w:p>
    <w:bookmarkStart w:id="111" w:name="page112"/>
    <w:bookmarkEnd w:id="111"/>
    <w:p>
      <w:pPr>
        <w:ind w:left="2120"/>
        <w:spacing w:after="0"/>
        <w:rPr>
          <w:sz w:val="20"/>
          <w:szCs w:val="20"/>
          <w:color w:val="auto"/>
        </w:rPr>
      </w:pPr>
      <w:r>
        <w:rPr>
          <w:rFonts w:ascii="Arial" w:cs="Arial" w:eastAsia="Arial" w:hAnsi="Arial"/>
          <w:sz w:val="18"/>
          <w:szCs w:val="18"/>
          <w:color w:val="auto"/>
        </w:rPr>
        <w:t>of base salary when combined with the Target Bonus.</w:t>
      </w:r>
    </w:p>
    <w:p>
      <w:pPr>
        <w:spacing w:after="0" w:line="225" w:lineRule="exact"/>
        <w:rPr>
          <w:sz w:val="20"/>
          <w:szCs w:val="20"/>
          <w:color w:val="auto"/>
        </w:rPr>
      </w:pPr>
    </w:p>
    <w:p>
      <w:pPr>
        <w:ind w:left="2120" w:right="20" w:hanging="411"/>
        <w:spacing w:after="0" w:line="257" w:lineRule="auto"/>
        <w:tabs>
          <w:tab w:leader="none" w:pos="2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order to be eligible and entitled to receive any Annual Bonus or Additional Bonus payment, the Executive must have been and is still employed on the last day of the Bonus Period and the Company must not have given Executive notice of termination for Cause and the Executive also must not have given notice of termination pursuant to section 5.4 (other than for termination due to Disability or Death), on or before the date the Annual Bonus or Additional Bonus is to be paid.</w:t>
      </w:r>
    </w:p>
    <w:p>
      <w:pPr>
        <w:spacing w:after="0" w:line="197" w:lineRule="exact"/>
        <w:rPr>
          <w:sz w:val="20"/>
          <w:szCs w:val="20"/>
          <w:color w:val="auto"/>
        </w:rPr>
      </w:pPr>
    </w:p>
    <w:p>
      <w:pPr>
        <w:ind w:right="40" w:firstLine="818"/>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Long Term Incentive</w:t>
      </w:r>
      <w:r>
        <w:rPr>
          <w:rFonts w:ascii="Arial" w:cs="Arial" w:eastAsia="Arial" w:hAnsi="Arial"/>
          <w:sz w:val="18"/>
          <w:szCs w:val="18"/>
          <w:color w:val="auto"/>
        </w:rPr>
        <w:t>. The Company agreed upon employment of Executive to grant equity to Executive. All Restricted Stock Units ("RSUs") and Options referred to herein, as well as any future grants, shall be issued as soon as administratively feasible following their respective grant dates, but no later than thirty (30) business days following such date. The Company has issued to the Executive equity in the form of RSUs under the terms and conditions contained in the RSUs Confirmatory Deed and options on the terms of the Option Deed, a copy of each of which is attached to this Agreement as Annexure A and Annexure B, respectively.</w:t>
      </w:r>
    </w:p>
    <w:p>
      <w:pPr>
        <w:spacing w:after="0" w:line="197" w:lineRule="exact"/>
        <w:rPr>
          <w:sz w:val="20"/>
          <w:szCs w:val="20"/>
          <w:color w:val="auto"/>
        </w:rPr>
      </w:pPr>
    </w:p>
    <w:p>
      <w:pPr>
        <w:ind w:firstLine="818"/>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Business Expenses</w:t>
      </w:r>
      <w:r>
        <w:rPr>
          <w:rFonts w:ascii="Arial" w:cs="Arial" w:eastAsia="Arial" w:hAnsi="Arial"/>
          <w:sz w:val="16"/>
          <w:szCs w:val="16"/>
          <w:u w:val="single" w:color="auto"/>
          <w:color w:val="auto"/>
        </w:rPr>
        <w:t>.</w:t>
      </w:r>
      <w:r>
        <w:rPr>
          <w:rFonts w:ascii="Arial" w:cs="Arial" w:eastAsia="Arial" w:hAnsi="Arial"/>
          <w:sz w:val="16"/>
          <w:szCs w:val="16"/>
          <w:color w:val="auto"/>
        </w:rPr>
        <w:t xml:space="preserve"> During the Employment Term, the Executive is entitled to reimbursement (through Avita America) for reasonable and necessary business expenses incurred by Executive in connection with the performance of Executive's duties, subject to proper documentation and approval as required pursuant to the applicable Company expense reimbursement policies. For air travel incurred in commuting from Denver, CO, Executive shall be entitled to fly business class (or a lesser flight class if business class is not available). The Company shall pay those of the Executive’s reasonable commuting expenses, as well as Executive's reasonable housing expenses of hotel stays or a corporate apartment and automobile lease or rental, whichever Executive elects. In addition, the Company shall pay that amount that is necessary to compensate Executive for the U.S. federal and applicable state income tax due as a consequence of the Company's payment of such travel and housing and automobile expenses, which amount shall be withheld from his compensation and paid to the appropriate governmental authority. To the extent any of these expense payments are taxable income to the Executive, the Company shall pay an additional amount intended to gross-up for any income tax impact. The Executive is entitled to reimbursement of eligible expenses incurred while employed but paid following termination of employment. Avita Americas will conduct standard audits of expensesincurred by the Executive and C-suite employees.</w:t>
      </w:r>
    </w:p>
    <w:p>
      <w:pPr>
        <w:spacing w:after="0" w:line="177" w:lineRule="exact"/>
        <w:rPr>
          <w:sz w:val="20"/>
          <w:szCs w:val="20"/>
          <w:color w:val="auto"/>
        </w:rPr>
      </w:pPr>
    </w:p>
    <w:p>
      <w:pPr>
        <w:ind w:right="80" w:firstLine="818"/>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Vacation, Personal Time. and Sick Leave</w:t>
      </w:r>
      <w:r>
        <w:rPr>
          <w:rFonts w:ascii="Arial" w:cs="Arial" w:eastAsia="Arial" w:hAnsi="Arial"/>
          <w:sz w:val="18"/>
          <w:szCs w:val="18"/>
          <w:color w:val="auto"/>
        </w:rPr>
        <w:t>. The Executive shall be entitled each year to a vacation, during which time his compensation shall be paid in full. The time allotted for such vacation shall be an aggregate of five (5) weeks per year. There is a cap on the amount of unused vacation time that can be accumulated and carried forward to subsequent years. Executive can never accumulate in excess of a total of (8) weeks. Consequently, if less than the full five (5) weeks is used by the Executive in any given year, the amount of the unused vacation can be carried forward, but the vacation total can never exceed eight (8) weeks at any point in time. If the cap of eight (8) weeks is ever reached, Executive cannot accrue any additional vacation time until he uses some of the vacation time and the amount drops below the cap. Once the amount drops below the cap, Executive will begin accruing vacation time again (pro-rated onan annual basis), but subject to the cap. In the year Executive's employment as CEO terminates, he shall be paid, at his regular rate of pay, for unused vacation (which can never exceed the amount of the eight (8) week cap). The Executive agrees to schedule planned vacation to be taken at a time mutually convenient to the Executive and the Company.</w:t>
      </w:r>
    </w:p>
    <w:p>
      <w:pPr>
        <w:spacing w:after="0" w:line="194" w:lineRule="exact"/>
        <w:rPr>
          <w:sz w:val="20"/>
          <w:szCs w:val="20"/>
          <w:color w:val="auto"/>
        </w:rPr>
      </w:pPr>
    </w:p>
    <w:p>
      <w:pPr>
        <w:ind w:right="80" w:firstLine="818"/>
        <w:spacing w:after="0" w:line="303" w:lineRule="auto"/>
        <w:rPr>
          <w:sz w:val="20"/>
          <w:szCs w:val="20"/>
          <w:color w:val="auto"/>
        </w:rPr>
      </w:pPr>
      <w:r>
        <w:rPr>
          <w:rFonts w:ascii="Arial" w:cs="Arial" w:eastAsia="Arial" w:hAnsi="Arial"/>
          <w:sz w:val="16"/>
          <w:szCs w:val="16"/>
          <w:b w:val="1"/>
          <w:bCs w:val="1"/>
          <w:color w:val="auto"/>
        </w:rPr>
        <w:t xml:space="preserve">Executive </w:t>
      </w:r>
      <w:r>
        <w:rPr>
          <w:rFonts w:ascii="Arial" w:cs="Arial" w:eastAsia="Arial" w:hAnsi="Arial"/>
          <w:sz w:val="16"/>
          <w:szCs w:val="16"/>
          <w:color w:val="auto"/>
        </w:rPr>
        <w:t>shall also be entitled to five (5) paid personal days each year. Executive shall accrue five (5) personal days for calendar year</w:t>
      </w:r>
      <w:r>
        <w:rPr>
          <w:rFonts w:ascii="Arial" w:cs="Arial" w:eastAsia="Arial" w:hAnsi="Arial"/>
          <w:sz w:val="16"/>
          <w:szCs w:val="16"/>
          <w:b w:val="1"/>
          <w:bCs w:val="1"/>
          <w:color w:val="auto"/>
        </w:rPr>
        <w:t xml:space="preserve"> </w:t>
      </w:r>
      <w:r>
        <w:rPr>
          <w:rFonts w:ascii="Arial" w:cs="Arial" w:eastAsia="Arial" w:hAnsi="Arial"/>
          <w:sz w:val="16"/>
          <w:szCs w:val="16"/>
          <w:color w:val="auto"/>
        </w:rPr>
        <w:t>2017 as of the Effective Date of this Agreement. There is a cap on the amount of unused personal days that can be carried forward to subsequent years, and that amount is seven days (7) total. The cap shall operate in the same way as the cap described in the paragraph above related to vacation. To the extent possible, Executive agrees to schedule personal days to be taken at a time convenient to the Company.</w:t>
      </w:r>
    </w:p>
    <w:p>
      <w:pPr>
        <w:spacing w:after="0" w:line="39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355" w:right="799" w:bottom="1440" w:gutter="0" w:footer="0" w:header="0"/>
        </w:sectPr>
      </w:pPr>
    </w:p>
    <w:bookmarkStart w:id="112" w:name="page113"/>
    <w:bookmarkEnd w:id="112"/>
    <w:p>
      <w:pPr>
        <w:ind w:firstLine="818"/>
        <w:spacing w:after="0" w:line="261" w:lineRule="auto"/>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color w:val="auto"/>
        </w:rPr>
        <w:t>shall also be entitled to forty-eight (48) hours of sic k leave each year. There is a cap on the amount of unused sick leave</w:t>
      </w:r>
      <w:r>
        <w:rPr>
          <w:rFonts w:ascii="Arial" w:cs="Arial" w:eastAsia="Arial" w:hAnsi="Arial"/>
          <w:sz w:val="18"/>
          <w:szCs w:val="18"/>
          <w:b w:val="1"/>
          <w:bCs w:val="1"/>
          <w:color w:val="auto"/>
        </w:rPr>
        <w:t xml:space="preserve"> </w:t>
      </w:r>
      <w:r>
        <w:rPr>
          <w:rFonts w:ascii="Arial" w:cs="Arial" w:eastAsia="Arial" w:hAnsi="Arial"/>
          <w:sz w:val="18"/>
          <w:szCs w:val="18"/>
          <w:color w:val="auto"/>
        </w:rPr>
        <w:t>that can be carried forward to subsequent years, and that amount is sixty (60) hours total. The cap shall operate in the same way as the cap described in the paragraph above related to vacation. However, the Company shall have no obligation to pay for unused sick time when Executive’s employment terminates.</w:t>
      </w:r>
    </w:p>
    <w:p>
      <w:pPr>
        <w:spacing w:after="0" w:line="193" w:lineRule="exact"/>
        <w:rPr>
          <w:sz w:val="20"/>
          <w:szCs w:val="20"/>
          <w:color w:val="auto"/>
        </w:rPr>
      </w:pPr>
    </w:p>
    <w:p>
      <w:pPr>
        <w:ind w:right="20" w:firstLine="818"/>
        <w:spacing w:after="0" w:line="25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Health Insurance</w:t>
      </w:r>
      <w:r>
        <w:rPr>
          <w:rFonts w:ascii="Arial" w:cs="Arial" w:eastAsia="Arial" w:hAnsi="Arial"/>
          <w:sz w:val="18"/>
          <w:szCs w:val="18"/>
          <w:color w:val="auto"/>
        </w:rPr>
        <w:t>. The Company shall pay to Executive on an after-tax basis an amount equal to I 00 % of the monthly premiums for the Executive and his family (spouse, eligible children) under the medical and dental plans of his former employer. The Company shall pay 100% of the monthly premiums for Executive and his family (spouse, eligible children) under the Company-provided vision plan. If in the future, the Executive, and his family (spouse, eligible children) cease to be covered under the medical and dental plans of his former employer and begin coverage under the Company-provided medical and dental programs then the Company shall pay 100% of the monthly premiums for that coverage. The Company reserves the right and may at any time, in its sole discretion, terminate, change, or modify any employee benefit plans, policies or programs that it offers or provides. The Executive is entitled to reimbursement of eligible expenses incurred while employed but paid following termination of employment. For absence of doubt, the Company shall not discontinue payment s under this Section without consent of Executive.</w:t>
      </w:r>
    </w:p>
    <w:p>
      <w:pPr>
        <w:spacing w:after="0" w:line="202" w:lineRule="exact"/>
        <w:rPr>
          <w:sz w:val="20"/>
          <w:szCs w:val="20"/>
          <w:color w:val="auto"/>
        </w:rPr>
      </w:pPr>
    </w:p>
    <w:p>
      <w:pPr>
        <w:ind w:right="240" w:firstLine="818"/>
        <w:spacing w:after="0" w:line="28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Disability Insurance</w:t>
      </w:r>
      <w:r>
        <w:rPr>
          <w:rFonts w:ascii="Arial" w:cs="Arial" w:eastAsia="Arial" w:hAnsi="Arial"/>
          <w:sz w:val="17"/>
          <w:szCs w:val="17"/>
          <w:color w:val="auto"/>
        </w:rPr>
        <w:t>. Executive and the Company shall agree upon a disability insurance policy (the "Policy") to insure solely to Executive and/or his beneficiaries. The Company shall during the Employment Term purchase and pay all premiums on the Policy. Such policy shall be in an amount equal to the Executive' s annual Base Salary plus Executive's Target Annual Bonus of 70% of Base Salary.</w:t>
      </w:r>
    </w:p>
    <w:p>
      <w:pPr>
        <w:spacing w:after="0" w:line="171" w:lineRule="exact"/>
        <w:rPr>
          <w:sz w:val="20"/>
          <w:szCs w:val="20"/>
          <w:color w:val="auto"/>
        </w:rPr>
      </w:pPr>
    </w:p>
    <w:p>
      <w:pPr>
        <w:ind w:left="800" w:hanging="792"/>
        <w:spacing w:after="0"/>
        <w:tabs>
          <w:tab w:leader="none" w:pos="8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Information</w:t>
      </w:r>
    </w:p>
    <w:p>
      <w:pPr>
        <w:spacing w:after="0" w:line="229" w:lineRule="exact"/>
        <w:rPr>
          <w:sz w:val="20"/>
          <w:szCs w:val="20"/>
          <w:color w:val="auto"/>
        </w:rPr>
      </w:pPr>
    </w:p>
    <w:p>
      <w:pPr>
        <w:ind w:right="140" w:firstLine="818"/>
        <w:spacing w:after="0" w:line="275" w:lineRule="auto"/>
        <w:rPr>
          <w:sz w:val="20"/>
          <w:szCs w:val="20"/>
          <w:color w:val="auto"/>
        </w:rPr>
      </w:pPr>
      <w:r>
        <w:rPr>
          <w:rFonts w:ascii="Arial" w:cs="Arial" w:eastAsia="Arial" w:hAnsi="Arial"/>
          <w:sz w:val="17"/>
          <w:szCs w:val="17"/>
          <w:color w:val="auto"/>
        </w:rPr>
        <w:t>The Executive acknowledge s that: (i) the Executive has a major responsibility for the operation, development and growth of the Company's business and subsidiaries; (ii) the Executive's work for the Company and its subsidiaries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that the Company will not enter into this Agreement but for such agreements and covenants. Accordingly, the Executive covenants and agrees to the following:</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Both during the term of the Executive’s employment under this Agreement and indefinitely after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Executive is no longer employed as CEO of the Company, the Executive shall not, directly or indirectly, (i) knowingly use for an improper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benefit any "Confidential Information" (as defined below) that was acquired by, learned by or disclosed to Executive during or by reason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Executive's employment as CEO of the Company (before or after the date of this Agreement) , or ( ii) disclose any such Confidential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any person, business or entity, except in the proper course of the Executive's duties as CEO of the Company. As used in this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any and all confidential or proprietary information of the Company and its subsidiaries or affiliates that is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generally known to the public, including, without limitation, business, financial , marketing , technical , developmental, operating,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know-how, and process information, drawings and designs, customer information</w:t>
      </w:r>
    </w:p>
    <w:p>
      <w:pPr>
        <w:spacing w:after="0" w:line="200" w:lineRule="exact"/>
        <w:rPr>
          <w:sz w:val="20"/>
          <w:szCs w:val="20"/>
          <w:color w:val="auto"/>
        </w:rPr>
      </w:pPr>
    </w:p>
    <w:p>
      <w:pPr>
        <w:spacing w:after="0" w:line="25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580" w:right="799" w:bottom="1440" w:gutter="0" w:footer="0" w:header="0"/>
        </w:sectPr>
      </w:pPr>
    </w:p>
    <w:bookmarkStart w:id="113" w:name="page114"/>
    <w:bookmarkEnd w:id="113"/>
    <w:p>
      <w:pPr>
        <w:ind w:right="220"/>
        <w:spacing w:after="0" w:line="285" w:lineRule="auto"/>
        <w:rPr>
          <w:sz w:val="20"/>
          <w:szCs w:val="20"/>
          <w:color w:val="auto"/>
        </w:rPr>
      </w:pPr>
      <w:r>
        <w:rPr>
          <w:rFonts w:ascii="Arial" w:cs="Arial" w:eastAsia="Arial" w:hAnsi="Arial"/>
          <w:sz w:val="16"/>
          <w:szCs w:val="16"/>
          <w:color w:val="auto"/>
        </w:rPr>
        <w:t>(including contact information, pricing and buying trends and needs), employee information (including the skills, abilities and compensation of other employees), and other trade secret information, now existing or hereafter discovered or developed during the course of employment with the Company. Confidential Information shall include information in any form whatsoever, including, without limitation, any digital or electronic record-bearing media containing or disc lo s in g such information. The provisions of this Section 4 shall not apply to information that has become generally available to the public other than as a result of a disclosure by the Executive. In the event that the Executive is requested or required (including under applicable securities laws, such as the ASX Listing Rule s) (or by oral question or request for information or document s in any legal proceeding, inter rogatory, subpoena, civil investigative demand, or similar process) to disclose any Confidential Information, then the Executive will notify the Company within two (2) business days of receiving the request or requirement so that the Company may seek an appropriate protective order. If required under applicable securities laws (including the ASX Listing Rules) the Executive must disclose such Confidential Information as and to the extent required under those securities laws. If, in the absence of a protective order or the receipt of a waiver hereunder (and other than as a requirement under applicable securities law s),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 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(at the same time as executing this Agreement) the Company's standard form Intellectual Property Agreement protecting the trade secrets and other intellectual property of the Company.</w:t>
      </w:r>
    </w:p>
    <w:p>
      <w:pPr>
        <w:spacing w:after="0" w:line="165" w:lineRule="exact"/>
        <w:rPr>
          <w:sz w:val="20"/>
          <w:szCs w:val="20"/>
          <w:color w:val="auto"/>
        </w:rPr>
      </w:pPr>
    </w:p>
    <w:p>
      <w:pPr>
        <w:ind w:right="220" w:firstLine="1471"/>
        <w:spacing w:after="0" w:line="286" w:lineRule="auto"/>
        <w:rPr>
          <w:sz w:val="20"/>
          <w:szCs w:val="20"/>
          <w:color w:val="auto"/>
        </w:rPr>
      </w:pPr>
      <w:r>
        <w:rPr>
          <w:rFonts w:ascii="Arial" w:cs="Arial" w:eastAsia="Arial" w:hAnsi="Arial"/>
          <w:sz w:val="16"/>
          <w:szCs w:val="16"/>
          <w:color w:val="auto"/>
        </w:rPr>
        <w:t>4.2</w:t>
      </w:r>
      <w:r>
        <w:rPr>
          <w:rFonts w:ascii="Arial" w:cs="Arial" w:eastAsia="Arial" w:hAnsi="Arial"/>
          <w:sz w:val="16"/>
          <w:szCs w:val="16"/>
          <w:b w:val="1"/>
          <w:bCs w:val="1"/>
          <w:u w:val="single" w:color="auto"/>
          <w:color w:val="auto"/>
        </w:rPr>
        <w:t>Duty of Loyalty and Non-Competition</w:t>
      </w:r>
      <w:r>
        <w:rPr>
          <w:rFonts w:ascii="Arial" w:cs="Arial" w:eastAsia="Arial" w:hAnsi="Arial"/>
          <w:sz w:val="16"/>
          <w:szCs w:val="16"/>
          <w:color w:val="auto"/>
        </w:rPr>
        <w:t>. During the Employment Term, the Executive shall not, without the prior written consent of the Company, participate, directly or in directly, as an individual proprietor, partner, stockholder, officer, employee, director, manager, joint venture,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 intent, purchase agreements , or other similar arrangements or agreements) of which the Executive has knowledge at the time of Executive's employment; provided, however, that such participation shall not include the mere ownership of not more than one percent (1%) (on a fully diluted basis) of the total outstanding stock of a publicly held company. At all times following the termination of Executive's employment as CEO of the Company for any reason as specified in Section 5 hereof, Executive shall not, either directly or indirectly, engage in any unlawful competitive activities or use Confidential Information to engage in any competition against the Company. Any technologies used by the Company in the course of Executive's employment are restricted to a specific field of use or therapeutic area used or planned to be used by the Company will only be considered confidential or competitive in that specific defined field of use. Executive is free to pursue interests and/or employment with other companies using these technologies in other fields of use outside those used by the Company, including without limitation for example oncology, diabetes and/or endocrine fields.</w:t>
      </w:r>
    </w:p>
    <w:p>
      <w:pPr>
        <w:spacing w:after="0" w:line="238" w:lineRule="exact"/>
        <w:rPr>
          <w:sz w:val="20"/>
          <w:szCs w:val="20"/>
          <w:color w:val="auto"/>
        </w:rPr>
      </w:pPr>
    </w:p>
    <w:p>
      <w:pPr>
        <w:ind w:left="120" w:firstLine="830"/>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For a period beginning on the Effective Date and ending one year after the date on which the Executive is no longer employed as CEO of the Company (the "Non-Solicitation Period"), the</w:t>
      </w: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355" w:right="539" w:bottom="1440" w:gutter="0" w:footer="0" w:header="0"/>
        </w:sectPr>
      </w:pPr>
    </w:p>
    <w:bookmarkStart w:id="114" w:name="page115"/>
    <w:bookmarkEnd w:id="114"/>
    <w:p>
      <w:pPr>
        <w:ind w:left="120" w:right="220"/>
        <w:spacing w:after="0" w:line="255" w:lineRule="auto"/>
        <w:rPr>
          <w:sz w:val="20"/>
          <w:szCs w:val="20"/>
          <w:color w:val="auto"/>
        </w:rPr>
      </w:pPr>
      <w:r>
        <w:rPr>
          <w:rFonts w:ascii="Arial" w:cs="Arial" w:eastAsia="Arial" w:hAnsi="Arial"/>
          <w:sz w:val="18"/>
          <w:szCs w:val="18"/>
          <w:color w:val="auto"/>
        </w:rPr>
        <w:t>Executive shall not in any capacity, either separately or in association with others: (i) solicit for employment or endeavor in any way to entice away from employment with the Company or its subsidiaries or affiliates any employee of the Company or its subsidiaries or affiliates, or any person or entity that had been an employee or affiliate of the Company or its subsidiaries within the six month period preceding the commencement of a solicitation; nor (ii) use Confidential Information to solicit or use any other unlawful means to induce or influence any supplier, customer, agent, consultant or other person or entity that has a business relationship with the Company or its subsidiaries to discontinue, reduce or modify such relationship with the Company or its subsidiaries.</w:t>
      </w:r>
    </w:p>
    <w:p>
      <w:pPr>
        <w:spacing w:after="0" w:line="337" w:lineRule="exact"/>
        <w:rPr>
          <w:sz w:val="20"/>
          <w:szCs w:val="20"/>
          <w:color w:val="auto"/>
        </w:rPr>
      </w:pPr>
    </w:p>
    <w:p>
      <w:pPr>
        <w:ind w:left="120" w:firstLine="830"/>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Non-disparagement</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Executive agrees (whether during or after Executive's employment as CEO of the Company) not to issue, circulate, publish or utter any comments or statements to the press or other media, or to any third parties, or to any employees of the Company or its subsidiaries or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181" w:lineRule="exact"/>
        <w:rPr>
          <w:sz w:val="20"/>
          <w:szCs w:val="20"/>
          <w:color w:val="auto"/>
        </w:rPr>
      </w:pPr>
    </w:p>
    <w:p>
      <w:pPr>
        <w:ind w:right="140" w:firstLine="811"/>
        <w:spacing w:after="0" w:line="254" w:lineRule="auto"/>
        <w:rPr>
          <w:sz w:val="20"/>
          <w:szCs w:val="20"/>
          <w:color w:val="auto"/>
        </w:rPr>
      </w:pPr>
      <w:r>
        <w:rPr>
          <w:rFonts w:ascii="Arial" w:cs="Arial" w:eastAsia="Arial" w:hAnsi="Arial"/>
          <w:sz w:val="18"/>
          <w:szCs w:val="18"/>
          <w:color w:val="auto"/>
        </w:rPr>
        <w:t>The Company agrees (whether during or after Executive's employment as CEO of the Company) not to issue, circulate, publish or utter any comments or statements to the press or other media, or to any third parties, or to any employees of the Company or its subsidiaries or affiliates, or any consultants or any individual or entity with whom the Executive has a busine ss relationship, which could reasonably be expected to adversely affect in any manner the business or personal reputation of the Executive. Notwithstanding the foregoing, nothing contained in this Agreement will be deemed to restrict the Company from providing truthful information to any governmental or regulatory agency or under applicable securities laws (including the ASX Lis ting Rules) (or in any way limit the content of any such information) to the extent requested or required to provide such information pursuant to applicable law or regulation.</w:t>
      </w:r>
    </w:p>
    <w:p>
      <w:pPr>
        <w:spacing w:after="0" w:line="204" w:lineRule="exact"/>
        <w:rPr>
          <w:sz w:val="20"/>
          <w:szCs w:val="20"/>
          <w:color w:val="auto"/>
        </w:rPr>
      </w:pPr>
    </w:p>
    <w:p>
      <w:pPr>
        <w:ind w:right="140" w:firstLine="827"/>
        <w:spacing w:after="0" w:line="25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Return of Property</w:t>
      </w:r>
      <w:r>
        <w:rPr>
          <w:rFonts w:ascii="Arial" w:cs="Arial" w:eastAsia="Arial" w:hAnsi="Arial"/>
          <w:sz w:val="18"/>
          <w:szCs w:val="18"/>
          <w:color w:val="auto"/>
        </w:rPr>
        <w:t>. Upon termination of his employment as CEO of the Company or at any time as the Company requests, the Executive will promptly deliver to the Company all Confidential Information and other documents (whether prepared by the Company, a subsidiary, an affiliate, the Executive or a third party) relating to the Company, any of its subsidiaries, an affiliate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197" w:lineRule="exact"/>
        <w:rPr>
          <w:sz w:val="20"/>
          <w:szCs w:val="20"/>
          <w:color w:val="auto"/>
        </w:rPr>
      </w:pPr>
    </w:p>
    <w:p>
      <w:pPr>
        <w:ind w:right="300" w:firstLine="816"/>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Remedies</w:t>
      </w:r>
      <w:r>
        <w:rPr>
          <w:rFonts w:ascii="Arial" w:cs="Arial" w:eastAsia="Arial" w:hAnsi="Arial"/>
          <w:sz w:val="18"/>
          <w:szCs w:val="18"/>
          <w:color w:val="auto"/>
        </w:rPr>
        <w:t>. The Executive acknowledges that (i) the Executive has had an opportunity to seek the advice of counsel in connection with this Agreement; (ii) the provisions of this Section 4 are reasonable in scope and in all other respects; (iii) any violation of these provisions will res 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 s to breach any of the provision of this section 4, the Company shall be entitled, in addition to all other remedies, to seek an injunction restraining any such breach, without any bond or other security being required and without the necessity of showing actual</w:t>
      </w: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422" w:right="5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damages.</w:t>
      </w:r>
    </w:p>
    <w:p>
      <w:pPr>
        <w:spacing w:after="0" w:line="225" w:lineRule="exact"/>
        <w:rPr>
          <w:sz w:val="20"/>
          <w:szCs w:val="20"/>
          <w:color w:val="auto"/>
        </w:rPr>
      </w:pPr>
    </w:p>
    <w:p>
      <w:pPr>
        <w:ind w:right="360" w:firstLine="808"/>
        <w:spacing w:after="0" w:line="277" w:lineRule="auto"/>
        <w:rPr>
          <w:sz w:val="20"/>
          <w:szCs w:val="20"/>
          <w:color w:val="auto"/>
        </w:rPr>
      </w:pPr>
      <w:r>
        <w:rPr>
          <w:rFonts w:ascii="Arial" w:cs="Arial" w:eastAsia="Arial" w:hAnsi="Arial"/>
          <w:sz w:val="18"/>
          <w:szCs w:val="18"/>
          <w:color w:val="auto"/>
        </w:rPr>
        <w:t>As it relates to Section 4.4, only, Executive shall be entitled to seek any remedy available to him under applicable law and is not limited by the provisions of Section 11 of this Agreement.</w:t>
      </w:r>
    </w:p>
    <w:p>
      <w:pPr>
        <w:spacing w:after="0" w:line="180" w:lineRule="exact"/>
        <w:rPr>
          <w:sz w:val="20"/>
          <w:szCs w:val="20"/>
          <w:color w:val="auto"/>
        </w:rPr>
      </w:pPr>
    </w:p>
    <w:p>
      <w:pPr>
        <w:ind w:right="500" w:firstLine="825"/>
        <w:spacing w:after="0" w:line="277"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Severability</w:t>
      </w:r>
      <w:r>
        <w:rPr>
          <w:rFonts w:ascii="Arial" w:cs="Arial" w:eastAsia="Arial" w:hAnsi="Arial"/>
          <w:sz w:val="17"/>
          <w:szCs w:val="17"/>
          <w:color w:val="auto"/>
        </w:rPr>
        <w:t>. If any of the provisions of this Section 4, or any part thereof, are held to be invalid or unenforceable, the same shall not affect the remainder of the covenant or covenants, which shall be given full effect, without regard to the invalid or unenforceable portions. Without limiting the generality of the foregoing, if any of the provisions, or any part thereof, are held to be unenforceable because of the duration of such provision or the area covered thereby, the parties hereto agree that the court making such determination shall have the power to reduce the duration and/or area of such provision and, in its reduced form, such provision shall then be enforceable.</w:t>
      </w:r>
    </w:p>
    <w:p>
      <w:pPr>
        <w:spacing w:after="0" w:line="168" w:lineRule="exact"/>
        <w:rPr>
          <w:sz w:val="20"/>
          <w:szCs w:val="20"/>
          <w:color w:val="auto"/>
        </w:rPr>
      </w:pPr>
    </w:p>
    <w:p>
      <w:pPr>
        <w:ind w:left="1100" w:hanging="985"/>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Executive’s employment shall terminate upon the happening of the following:</w:t>
      </w:r>
    </w:p>
    <w:p>
      <w:pPr>
        <w:spacing w:after="0" w:line="221" w:lineRule="exact"/>
        <w:rPr>
          <w:sz w:val="20"/>
          <w:szCs w:val="20"/>
          <w:color w:val="auto"/>
        </w:rPr>
      </w:pPr>
    </w:p>
    <w:p>
      <w:pPr>
        <w:ind w:left="120" w:right="700" w:firstLine="844"/>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The Company may immediately terminate this Agreement for Cause at any time if the Board determines that Cause exists. For purposes of this Agreement, "Cause" shall mean:</w:t>
      </w:r>
    </w:p>
    <w:p>
      <w:pPr>
        <w:spacing w:after="0" w:line="166" w:lineRule="exact"/>
        <w:rPr>
          <w:sz w:val="20"/>
          <w:szCs w:val="20"/>
          <w:color w:val="auto"/>
        </w:rPr>
      </w:pPr>
    </w:p>
    <w:p>
      <w:pPr>
        <w:ind w:left="520" w:right="220" w:hanging="418"/>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act of intentional dishonesty, fraud, embezzlement, or misappropriation of money, property, or proprietary information in connection with the Executive's responsibilities as an Executive.</w:t>
      </w:r>
    </w:p>
    <w:p>
      <w:pPr>
        <w:spacing w:after="0" w:line="170" w:lineRule="exact"/>
        <w:rPr>
          <w:rFonts w:ascii="Arial" w:cs="Arial" w:eastAsia="Arial" w:hAnsi="Arial"/>
          <w:sz w:val="18"/>
          <w:szCs w:val="18"/>
          <w:color w:val="auto"/>
        </w:rPr>
      </w:pPr>
    </w:p>
    <w:p>
      <w:pPr>
        <w:ind w:left="520" w:hanging="418"/>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Executive's conviction of, or plea of nolo contendere to, a felony offense or to any crime involving moral turpitude;</w:t>
      </w:r>
    </w:p>
    <w:p>
      <w:pPr>
        <w:spacing w:after="0" w:line="225" w:lineRule="exact"/>
        <w:rPr>
          <w:rFonts w:ascii="Arial" w:cs="Arial" w:eastAsia="Arial" w:hAnsi="Arial"/>
          <w:sz w:val="18"/>
          <w:szCs w:val="18"/>
          <w:color w:val="auto"/>
        </w:rPr>
      </w:pPr>
    </w:p>
    <w:p>
      <w:pPr>
        <w:ind w:left="520" w:right="300" w:hanging="418"/>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Executive’s willful misconduct in connection with his employment duties, as reasonably determined by the Board, that is detrimental to the Company, and which is not cured on reasonable notice to Executive;</w:t>
      </w:r>
    </w:p>
    <w:p>
      <w:pPr>
        <w:spacing w:after="0" w:line="170" w:lineRule="exact"/>
        <w:rPr>
          <w:rFonts w:ascii="Arial" w:cs="Arial" w:eastAsia="Arial" w:hAnsi="Arial"/>
          <w:sz w:val="18"/>
          <w:szCs w:val="18"/>
          <w:color w:val="auto"/>
        </w:rPr>
      </w:pPr>
    </w:p>
    <w:p>
      <w:pPr>
        <w:ind w:left="520" w:right="140" w:hanging="418"/>
        <w:spacing w:after="0" w:line="263"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Executive’s unsatisfactory performance, as determined by the Board, including but not limited to, habitual failure or refusal to perform his employment duties under this Agreement if such failure or refusal is not cured by Executive within twenty (20) days after receiving written notice thereof from the Board; or</w:t>
      </w:r>
    </w:p>
    <w:p>
      <w:pPr>
        <w:spacing w:after="0" w:line="183" w:lineRule="exact"/>
        <w:rPr>
          <w:rFonts w:ascii="Arial" w:cs="Arial" w:eastAsia="Arial" w:hAnsi="Arial"/>
          <w:sz w:val="18"/>
          <w:szCs w:val="18"/>
          <w:color w:val="auto"/>
        </w:rPr>
      </w:pPr>
    </w:p>
    <w:p>
      <w:pPr>
        <w:ind w:left="520" w:right="320" w:hanging="418"/>
        <w:spacing w:after="0" w:line="286" w:lineRule="auto"/>
        <w:tabs>
          <w:tab w:leader="none" w:pos="5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Executive's breach of any material provision of this Agreement or any other material agreement between Executive and the Company, or Executive’s breach or violation of any lawful employment policy of the Company, including those prohibiting harassment of another employee, which has or could reasonably have a material detrimental effect on the Company or its reputation.</w:t>
      </w:r>
    </w:p>
    <w:p>
      <w:pPr>
        <w:spacing w:after="0" w:line="161" w:lineRule="exact"/>
        <w:rPr>
          <w:sz w:val="20"/>
          <w:szCs w:val="20"/>
          <w:color w:val="auto"/>
        </w:rPr>
      </w:pPr>
    </w:p>
    <w:p>
      <w:pPr>
        <w:ind w:firstLine="852"/>
        <w:spacing w:after="0" w:line="27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Termination Without Cause</w:t>
      </w:r>
      <w:r>
        <w:rPr>
          <w:rFonts w:ascii="Arial" w:cs="Arial" w:eastAsia="Arial" w:hAnsi="Arial"/>
          <w:sz w:val="17"/>
          <w:szCs w:val="17"/>
          <w:color w:val="auto"/>
        </w:rPr>
        <w:t>. The Company may terminate this Agreement and all of the Company' s obligations hereunder (except as hereinafter provided) Without Cause at any time during the Employment term by giving the Executive twelve (12) months’ notice or payment of twelve (12) months Base Salary in lieu of notice (as described in Section 6.2 below). For purposes of this Agreement, "Without Cause" shall mean termination by the Company of Executive's employment for any reason, other than as specified in Sections 5.1 or 5.3 hereof. Upon a termination by the Company Without Cause, Executive shall receive the compensation and benefit continuation required by Section 6.2 below.</w:t>
      </w:r>
    </w:p>
    <w:p>
      <w:pPr>
        <w:spacing w:after="0" w:line="181"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Termination Due to Disability or Death</w:t>
      </w:r>
      <w:r>
        <w:rPr>
          <w:rFonts w:ascii="Arial" w:cs="Arial" w:eastAsia="Arial" w:hAnsi="Arial"/>
          <w:sz w:val="16"/>
          <w:szCs w:val="16"/>
          <w:color w:val="auto"/>
        </w:rPr>
        <w:t>. Executive's employment hereunder may be terminated by the Company as follows:</w:t>
      </w:r>
    </w:p>
    <w:p>
      <w:pPr>
        <w:spacing w:after="0" w:line="243" w:lineRule="exact"/>
        <w:rPr>
          <w:sz w:val="20"/>
          <w:szCs w:val="20"/>
          <w:color w:val="auto"/>
        </w:rPr>
      </w:pPr>
    </w:p>
    <w:p>
      <w:pPr>
        <w:jc w:val="both"/>
        <w:ind w:left="840" w:right="320" w:hanging="414"/>
        <w:spacing w:after="0" w:line="263" w:lineRule="auto"/>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extent permitted by law, upon thirty (30) days' written notice to Executive in the event that Executive is unable to perform the duties specified in this Agreement by reason of any medically determinable physical or mental impairment that can be expected to result in death or can be expected to</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116" w:name="page117"/>
    <w:bookmarkEnd w:id="116"/>
    <w:p>
      <w:pPr>
        <w:ind w:left="840"/>
        <w:spacing w:after="0"/>
        <w:rPr>
          <w:sz w:val="20"/>
          <w:szCs w:val="20"/>
          <w:color w:val="auto"/>
        </w:rPr>
      </w:pPr>
      <w:r>
        <w:rPr>
          <w:rFonts w:ascii="Arial" w:cs="Arial" w:eastAsia="Arial" w:hAnsi="Arial"/>
          <w:sz w:val="18"/>
          <w:szCs w:val="18"/>
          <w:color w:val="auto"/>
        </w:rPr>
        <w:t>last for a continuous period of not less than twelve (12) months; or</w:t>
      </w:r>
    </w:p>
    <w:p>
      <w:pPr>
        <w:spacing w:after="0" w:line="239" w:lineRule="exact"/>
        <w:rPr>
          <w:sz w:val="20"/>
          <w:szCs w:val="20"/>
          <w:color w:val="auto"/>
        </w:rPr>
      </w:pPr>
    </w:p>
    <w:p>
      <w:pPr>
        <w:ind w:left="840" w:hanging="414"/>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Immediately upon the death of Executive.</w:t>
      </w:r>
    </w:p>
    <w:p>
      <w:pPr>
        <w:spacing w:after="0" w:line="235" w:lineRule="exact"/>
        <w:rPr>
          <w:sz w:val="20"/>
          <w:szCs w:val="20"/>
          <w:color w:val="auto"/>
        </w:rPr>
      </w:pPr>
    </w:p>
    <w:p>
      <w:pPr>
        <w:ind w:right="20" w:firstLine="829"/>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Voluntary Termination by Executive</w:t>
      </w:r>
      <w:r>
        <w:rPr>
          <w:rFonts w:ascii="Arial" w:cs="Arial" w:eastAsia="Arial" w:hAnsi="Arial"/>
          <w:sz w:val="18"/>
          <w:szCs w:val="18"/>
          <w:color w:val="auto"/>
        </w:rPr>
        <w:t>. Executive’s employment hereunder may be terminated by Executive for any reason upon Executive providing Company with written notice to terminate ("Termination Notice"). Executive shall provide such Termination Notice as soon reasonably possible prior to Executive’s termination date given Executive's future plans, but in no event less than 30 days nor more than 120 days prior to termination. As from receipt by the Company of the Termination Notice the Company shall pay Executive his Base Salary, and any bonus decided by the Board shall be prorated through his termination date.</w:t>
      </w:r>
    </w:p>
    <w:p>
      <w:pPr>
        <w:spacing w:after="0" w:line="197" w:lineRule="exact"/>
        <w:rPr>
          <w:sz w:val="20"/>
          <w:szCs w:val="20"/>
          <w:color w:val="auto"/>
        </w:rPr>
      </w:pPr>
    </w:p>
    <w:p>
      <w:pPr>
        <w:ind w:right="40" w:firstLine="829"/>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Good Reason</w:t>
      </w:r>
      <w:r>
        <w:rPr>
          <w:rFonts w:ascii="Arial" w:cs="Arial" w:eastAsia="Arial" w:hAnsi="Arial"/>
          <w:sz w:val="16"/>
          <w:szCs w:val="16"/>
          <w:color w:val="auto"/>
        </w:rPr>
        <w:t>. Executive shall be considered to have resigned for Good Reason in any of the following events or conditions which occur without the Executive's written consent, and which remain in effect after notice has been provided by the Executive to the Company of such material reduction and the expiration of a 30 day cure period, unless those events constitute or arise as a result of the occurrence of a "Cause" event or circumstance as defined in Section 5.1, above: (i) a material reduction in the Executive’s Base Salary unless a proportionate reduction is made to the Base Salary of all members of the Company's senior management; (ii) a material diminution in the Executive's authority, duties or responsibilities including a requirement that the CEO report to a corporate officer or employee instead of reporting directly to the Board; (iii) a decision by the Company which would require the Executive to change his principle residence from Denver, CO; or (iv) any other action or inaction that constitutes a material breach by the Company of this Agreement. The Executive' s notification to the Company must be in writing and must occur within a reasonable period of time, not to exceed 90 days, following the Executive's discovery of the relevant event or condition.</w:t>
      </w:r>
    </w:p>
    <w:p>
      <w:pPr>
        <w:spacing w:after="0" w:line="180"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 xml:space="preserve">Definition of Termination of Employment or Separation from Service: </w:t>
      </w:r>
      <w:r>
        <w:rPr>
          <w:rFonts w:ascii="Arial" w:cs="Arial" w:eastAsia="Arial" w:hAnsi="Arial"/>
          <w:sz w:val="16"/>
          <w:szCs w:val="16"/>
          <w:color w:val="auto"/>
        </w:rPr>
        <w:t>The terms "termination," "resignation," "termination</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of employment," or any other term reasonably interpreted to mean a separation from service, will be used interchangeably to mean "Separation from Service" under Section 409A of the Internal Revenue Code of the United States Department of Treasury ("Section 409A"), unless specifically stated otherwise herein. Separation From Service shall mean:</w:t>
      </w:r>
    </w:p>
    <w:p>
      <w:pPr>
        <w:spacing w:after="0" w:line="190" w:lineRule="exact"/>
        <w:rPr>
          <w:sz w:val="20"/>
          <w:szCs w:val="20"/>
          <w:color w:val="auto"/>
        </w:rPr>
      </w:pPr>
    </w:p>
    <w:p>
      <w:pPr>
        <w:ind w:left="1680" w:hanging="843"/>
        <w:spacing w:after="0"/>
        <w:tabs>
          <w:tab w:leader="none" w:pos="1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date upon which the Company and Executive reasonably anticipate that Executive will perform no services; or</w:t>
      </w:r>
    </w:p>
    <w:p>
      <w:pPr>
        <w:spacing w:after="0" w:line="157" w:lineRule="exact"/>
        <w:rPr>
          <w:rFonts w:ascii="Arial" w:cs="Arial" w:eastAsia="Arial" w:hAnsi="Arial"/>
          <w:sz w:val="18"/>
          <w:szCs w:val="18"/>
          <w:color w:val="auto"/>
        </w:rPr>
      </w:pPr>
    </w:p>
    <w:p>
      <w:pPr>
        <w:ind w:left="940" w:right="560" w:hanging="4"/>
        <w:spacing w:after="0" w:line="263" w:lineRule="auto"/>
        <w:tabs>
          <w:tab w:leader="none" w:pos="1843"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date Executive’s level of bona fide services to the Company permanently decrease to no more than twenty (20) percent of the average level of bona fide services performed over the immediately preceding 36-month period (or the full period of services if Executive has been providing services for less than 36-months).</w:t>
      </w:r>
    </w:p>
    <w:p>
      <w:pPr>
        <w:spacing w:after="0" w:line="98" w:lineRule="exact"/>
        <w:rPr>
          <w:rFonts w:ascii="Arial" w:cs="Arial" w:eastAsia="Arial" w:hAnsi="Arial"/>
          <w:sz w:val="18"/>
          <w:szCs w:val="18"/>
          <w:color w:val="auto"/>
        </w:rPr>
      </w:pPr>
    </w:p>
    <w:p>
      <w:pPr>
        <w:ind w:left="780" w:hanging="772"/>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w:t>
      </w:r>
    </w:p>
    <w:p>
      <w:pPr>
        <w:spacing w:after="0" w:line="256" w:lineRule="exact"/>
        <w:rPr>
          <w:sz w:val="20"/>
          <w:szCs w:val="20"/>
          <w:color w:val="auto"/>
        </w:rPr>
      </w:pPr>
    </w:p>
    <w:p>
      <w:pPr>
        <w:ind w:right="60" w:firstLine="829"/>
        <w:spacing w:after="0" w:line="277" w:lineRule="auto"/>
        <w:rPr>
          <w:sz w:val="20"/>
          <w:szCs w:val="20"/>
          <w:color w:val="auto"/>
        </w:rPr>
      </w:pPr>
      <w:r>
        <w:rPr>
          <w:rFonts w:ascii="Arial" w:cs="Arial" w:eastAsia="Arial" w:hAnsi="Arial"/>
          <w:sz w:val="18"/>
          <w:szCs w:val="18"/>
          <w:color w:val="auto"/>
        </w:rPr>
        <w:t>6.1 In the event that Executive's employment is terminated by the Company for Cause pursuant to Section 5.1 or by Executive due to a voluntary resignation pursuant to Section 5.4 above:</w:t>
      </w:r>
    </w:p>
    <w:p>
      <w:pPr>
        <w:spacing w:after="0" w:line="184" w:lineRule="exact"/>
        <w:rPr>
          <w:sz w:val="20"/>
          <w:szCs w:val="20"/>
          <w:color w:val="auto"/>
        </w:rPr>
      </w:pPr>
    </w:p>
    <w:p>
      <w:pPr>
        <w:ind w:left="1800" w:right="520" w:hanging="415"/>
        <w:spacing w:after="0" w:line="279"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(through Avita America) shall pay to Executive, or his representatives, on the date of termination of employment (the 'Termination Date") only that portion of the Base Salary provided in Section 3.1 that has been earned but unpaid to the Termination Date, and any accrued but unpaid Vacation pay provided in Section 3.5, and any expense reimbursements due and owing to Executive as of the Termination Date; and</w:t>
      </w:r>
    </w:p>
    <w:p>
      <w:pPr>
        <w:spacing w:after="0" w:line="184" w:lineRule="exact"/>
        <w:rPr>
          <w:rFonts w:ascii="Arial" w:cs="Arial" w:eastAsia="Arial" w:hAnsi="Arial"/>
          <w:sz w:val="17"/>
          <w:szCs w:val="17"/>
          <w:color w:val="auto"/>
        </w:rPr>
      </w:pPr>
    </w:p>
    <w:p>
      <w:pPr>
        <w:ind w:left="1800" w:right="340" w:hanging="415"/>
        <w:spacing w:after="0" w:line="342" w:lineRule="auto"/>
        <w:tabs>
          <w:tab w:leader="none" w:pos="1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Executive shall not be entitled to (i) any other salary or compensation, (ii) any Annual Bonus or any other bonus pursuant to Section 3.2, any Long-Term Incentive pursuant to Section 3.3, nor (iii) any Benefits pursuant to Section 3.6.</w:t>
      </w:r>
    </w:p>
    <w:p>
      <w:pPr>
        <w:spacing w:after="0" w:line="36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320" w:top="355" w:right="679" w:bottom="1440" w:gutter="0" w:footer="0" w:header="0"/>
        </w:sectPr>
      </w:pPr>
    </w:p>
    <w:bookmarkStart w:id="117" w:name="page118"/>
    <w:bookmarkEnd w:id="117"/>
    <w:p>
      <w:pPr>
        <w:ind w:left="880"/>
        <w:spacing w:after="0"/>
        <w:tabs>
          <w:tab w:leader="none" w:pos="2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Termination Without Cause</w:t>
      </w:r>
      <w:r>
        <w:rPr>
          <w:rFonts w:ascii="Arial" w:cs="Arial" w:eastAsia="Arial" w:hAnsi="Arial"/>
          <w:sz w:val="16"/>
          <w:szCs w:val="16"/>
          <w:color w:val="auto"/>
        </w:rPr>
        <w:t>. In the event Executive's employment is terminated Without Cause pursuant to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5.2 above, the Company (through Avita America) shall pay to Executive, or his representatives, on the Termination Date the following:</w:t>
      </w:r>
    </w:p>
    <w:p>
      <w:pPr>
        <w:spacing w:after="0" w:line="222" w:lineRule="exact"/>
        <w:rPr>
          <w:sz w:val="20"/>
          <w:szCs w:val="20"/>
          <w:color w:val="auto"/>
        </w:rPr>
      </w:pPr>
    </w:p>
    <w:p>
      <w:pPr>
        <w:ind w:left="1800" w:hanging="841"/>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payments, if any, referred to in Section 6.1(a) above; and</w:t>
      </w:r>
    </w:p>
    <w:p>
      <w:pPr>
        <w:spacing w:after="0" w:line="238" w:lineRule="exact"/>
        <w:rPr>
          <w:rFonts w:ascii="Arial" w:cs="Arial" w:eastAsia="Arial" w:hAnsi="Arial"/>
          <w:sz w:val="18"/>
          <w:szCs w:val="18"/>
          <w:color w:val="auto"/>
        </w:rPr>
      </w:pPr>
    </w:p>
    <w:p>
      <w:pPr>
        <w:ind w:left="120" w:right="100" w:firstLine="839"/>
        <w:spacing w:after="0" w:line="296" w:lineRule="auto"/>
        <w:tabs>
          <w:tab w:leader="none" w:pos="18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Subject to the Executive’s execution and delivery to the Company of a written general release in the standard form, a sample of which is attached to this Agreement as Annexure C, requested by the Company, and the Executive’s continued compliance with the terms of such release and Section 4 hereof, the Company (through Avita America) shall pay Executive as severance pay a lump-sum payment (less applicable withholding taxes) equal to twelve (12) months of Executive’s annual Base Salary as in effect immediately prior to Executive’s termination date. In no event shall the lump sum severance payment be made later than March 15th following the year in which the Termination Date occurs.</w:t>
      </w:r>
    </w:p>
    <w:p>
      <w:pPr>
        <w:spacing w:after="0" w:line="157" w:lineRule="exact"/>
        <w:rPr>
          <w:sz w:val="20"/>
          <w:szCs w:val="20"/>
          <w:color w:val="auto"/>
        </w:rPr>
      </w:pPr>
    </w:p>
    <w:p>
      <w:pPr>
        <w:ind w:left="120" w:right="320" w:firstLine="782"/>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Termination Due to Disability or Death</w:t>
      </w:r>
      <w:r>
        <w:rPr>
          <w:rFonts w:ascii="Arial" w:cs="Arial" w:eastAsia="Arial" w:hAnsi="Arial"/>
          <w:sz w:val="18"/>
          <w:szCs w:val="18"/>
          <w:color w:val="auto"/>
        </w:rPr>
        <w:t>. In the event Executive 's employment is terminated due to Disability or death pursuant to Section 5.3 above, the Company (through Avita America) shall pay to Executive, or his representatives, on the Termination Date the following:</w:t>
      </w:r>
    </w:p>
    <w:p>
      <w:pPr>
        <w:spacing w:after="0" w:line="193" w:lineRule="exact"/>
        <w:rPr>
          <w:sz w:val="20"/>
          <w:szCs w:val="20"/>
          <w:color w:val="auto"/>
        </w:rPr>
      </w:pPr>
    </w:p>
    <w:p>
      <w:pPr>
        <w:ind w:left="1280" w:hanging="422"/>
        <w:spacing w:after="0"/>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payments, if any, referred to in Section 6.1(a) above; and</w:t>
      </w:r>
    </w:p>
    <w:p>
      <w:pPr>
        <w:spacing w:after="0" w:line="238" w:lineRule="exact"/>
        <w:rPr>
          <w:rFonts w:ascii="Arial" w:cs="Arial" w:eastAsia="Arial" w:hAnsi="Arial"/>
          <w:sz w:val="18"/>
          <w:szCs w:val="18"/>
          <w:color w:val="auto"/>
        </w:rPr>
      </w:pPr>
    </w:p>
    <w:p>
      <w:pPr>
        <w:ind w:left="1280" w:right="20" w:hanging="422"/>
        <w:spacing w:after="0" w:line="271" w:lineRule="auto"/>
        <w:tabs>
          <w:tab w:leader="none" w:pos="12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a Termination Due to Disability or Death, and subject to the Executive' s execution and delivery to the Company of a written general release in the standard form, a sample of which is attached to this Agreement as Annexure C, requested by the Company, and the Executive's continued compliance with the terms of such release and Section 4 hereof, Company (through Avita America) shall pay Executive as severance pay a lump-sum payment (less applicable withholding taxes) equal to twelve (12) month s of Executive's annual Base Salary as in effect immediately prior to Executive 's Termination Date. In the event Executive is unable, for any reason, to accept the payments contemplated by this provision, any amounts due under this provision shall be paid to Executive's guardian, conservator, estate or other applicable person or entity. In no event shall the lump sum severance payment be made later than March 15th following the year in which the Termination Date occurs.</w:t>
      </w:r>
    </w:p>
    <w:p>
      <w:pPr>
        <w:spacing w:after="0" w:line="200" w:lineRule="exact"/>
        <w:rPr>
          <w:sz w:val="20"/>
          <w:szCs w:val="20"/>
          <w:color w:val="auto"/>
        </w:rPr>
      </w:pPr>
    </w:p>
    <w:p>
      <w:pPr>
        <w:spacing w:after="0" w:line="217"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Resignation for Good Reason</w:t>
      </w:r>
      <w:r>
        <w:rPr>
          <w:rFonts w:ascii="Arial" w:cs="Arial" w:eastAsia="Arial" w:hAnsi="Arial"/>
          <w:sz w:val="16"/>
          <w:szCs w:val="16"/>
          <w:color w:val="auto"/>
        </w:rPr>
        <w:t>. ln the event the Executive' resign s for Good Reason pursuant to Section 5.5 above,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(through Avita America) shall pay to the Executive, or his representatives, on the Termination Date the following:</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The payments, if any, referred to in Section 6.1(a) above; and</w:t>
      </w:r>
    </w:p>
    <w:p>
      <w:pPr>
        <w:spacing w:after="0" w:line="198" w:lineRule="exact"/>
        <w:rPr>
          <w:sz w:val="20"/>
          <w:szCs w:val="20"/>
          <w:color w:val="auto"/>
        </w:rPr>
      </w:pPr>
    </w:p>
    <w:p>
      <w:pPr>
        <w:ind w:left="120" w:firstLine="844"/>
        <w:spacing w:after="0" w:line="296" w:lineRule="auto"/>
        <w:rPr>
          <w:sz w:val="20"/>
          <w:szCs w:val="20"/>
          <w:color w:val="auto"/>
        </w:rPr>
      </w:pPr>
      <w:r>
        <w:rPr>
          <w:rFonts w:ascii="Arial" w:cs="Arial" w:eastAsia="Arial" w:hAnsi="Arial"/>
          <w:sz w:val="16"/>
          <w:szCs w:val="16"/>
          <w:color w:val="auto"/>
        </w:rPr>
        <w:t>b. For a Resignation for Good Reason, and subject to the Executive's execution and delivery to the Company of a written general release in the standard form, a sample of which is attached to this Agreement as Annexure C, requested by the Company, and the Executive’s continued compliance with the terms of such release and Section 4 hereof, Company (through Avita America) shall pay Executive as severance pay a lump-sum payment (less applicable withholding taxes) equal to twelve (12) months of Executive's annual Base Salary as in effect immediately prior to Executive 's termination date. In no event shall the lump sum severance payment be made later than March 15th following the year in which the Termination Date occurs.</w:t>
      </w:r>
    </w:p>
    <w:p>
      <w:pPr>
        <w:spacing w:after="0" w:line="144" w:lineRule="exact"/>
        <w:rPr>
          <w:sz w:val="20"/>
          <w:szCs w:val="20"/>
          <w:color w:val="auto"/>
        </w:rPr>
      </w:pPr>
    </w:p>
    <w:p>
      <w:pPr>
        <w:jc w:val="both"/>
        <w:ind w:left="120" w:right="20" w:firstLine="844"/>
        <w:spacing w:after="0" w:line="26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Pay In Lieu of Notice</w:t>
      </w:r>
      <w:r>
        <w:rPr>
          <w:rFonts w:ascii="Arial" w:cs="Arial" w:eastAsia="Arial" w:hAnsi="Arial"/>
          <w:sz w:val="18"/>
          <w:szCs w:val="18"/>
          <w:color w:val="auto"/>
        </w:rPr>
        <w:t>. Except as expressly provided in Sections 6.1 through 6.4 and Sections 6.6 and 6.7 hereof or as required by applicable law, upon the termination of the Executive' s employment hereunder, the Executive shall have no further rights to any compensation or benefits from the Company or Avita America. The Company reserves the right to relieve Executive of all duties during any notice period that is required pursuant to the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18" w:name="page119"/>
    <w:bookmarkEnd w:id="118"/>
    <w:p>
      <w:pPr>
        <w:ind w:left="5"/>
        <w:spacing w:after="0" w:line="277" w:lineRule="auto"/>
        <w:rPr>
          <w:sz w:val="20"/>
          <w:szCs w:val="20"/>
          <w:color w:val="auto"/>
        </w:rPr>
      </w:pPr>
      <w:r>
        <w:rPr>
          <w:rFonts w:ascii="Arial" w:cs="Arial" w:eastAsia="Arial" w:hAnsi="Arial"/>
          <w:sz w:val="18"/>
          <w:szCs w:val="18"/>
          <w:color w:val="auto"/>
        </w:rPr>
        <w:t>provisions of Section 5 above and provide comparable pay and benefits in lieu of notice during such notice period. Nothing in this Section 6.5 shall limit Executive's entitlement to benefits to the extent outlined elsewhere in this Agreement.</w:t>
      </w:r>
    </w:p>
    <w:p>
      <w:pPr>
        <w:spacing w:after="0" w:line="180" w:lineRule="exact"/>
        <w:rPr>
          <w:sz w:val="20"/>
          <w:szCs w:val="20"/>
          <w:color w:val="auto"/>
        </w:rPr>
      </w:pPr>
    </w:p>
    <w:p>
      <w:pPr>
        <w:ind w:left="5" w:right="400" w:firstLine="807"/>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Payment Restriction under Corporations Act 2001</w:t>
      </w:r>
      <w:r>
        <w:rPr>
          <w:rFonts w:ascii="Arial" w:cs="Arial" w:eastAsia="Arial" w:hAnsi="Arial"/>
          <w:sz w:val="18"/>
          <w:szCs w:val="18"/>
          <w:color w:val="auto"/>
        </w:rPr>
        <w:t>. The Parties agree and acknowledge that notwithstanding any other provision of this Agreement (and in particular, sections 6.1 through 6.5) to the contrary, the Company is subject to, and must comply with, the provisions of the Australian Corporations Act 2001 (Cth) and the ASX Listing Rules. Without limiting the generality of the foregoing, sections 5 and 6 of this Agreement are subject to prohibition under the Corporations Act 2001 (Cth) that a company may not give a person a benefit in connection with a person's retirement from an office (being a managerial or executive position within the 3 years prior to retirement), or position of employment, in a company (or an associate of that company), in aggregate value in excess of the equivalent of the average of the Employee' s annual base salary for each of the previous 3 years, without prior approval of the Company’s shareholders. For these purposes, a ' benefit' includes a payment or other valuable consideration and ‘retirement' includes loss of office or position, resignation from the office and death of the officeholder.</w:t>
      </w:r>
    </w:p>
    <w:p>
      <w:pPr>
        <w:spacing w:after="0" w:line="188" w:lineRule="exact"/>
        <w:rPr>
          <w:sz w:val="20"/>
          <w:szCs w:val="20"/>
          <w:color w:val="auto"/>
        </w:rPr>
      </w:pPr>
    </w:p>
    <w:p>
      <w:pPr>
        <w:ind w:left="1045" w:hanging="1045"/>
        <w:spacing w:after="0"/>
        <w:tabs>
          <w:tab w:leader="none" w:pos="1045"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Directors and Officers Insurance Coverage.</w:t>
      </w:r>
    </w:p>
    <w:p>
      <w:pPr>
        <w:spacing w:after="0" w:line="229" w:lineRule="exact"/>
        <w:rPr>
          <w:sz w:val="20"/>
          <w:szCs w:val="20"/>
          <w:color w:val="auto"/>
        </w:rPr>
      </w:pPr>
    </w:p>
    <w:p>
      <w:pPr>
        <w:ind w:left="5" w:right="260" w:firstLine="819"/>
        <w:spacing w:after="0" w:line="296" w:lineRule="auto"/>
        <w:rPr>
          <w:sz w:val="20"/>
          <w:szCs w:val="20"/>
          <w:color w:val="auto"/>
        </w:rPr>
      </w:pPr>
      <w:r>
        <w:rPr>
          <w:rFonts w:ascii="Arial" w:cs="Arial" w:eastAsia="Arial" w:hAnsi="Arial"/>
          <w:sz w:val="16"/>
          <w:szCs w:val="16"/>
          <w:color w:val="auto"/>
        </w:rPr>
        <w:t>The Company hereby covenants and agrees that, so long as the Executive shall continue to serve as an officer of the Company and thereafter so long as the Executive shall be subject to any possible proceedings by reason of the fact that Executive was an officer of the Company, the Company shall use reasonable efforts to obtain and maintain in full force and effect directors' and officers' liability insurance ("D&amp;O Insurance") in reasonable amounts from established and reputable insurers to the extent permitted by applicable Australian law, and Executive shall be a covered party under such D&amp;O Insurance to the maximum extent of the coverage available for any director or officer of the Company.</w:t>
      </w:r>
    </w:p>
    <w:p>
      <w:pPr>
        <w:spacing w:after="0" w:line="161" w:lineRule="exact"/>
        <w:rPr>
          <w:sz w:val="20"/>
          <w:szCs w:val="20"/>
          <w:color w:val="auto"/>
        </w:rPr>
      </w:pPr>
    </w:p>
    <w:p>
      <w:pPr>
        <w:ind w:left="5" w:right="400" w:firstLine="819"/>
        <w:spacing w:after="0" w:line="257" w:lineRule="auto"/>
        <w:rPr>
          <w:sz w:val="20"/>
          <w:szCs w:val="20"/>
          <w:color w:val="auto"/>
        </w:rPr>
      </w:pPr>
      <w:r>
        <w:rPr>
          <w:rFonts w:ascii="Arial" w:cs="Arial" w:eastAsia="Arial" w:hAnsi="Arial"/>
          <w:sz w:val="18"/>
          <w:szCs w:val="18"/>
          <w:color w:val="auto"/>
        </w:rPr>
        <w:t>Notwithstanding the foregoing, the Company shall have no obligation to obtain or maintain D&amp;O Insurance if the Company determines in good faith that such insurance is not reasonably available, the premium costs for such insurance are disproportionate to the amount of coverage provided, the coverage is reduced by exclusions so as to provide an insufficient benefit or such insurance is not permitted under applicable law. For absence of doubt, so long as the Company maintains D&amp;O insurance for any Officer or Director of the Company, Company shall maintain D&amp;O Insurance for Executive subject to the terms of this Section 7.</w:t>
      </w:r>
    </w:p>
    <w:p>
      <w:pPr>
        <w:spacing w:after="0" w:line="188" w:lineRule="exact"/>
        <w:rPr>
          <w:sz w:val="20"/>
          <w:szCs w:val="20"/>
          <w:color w:val="auto"/>
        </w:rPr>
      </w:pPr>
    </w:p>
    <w:p>
      <w:pPr>
        <w:ind w:left="5" w:right="360" w:firstLine="804"/>
        <w:spacing w:after="0" w:line="259" w:lineRule="auto"/>
        <w:rPr>
          <w:sz w:val="20"/>
          <w:szCs w:val="20"/>
          <w:color w:val="auto"/>
        </w:rPr>
      </w:pPr>
      <w:r>
        <w:rPr>
          <w:rFonts w:ascii="Arial" w:cs="Arial" w:eastAsia="Arial" w:hAnsi="Arial"/>
          <w:sz w:val="18"/>
          <w:szCs w:val="18"/>
          <w:color w:val="auto"/>
        </w:rPr>
        <w:t>In the event of a change in control of the Company pursuant to which the Company or any successor is obligated to provide D&amp;O Insurance for a period following the effective date of the transaction or to purchase a D&amp;O Insurance tail policy, Executive shall be a covered party under such D&amp;O Insurance or tail policy to the maximum extent of the coverage permitted by applicable Australian law and otherwise available for any director or officer of the Company.</w:t>
      </w:r>
    </w:p>
    <w:p>
      <w:pPr>
        <w:spacing w:after="0" w:line="129" w:lineRule="exact"/>
        <w:rPr>
          <w:sz w:val="20"/>
          <w:szCs w:val="20"/>
          <w:color w:val="auto"/>
        </w:rPr>
      </w:pPr>
    </w:p>
    <w:p>
      <w:pPr>
        <w:ind w:left="905" w:hanging="905"/>
        <w:spacing w:after="0"/>
        <w:tabs>
          <w:tab w:leader="none" w:pos="905"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Post-Termination Litigation.</w:t>
      </w:r>
    </w:p>
    <w:p>
      <w:pPr>
        <w:spacing w:after="0" w:line="229" w:lineRule="exact"/>
        <w:rPr>
          <w:sz w:val="20"/>
          <w:szCs w:val="20"/>
          <w:color w:val="auto"/>
        </w:rPr>
      </w:pPr>
    </w:p>
    <w:p>
      <w:pPr>
        <w:ind w:left="5" w:right="580" w:firstLine="787"/>
        <w:spacing w:after="0" w:line="273" w:lineRule="auto"/>
        <w:rPr>
          <w:sz w:val="20"/>
          <w:szCs w:val="20"/>
          <w:color w:val="auto"/>
        </w:rPr>
      </w:pPr>
      <w:r>
        <w:rPr>
          <w:rFonts w:ascii="Arial" w:cs="Arial" w:eastAsia="Arial" w:hAnsi="Arial"/>
          <w:sz w:val="17"/>
          <w:szCs w:val="17"/>
          <w:color w:val="auto"/>
        </w:rPr>
        <w:t>Subject to the terms of this Section 8, Executive agrees to participate in any litigation relating to his actions while serving as the CEO of the Company. ln such event, the Company shall, to the extent not provided by the D&amp;O Insurance contemplated by Section 7, above, pay to Executive $3,000 per day for each day or part day he participates in Company litigation, each day or part day he reasonably spends preparing for such litigation and each day or part day he spends traveling on behalf of the Company, traveling to or from any required meetings, proceeding or preparations. Additionally, Company shall pay executive an amount equal to Executive's after-tax cost of any reasonable expenses incurred traveling to or from such required meetings, proceedings, or preparations.</w:t>
      </w:r>
    </w:p>
    <w:p>
      <w:pPr>
        <w:spacing w:after="0" w:line="174" w:lineRule="exact"/>
        <w:rPr>
          <w:sz w:val="20"/>
          <w:szCs w:val="20"/>
          <w:color w:val="auto"/>
        </w:rPr>
      </w:pPr>
    </w:p>
    <w:p>
      <w:pPr>
        <w:ind w:left="945" w:hanging="945"/>
        <w:spacing w:after="0"/>
        <w:tabs>
          <w:tab w:leader="none" w:pos="945"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p>
    <w:p>
      <w:pPr>
        <w:spacing w:after="0" w:line="200" w:lineRule="exact"/>
        <w:rPr>
          <w:sz w:val="20"/>
          <w:szCs w:val="20"/>
          <w:color w:val="auto"/>
        </w:rPr>
      </w:pPr>
    </w:p>
    <w:p>
      <w:pPr>
        <w:spacing w:after="0" w:line="272" w:lineRule="exact"/>
        <w:rPr>
          <w:sz w:val="20"/>
          <w:szCs w:val="20"/>
          <w:color w:val="auto"/>
        </w:rPr>
      </w:pPr>
    </w:p>
    <w:p>
      <w:pPr>
        <w:jc w:val="center"/>
        <w:ind w:right="-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5"/>
          </w:cols>
          <w:pgMar w:left="435" w:top="557" w:right="459" w:bottom="1440" w:gutter="0" w:footer="0" w:header="0"/>
        </w:sectPr>
      </w:pPr>
    </w:p>
    <w:bookmarkStart w:id="119" w:name="page120"/>
    <w:bookmarkEnd w:id="119"/>
    <w:p>
      <w:pPr>
        <w:jc w:val="both"/>
        <w:ind w:left="5" w:right="200" w:firstLine="778"/>
        <w:spacing w:after="0" w:line="263" w:lineRule="auto"/>
        <w:rPr>
          <w:sz w:val="20"/>
          <w:szCs w:val="20"/>
          <w:color w:val="auto"/>
        </w:rPr>
      </w:pPr>
      <w:r>
        <w:rPr>
          <w:rFonts w:ascii="Arial" w:cs="Arial" w:eastAsia="Arial" w:hAnsi="Arial"/>
          <w:sz w:val="18"/>
          <w:szCs w:val="18"/>
          <w:color w:val="auto"/>
        </w:rPr>
        <w:t>This Agreement is personal in nature, and neither this Agreement nor any part of any obligation herein shall be assignable by Executive. The Company shall be entitled to assign this Agreement to any affiliate of the Company or any entity that assumes the ownership and control of the business of the Company.</w:t>
      </w:r>
    </w:p>
    <w:p>
      <w:pPr>
        <w:spacing w:after="0" w:line="180" w:lineRule="exact"/>
        <w:rPr>
          <w:sz w:val="20"/>
          <w:szCs w:val="20"/>
          <w:color w:val="auto"/>
        </w:rPr>
      </w:pPr>
    </w:p>
    <w:p>
      <w:pPr>
        <w:ind w:left="865" w:hanging="865"/>
        <w:spacing w:after="0"/>
        <w:tabs>
          <w:tab w:leader="none" w:pos="865"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ind w:left="5" w:right="400" w:firstLine="787"/>
        <w:spacing w:after="0" w:line="263" w:lineRule="auto"/>
        <w:rPr>
          <w:sz w:val="20"/>
          <w:szCs w:val="20"/>
          <w:color w:val="auto"/>
        </w:rPr>
      </w:pPr>
      <w:r>
        <w:rPr>
          <w:rFonts w:ascii="Arial" w:cs="Arial" w:eastAsia="Arial" w:hAnsi="Arial"/>
          <w:sz w:val="18"/>
          <w:szCs w:val="18"/>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80" w:lineRule="exact"/>
        <w:rPr>
          <w:sz w:val="20"/>
          <w:szCs w:val="20"/>
          <w:color w:val="auto"/>
        </w:rPr>
      </w:pPr>
    </w:p>
    <w:p>
      <w:pPr>
        <w:ind w:left="1105" w:hanging="1105"/>
        <w:spacing w:after="0"/>
        <w:tabs>
          <w:tab w:leader="none" w:pos="1105"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Arbitration</w:t>
      </w:r>
    </w:p>
    <w:p>
      <w:pPr>
        <w:spacing w:after="0" w:line="229" w:lineRule="exact"/>
        <w:rPr>
          <w:sz w:val="20"/>
          <w:szCs w:val="20"/>
          <w:color w:val="auto"/>
        </w:rPr>
      </w:pPr>
    </w:p>
    <w:p>
      <w:pPr>
        <w:ind w:left="5" w:right="220" w:firstLine="808"/>
        <w:spacing w:after="0" w:line="254" w:lineRule="auto"/>
        <w:rPr>
          <w:sz w:val="20"/>
          <w:szCs w:val="20"/>
          <w:color w:val="auto"/>
        </w:rPr>
      </w:pPr>
      <w:r>
        <w:rPr>
          <w:rFonts w:ascii="Arial" w:cs="Arial" w:eastAsia="Arial" w:hAnsi="Arial"/>
          <w:sz w:val="18"/>
          <w:szCs w:val="18"/>
          <w:color w:val="auto"/>
        </w:rPr>
        <w:t>Any and all disputes which involve or relate in any way to this Agreement and/or to Executive's employment or termination of employment as CEO of the Company, whether initiated by Executive or by the Company and whether based on contract, tort, statute, or common law, shall be submitted to and resolved by final and binding arbitration as the exclusive method for resolving all such disputes. The arbitration shall be private and confidential and conducted in Los Angeles, California pursuant to the Federal Arbitration Act and applicable California la w, and pursuant to the applicable rules of the American Arbitration Association ("AAA") relating to employment disputes, unless the parties otherwise mutually agree to modify the AAA Rules. A copy of the AAA Employment Rules are available for review at www.adr.org/employment and are incorporated herein by reference.</w:t>
      </w:r>
    </w:p>
    <w:p>
      <w:pPr>
        <w:spacing w:after="0" w:line="195" w:lineRule="exact"/>
        <w:rPr>
          <w:sz w:val="20"/>
          <w:szCs w:val="20"/>
          <w:color w:val="auto"/>
        </w:rPr>
      </w:pPr>
    </w:p>
    <w:p>
      <w:pPr>
        <w:ind w:left="805"/>
        <w:spacing w:after="0"/>
        <w:rPr>
          <w:sz w:val="20"/>
          <w:szCs w:val="20"/>
          <w:color w:val="auto"/>
        </w:rPr>
      </w:pPr>
      <w:r>
        <w:rPr>
          <w:rFonts w:ascii="Arial" w:cs="Arial" w:eastAsia="Arial" w:hAnsi="Arial"/>
          <w:sz w:val="18"/>
          <w:szCs w:val="18"/>
          <w:color w:val="auto"/>
        </w:rPr>
        <w:t>The party demanding arbitration shall submit a written claim to the other party, setting</w:t>
      </w:r>
    </w:p>
    <w:p>
      <w:pPr>
        <w:spacing w:after="0" w:line="23" w:lineRule="exact"/>
        <w:rPr>
          <w:sz w:val="20"/>
          <w:szCs w:val="20"/>
          <w:color w:val="auto"/>
        </w:rPr>
      </w:pPr>
    </w:p>
    <w:p>
      <w:pPr>
        <w:ind w:left="5" w:right="200" w:firstLine="16"/>
        <w:spacing w:after="0" w:line="291" w:lineRule="auto"/>
        <w:rPr>
          <w:sz w:val="20"/>
          <w:szCs w:val="20"/>
          <w:color w:val="auto"/>
        </w:rPr>
      </w:pPr>
      <w:r>
        <w:rPr>
          <w:rFonts w:ascii="Arial" w:cs="Arial" w:eastAsia="Arial" w:hAnsi="Arial"/>
          <w:sz w:val="16"/>
          <w:szCs w:val="16"/>
          <w:color w:val="auto"/>
        </w:rPr>
        <w:t>out the bas 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 parties shall have the right to reasonable disco very. The parties agree 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 s fees relating to the dispute, such as deposition costs, expert witnesses and similar expenses, except as otherwise provided in this Agreement to the prevailing party.</w:t>
      </w:r>
    </w:p>
    <w:p>
      <w:pPr>
        <w:spacing w:after="0" w:line="166" w:lineRule="exact"/>
        <w:rPr>
          <w:sz w:val="20"/>
          <w:szCs w:val="20"/>
          <w:color w:val="auto"/>
        </w:rPr>
      </w:pPr>
    </w:p>
    <w:p>
      <w:pPr>
        <w:ind w:left="5" w:firstLine="777"/>
        <w:spacing w:after="0" w:line="301" w:lineRule="auto"/>
        <w:rPr>
          <w:sz w:val="20"/>
          <w:szCs w:val="20"/>
          <w:color w:val="auto"/>
        </w:rPr>
      </w:pPr>
      <w:r>
        <w:rPr>
          <w:rFonts w:ascii="Arial" w:cs="Arial" w:eastAsia="Arial" w:hAnsi="Arial"/>
          <w:sz w:val="16"/>
          <w:szCs w:val="16"/>
          <w:color w:val="auto"/>
        </w:rPr>
        <w:t>The Arbitrator may award, if properly proven, any damages or remedy that a party could recover in a civil litigation, and shall award costs and reasonable attorneys ' fees to the prevailing party as provided by la w. The award of the Arbitrator shall be issued in writing, setting forth the basis for the decision, and shall be binding on the parties to the fullest extent permitted by law, subject to any limited statutory right to appeal as provided by law. Judgment upon the award of the Arbitrator may be entered in any stat e or federal court sitting in Los Angeles, California.</w:t>
      </w:r>
    </w:p>
    <w:p>
      <w:pPr>
        <w:spacing w:after="0" w:line="157" w:lineRule="exact"/>
        <w:rPr>
          <w:sz w:val="20"/>
          <w:szCs w:val="20"/>
          <w:color w:val="auto"/>
        </w:rPr>
      </w:pPr>
    </w:p>
    <w:p>
      <w:pPr>
        <w:ind w:left="5" w:right="80" w:firstLine="781"/>
        <w:spacing w:after="0" w:line="255" w:lineRule="auto"/>
        <w:rPr>
          <w:sz w:val="20"/>
          <w:szCs w:val="20"/>
          <w:color w:val="auto"/>
        </w:rPr>
      </w:pPr>
      <w:r>
        <w:rPr>
          <w:rFonts w:ascii="Arial" w:cs="Arial" w:eastAsia="Arial" w:hAnsi="Arial"/>
          <w:sz w:val="18"/>
          <w:szCs w:val="18"/>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 any from using existing internal procedures for the resolution of complaints. Employee may bring claims before administrative agencies when the la w permit 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w:t>
      </w:r>
    </w:p>
    <w:p>
      <w:pPr>
        <w:spacing w:after="0" w:line="200" w:lineRule="exact"/>
        <w:rPr>
          <w:sz w:val="20"/>
          <w:szCs w:val="20"/>
          <w:color w:val="auto"/>
        </w:rPr>
      </w:pPr>
    </w:p>
    <w:p>
      <w:pPr>
        <w:spacing w:after="0" w:line="235" w:lineRule="exact"/>
        <w:rPr>
          <w:sz w:val="20"/>
          <w:szCs w:val="20"/>
          <w:color w:val="auto"/>
        </w:rPr>
      </w:pPr>
    </w:p>
    <w:p>
      <w:pPr>
        <w:jc w:val="center"/>
        <w:ind w:right="-2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25"/>
          </w:cols>
          <w:pgMar w:left="435" w:top="571" w:right="639" w:bottom="1440" w:gutter="0" w:footer="0" w:header="0"/>
        </w:sectPr>
      </w:pPr>
    </w:p>
    <w:bookmarkStart w:id="120" w:name="page121"/>
    <w:bookmarkEnd w:id="120"/>
    <w:p>
      <w:pPr>
        <w:ind w:left="18"/>
        <w:spacing w:after="0"/>
        <w:rPr>
          <w:sz w:val="20"/>
          <w:szCs w:val="20"/>
          <w:color w:val="auto"/>
        </w:rPr>
      </w:pPr>
      <w:r>
        <w:rPr>
          <w:rFonts w:ascii="Arial" w:cs="Arial" w:eastAsia="Arial" w:hAnsi="Arial"/>
          <w:sz w:val="18"/>
          <w:szCs w:val="18"/>
          <w:color w:val="auto"/>
        </w:rPr>
        <w:t>Programs. Nothing in this Section shall required arbitration of disputes that are excluded from coverage by this section of by law.</w:t>
      </w:r>
    </w:p>
    <w:p>
      <w:pPr>
        <w:spacing w:after="0" w:line="225" w:lineRule="exact"/>
        <w:rPr>
          <w:sz w:val="20"/>
          <w:szCs w:val="20"/>
          <w:color w:val="auto"/>
        </w:rPr>
      </w:pPr>
    </w:p>
    <w:p>
      <w:pPr>
        <w:ind w:left="18" w:firstLine="781"/>
        <w:spacing w:after="0" w:line="293" w:lineRule="auto"/>
        <w:rPr>
          <w:sz w:val="20"/>
          <w:szCs w:val="20"/>
          <w:color w:val="auto"/>
        </w:rPr>
      </w:pPr>
      <w:r>
        <w:rPr>
          <w:rFonts w:ascii="Arial" w:cs="Arial" w:eastAsia="Arial" w:hAnsi="Arial"/>
          <w:sz w:val="16"/>
          <w:szCs w:val="16"/>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himself and others under the California Private Attorneys General Act of 2004. Executive will not be subject to any retaliation or discrimination if Executive seeks to challenge this arbitration provision or participate in a class, collective, or representative action in any forum, but Company may lawfully see k enforcement of this Agreement under the Federal Arbitration Act and seek dismissal of any class, collective, or representative actions or claims to the fullest extent allowed by law.</w:t>
      </w:r>
    </w:p>
    <w:p>
      <w:pPr>
        <w:spacing w:after="0" w:line="164" w:lineRule="exact"/>
        <w:rPr>
          <w:sz w:val="20"/>
          <w:szCs w:val="20"/>
          <w:color w:val="auto"/>
        </w:rPr>
      </w:pPr>
    </w:p>
    <w:p>
      <w:pPr>
        <w:ind w:left="778"/>
        <w:spacing w:after="0"/>
        <w:rPr>
          <w:sz w:val="20"/>
          <w:szCs w:val="20"/>
          <w:color w:val="auto"/>
        </w:rPr>
      </w:pPr>
      <w:r>
        <w:rPr>
          <w:rFonts w:ascii="Arial" w:cs="Arial" w:eastAsia="Arial" w:hAnsi="Arial"/>
          <w:sz w:val="18"/>
          <w:szCs w:val="18"/>
          <w:color w:val="auto"/>
        </w:rPr>
        <w:t>This provision shall not apply if all or any portion of the dispute falls within the provisions of Section 4.6 of this Agreement.</w:t>
      </w:r>
    </w:p>
    <w:p>
      <w:pPr>
        <w:spacing w:after="0" w:line="221" w:lineRule="exact"/>
        <w:rPr>
          <w:sz w:val="20"/>
          <w:szCs w:val="20"/>
          <w:color w:val="auto"/>
        </w:rPr>
      </w:pPr>
    </w:p>
    <w:p>
      <w:pPr>
        <w:ind w:left="878" w:hanging="865"/>
        <w:spacing w:after="0"/>
        <w:tabs>
          <w:tab w:leader="none" w:pos="878"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ind w:left="18" w:right="180" w:firstLine="777"/>
        <w:spacing w:after="0" w:line="263" w:lineRule="auto"/>
        <w:rPr>
          <w:sz w:val="20"/>
          <w:szCs w:val="20"/>
          <w:color w:val="auto"/>
        </w:rPr>
      </w:pPr>
      <w:r>
        <w:rPr>
          <w:rFonts w:ascii="Arial" w:cs="Arial" w:eastAsia="Arial" w:hAnsi="Arial"/>
          <w:sz w:val="18"/>
          <w:szCs w:val="18"/>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200" w:lineRule="exact"/>
        <w:rPr>
          <w:sz w:val="20"/>
          <w:szCs w:val="20"/>
          <w:color w:val="auto"/>
        </w:rPr>
      </w:pPr>
    </w:p>
    <w:p>
      <w:pPr>
        <w:spacing w:after="0" w:line="223" w:lineRule="exact"/>
        <w:rPr>
          <w:sz w:val="20"/>
          <w:szCs w:val="20"/>
          <w:color w:val="auto"/>
        </w:rPr>
      </w:pPr>
    </w:p>
    <w:p>
      <w:pPr>
        <w:ind w:left="418" w:hanging="418"/>
        <w:spacing w:after="0"/>
        <w:tabs>
          <w:tab w:leader="none" w:pos="41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IRC Section 409A</w:t>
      </w:r>
    </w:p>
    <w:p>
      <w:pPr>
        <w:spacing w:after="0" w:line="229" w:lineRule="exact"/>
        <w:rPr>
          <w:sz w:val="20"/>
          <w:szCs w:val="20"/>
          <w:color w:val="auto"/>
        </w:rPr>
      </w:pPr>
    </w:p>
    <w:p>
      <w:pPr>
        <w:ind w:left="18" w:right="40" w:firstLine="780"/>
        <w:spacing w:after="0" w:line="293" w:lineRule="auto"/>
        <w:rPr>
          <w:sz w:val="20"/>
          <w:szCs w:val="20"/>
          <w:color w:val="auto"/>
        </w:rPr>
      </w:pPr>
      <w:r>
        <w:rPr>
          <w:rFonts w:ascii="Arial" w:cs="Arial" w:eastAsia="Arial" w:hAnsi="Arial"/>
          <w:sz w:val="16"/>
          <w:szCs w:val="16"/>
          <w:color w:val="auto"/>
        </w:rPr>
        <w:t>This Agreement is intended to comply with Section 409A of the Internal Revenue Code of 1986, as amended ("Section 409A") or an exemption thereunder and shall be construed and administered in accordance with Section 409A. Notwithstanding any other provision of this Agreement, payments provided under this Agreement ma y only be made upon an event and in a manner that complies with Section 409A or an applicable exemption. Any payment s under this Agreement that may be excluded from Section 409A either as separation pay due to an involuntary separation from serv ice or as a short-term deferral shall be excluded from Section 409A to the maximum extent possible. For purposes of Section 409A, each payment made under this Agreement shall be designated as a " separate payment" within the meaning of Section 409A.</w:t>
      </w:r>
    </w:p>
    <w:p>
      <w:pPr>
        <w:spacing w:after="0" w:line="164" w:lineRule="exact"/>
        <w:rPr>
          <w:sz w:val="20"/>
          <w:szCs w:val="20"/>
          <w:color w:val="auto"/>
        </w:rPr>
      </w:pPr>
    </w:p>
    <w:p>
      <w:pPr>
        <w:ind w:left="18" w:right="140" w:firstLine="780"/>
        <w:spacing w:after="0" w:line="269" w:lineRule="auto"/>
        <w:rPr>
          <w:sz w:val="20"/>
          <w:szCs w:val="20"/>
          <w:color w:val="auto"/>
        </w:rPr>
      </w:pPr>
      <w:r>
        <w:rPr>
          <w:rFonts w:ascii="Arial" w:cs="Arial" w:eastAsia="Arial" w:hAnsi="Arial"/>
          <w:sz w:val="17"/>
          <w:szCs w:val="17"/>
          <w:color w:val="auto"/>
        </w:rPr>
        <w:t>Notwithstanding anything herein to the contrary, (i) if at the time of Executive' s termination of employment as CEO of the Company Executive is a "specified employee" as defined in Section 409A of the Code, and the deferral of the commencement of any payment 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 s or benefits ultimately paid or provided to Executive) until the date that is six (6) months following Executive's termination of employment as CEO of the Company (or the earliest date as is permitted under Section 409A of the Code) and (ii) if any other payments of money or other benefits due to Executive here und 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In the event that payments under this Agreement are deferred pursuant to this Section 13 in order to prevent any accelerated tax or additional tax under Section 409A of the Code, then such payments shall be paid at the time specified under this Section 13 without any interest thereof.</w:t>
      </w:r>
    </w:p>
    <w:p>
      <w:pPr>
        <w:spacing w:after="0" w:line="200" w:lineRule="exact"/>
        <w:rPr>
          <w:sz w:val="20"/>
          <w:szCs w:val="20"/>
          <w:color w:val="auto"/>
        </w:rPr>
      </w:pPr>
    </w:p>
    <w:p>
      <w:pPr>
        <w:spacing w:after="0" w:line="222"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98"/>
          </w:cols>
          <w:pgMar w:left="422" w:top="355" w:right="779" w:bottom="1440" w:gutter="0" w:footer="0" w:header="0"/>
        </w:sectPr>
      </w:pPr>
    </w:p>
    <w:bookmarkStart w:id="121" w:name="page122"/>
    <w:bookmarkEnd w:id="121"/>
    <w:p>
      <w:pPr>
        <w:ind w:left="120" w:right="440" w:firstLine="780"/>
        <w:spacing w:after="0" w:line="301" w:lineRule="auto"/>
        <w:rPr>
          <w:sz w:val="20"/>
          <w:szCs w:val="20"/>
          <w:color w:val="auto"/>
        </w:rPr>
      </w:pPr>
      <w:r>
        <w:rPr>
          <w:rFonts w:ascii="Arial" w:cs="Arial" w:eastAsia="Arial" w:hAnsi="Arial"/>
          <w:sz w:val="16"/>
          <w:szCs w:val="16"/>
          <w:color w:val="auto"/>
        </w:rPr>
        <w:t>Notwithstanding anything to the contrary herein,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of the Code and, for purposes of any such provision of this Agreement, references to a "resignation," "Termination," " termination of employment " or like terms shall mean Separation from Service.</w:t>
      </w:r>
    </w:p>
    <w:p>
      <w:pPr>
        <w:spacing w:after="0" w:line="157" w:lineRule="exact"/>
        <w:rPr>
          <w:sz w:val="20"/>
          <w:szCs w:val="20"/>
          <w:color w:val="auto"/>
        </w:rPr>
      </w:pPr>
    </w:p>
    <w:p>
      <w:pPr>
        <w:ind w:left="120" w:right="240" w:firstLine="795"/>
        <w:spacing w:after="0" w:line="293" w:lineRule="auto"/>
        <w:rPr>
          <w:sz w:val="20"/>
          <w:szCs w:val="20"/>
          <w:color w:val="auto"/>
        </w:rPr>
      </w:pPr>
      <w:r>
        <w:rPr>
          <w:rFonts w:ascii="Arial" w:cs="Arial" w:eastAsia="Arial" w:hAnsi="Arial"/>
          <w:sz w:val="16"/>
          <w:szCs w:val="16"/>
          <w:color w:val="auto"/>
        </w:rPr>
        <w:t>Notwithstanding anything to the contrary herein, except to the extent any expense, reimbursement or in-kind benefit provided pursuant to this Agreement does not constitute a "deferral of compensation" within the meaning of Section 409A of the Code: (x) the amount of expenses eligible for reimbursement or in-kind benefits provided to Executive during any calendar year will not affect the amount of expenses eligible for reimbursement or in-kind benefits provided to Executive in any other calendar year, (y) the reimbursements for expenses for which Executive is entitled to be reimbursed shall be made on or before the last day of the calendar year following the calendar year in which the applicable expense is incurred, and (z) the right to payment or reimbursement or in-kind benefits hereunder may not be liquidated or exchanged for any other benefit.</w:t>
      </w:r>
    </w:p>
    <w:p>
      <w:pPr>
        <w:spacing w:after="0" w:line="164" w:lineRule="exact"/>
        <w:rPr>
          <w:sz w:val="20"/>
          <w:szCs w:val="20"/>
          <w:color w:val="auto"/>
        </w:rPr>
      </w:pPr>
    </w:p>
    <w:p>
      <w:pPr>
        <w:ind w:left="120" w:right="840" w:firstLine="771"/>
        <w:spacing w:after="0" w:line="277" w:lineRule="auto"/>
        <w:rPr>
          <w:sz w:val="20"/>
          <w:szCs w:val="20"/>
          <w:color w:val="auto"/>
        </w:rPr>
      </w:pPr>
      <w:r>
        <w:rPr>
          <w:rFonts w:ascii="Arial" w:cs="Arial" w:eastAsia="Arial" w:hAnsi="Arial"/>
          <w:sz w:val="18"/>
          <w:szCs w:val="18"/>
          <w:color w:val="auto"/>
        </w:rPr>
        <w:t>The Company shall consult with Executive in good faith regarding the implementation of this Section 13; provided that neither the Company nor any of its employees or representative s shall have any liability to Executive with respect thereto.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hanging="412"/>
        <w:spacing w:after="0"/>
        <w:tabs>
          <w:tab w:leader="none" w:pos="4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jc w:val="both"/>
        <w:ind w:left="120" w:firstLine="844"/>
        <w:spacing w:after="0" w:line="263" w:lineRule="auto"/>
        <w:rPr>
          <w:sz w:val="20"/>
          <w:szCs w:val="20"/>
          <w:color w:val="auto"/>
        </w:rPr>
      </w:pPr>
      <w:r>
        <w:rPr>
          <w:rFonts w:ascii="Arial" w:cs="Arial" w:eastAsia="Arial" w:hAnsi="Arial"/>
          <w:sz w:val="18"/>
          <w:szCs w:val="18"/>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28159 Avenue Stanford, Suite 220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Valencia, CA 91355</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the General Counsel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Executive: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Michael Perry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current home address on file with the Company</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Miscellaneous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412"/>
        </w:trPr>
        <w:tc>
          <w:tcPr>
            <w:tcW w:w="420" w:type="dxa"/>
            <w:vAlign w:val="bottom"/>
          </w:tcPr>
          <w:p>
            <w:pPr>
              <w:spacing w:after="0"/>
              <w:rPr>
                <w:sz w:val="24"/>
                <w:szCs w:val="24"/>
                <w:color w:val="auto"/>
              </w:rPr>
            </w:pPr>
          </w:p>
        </w:tc>
        <w:tc>
          <w:tcPr>
            <w:tcW w:w="10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24"/>
                <w:szCs w:val="24"/>
                <w:color w:val="auto"/>
              </w:rPr>
            </w:pPr>
          </w:p>
        </w:tc>
        <w:tc>
          <w:tcPr>
            <w:tcW w:w="8180" w:type="dxa"/>
            <w:vAlign w:val="bottom"/>
            <w:gridSpan w:val="5"/>
          </w:tcPr>
          <w:p>
            <w:pPr>
              <w:ind w:left="320"/>
              <w:spacing w:after="0"/>
              <w:rPr>
                <w:sz w:val="20"/>
                <w:szCs w:val="20"/>
                <w:color w:val="auto"/>
              </w:rPr>
            </w:pPr>
            <w:r>
              <w:rPr>
                <w:rFonts w:ascii="Arial" w:cs="Arial" w:eastAsia="Arial" w:hAnsi="Arial"/>
                <w:sz w:val="18"/>
                <w:szCs w:val="18"/>
                <w:color w:val="auto"/>
                <w:w w:val="91"/>
              </w:rPr>
              <w:t>Binding Agreement. This Agreement shall inure to the benefit of and shall be binding upon the Company, its</w:t>
            </w:r>
          </w:p>
        </w:tc>
      </w:tr>
      <w:tr>
        <w:trPr>
          <w:trHeight w:val="237"/>
        </w:trPr>
        <w:tc>
          <w:tcPr>
            <w:tcW w:w="2160" w:type="dxa"/>
            <w:vAlign w:val="bottom"/>
            <w:gridSpan w:val="3"/>
          </w:tcPr>
          <w:p>
            <w:pPr>
              <w:ind w:left="120"/>
              <w:spacing w:after="0"/>
              <w:rPr>
                <w:sz w:val="20"/>
                <w:szCs w:val="20"/>
                <w:color w:val="auto"/>
              </w:rPr>
            </w:pPr>
            <w:r>
              <w:rPr>
                <w:rFonts w:ascii="Arial" w:cs="Arial" w:eastAsia="Arial" w:hAnsi="Arial"/>
                <w:sz w:val="18"/>
                <w:szCs w:val="18"/>
                <w:color w:val="auto"/>
              </w:rPr>
              <w:t>successors, and assigns.</w:t>
            </w:r>
          </w:p>
        </w:tc>
        <w:tc>
          <w:tcPr>
            <w:tcW w:w="3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44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1740" w:type="dxa"/>
            <w:vAlign w:val="bottom"/>
            <w:gridSpan w:val="2"/>
          </w:tcPr>
          <w:p>
            <w:pPr>
              <w:ind w:left="540"/>
              <w:spacing w:after="0"/>
              <w:rPr>
                <w:sz w:val="20"/>
                <w:szCs w:val="20"/>
                <w:color w:val="auto"/>
              </w:rPr>
            </w:pPr>
            <w:r>
              <w:rPr>
                <w:rFonts w:ascii="Arial" w:cs="Arial" w:eastAsia="Arial" w:hAnsi="Arial"/>
                <w:sz w:val="18"/>
                <w:szCs w:val="18"/>
                <w:color w:val="auto"/>
              </w:rPr>
              <w:t>b.</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w w:val="90"/>
              </w:rPr>
              <w:t>Entire Agreement. This Agreement contains the entire agreement of the parties relating to the subject matter</w:t>
            </w:r>
          </w:p>
        </w:tc>
      </w:tr>
      <w:tr>
        <w:trPr>
          <w:trHeight w:val="20"/>
        </w:trPr>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13"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122" w:name="page123"/>
    <w:bookmarkEnd w:id="122"/>
    <w:p>
      <w:pPr>
        <w:ind w:right="20"/>
        <w:spacing w:after="0" w:line="263" w:lineRule="auto"/>
        <w:rPr>
          <w:sz w:val="20"/>
          <w:szCs w:val="20"/>
          <w:color w:val="auto"/>
        </w:rPr>
      </w:pPr>
      <w:r>
        <w:rPr>
          <w:rFonts w:ascii="Arial" w:cs="Arial" w:eastAsia="Arial" w:hAnsi="Arial"/>
          <w:sz w:val="18"/>
          <w:szCs w:val="18"/>
          <w:color w:val="auto"/>
        </w:rPr>
        <w:t>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84" w:lineRule="exact"/>
        <w:rPr>
          <w:sz w:val="20"/>
          <w:szCs w:val="20"/>
          <w:color w:val="auto"/>
        </w:rPr>
      </w:pPr>
    </w:p>
    <w:p>
      <w:pPr>
        <w:ind w:right="100" w:firstLine="813"/>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Executive and the Company hereby represent and warrant to the other that: (a) 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he or it is a party or he or it is otherwise bound; (c) this Agreement is his or it is valid and binding obligation in accordance with its terms; (d) Executive represents and warrants that he is under no other obligations, contractual or otherwise, that could impair his ability to perform fully and satisfactorily all of his obligations under this Agreement; (e) Executive has had full opportunity to review this Agreement , to obtain all legal advice 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196" w:lineRule="exact"/>
        <w:rPr>
          <w:sz w:val="20"/>
          <w:szCs w:val="20"/>
          <w:color w:val="auto"/>
        </w:rPr>
      </w:pPr>
    </w:p>
    <w:p>
      <w:pPr>
        <w:jc w:val="both"/>
        <w:ind w:firstLine="822"/>
        <w:spacing w:after="0" w:line="30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that any party shall bring an action or proceeding in connection with the performance, breach or interpretation of this Agreement , then the prevailing party in any such action or proceeding, as determined by the court, arbitrator or other body having jurisdiction, shall be entitled to recover from the losing party all reasonable costs and expenses of such action or proceeding , including reasonable attorneys' fees, court costs, costs of investigation, expert witness fees and other costs reasonably related to such action or proceeding.</w:t>
      </w:r>
    </w:p>
    <w:p>
      <w:pPr>
        <w:spacing w:after="0" w:line="157" w:lineRule="exact"/>
        <w:rPr>
          <w:sz w:val="20"/>
          <w:szCs w:val="20"/>
          <w:color w:val="auto"/>
        </w:rPr>
      </w:pPr>
    </w:p>
    <w:p>
      <w:pPr>
        <w:ind w:right="180" w:firstLine="1601"/>
        <w:spacing w:after="0" w:line="254" w:lineRule="auto"/>
        <w:rPr>
          <w:sz w:val="20"/>
          <w:szCs w:val="20"/>
          <w:color w:val="auto"/>
        </w:rPr>
      </w:pPr>
      <w:r>
        <w:rPr>
          <w:rFonts w:ascii="Arial" w:cs="Arial" w:eastAsia="Arial" w:hAnsi="Arial"/>
          <w:sz w:val="18"/>
          <w:szCs w:val="18"/>
          <w:color w:val="auto"/>
        </w:rPr>
        <w:t>Company shall reimburse Executive for attorney's fees incurred in the negotiation and drafting of this Agreement and any other agreement implementing the terms of this Agreement including but not limited to RSU and option documents and plans, reflected in Executive's counsel's current invoice (June 15-mid August 2019). Company shall also reimburse Executive for reasonable attorney's fees incurred for any continuing work with respect to the same matter until it is finalized. However, any additional attorney's fees invoice(s) submitted to the Company for payment shall list thereon, for each entry, the time spent, who performed the work, and an appropriately redacted description of the work performed sufficient to understand the nature of the work performed without waiving any applicable privileges or protections. Deficient invoices may be returned for further detail, and, if reasonable, non-privileged detail is not thereafter provided, the deficiency may result in non-payment of said invoice(s).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ind w:left="780"/>
              <w:spacing w:after="0"/>
              <w:rPr>
                <w:sz w:val="20"/>
                <w:szCs w:val="20"/>
                <w:color w:val="auto"/>
              </w:rPr>
            </w:pPr>
            <w:r>
              <w:rPr>
                <w:rFonts w:ascii="Arial" w:cs="Arial" w:eastAsia="Arial" w:hAnsi="Arial"/>
                <w:sz w:val="18"/>
                <w:szCs w:val="18"/>
                <w:color w:val="auto"/>
              </w:rPr>
              <w:t>e.</w:t>
            </w:r>
          </w:p>
        </w:tc>
        <w:tc>
          <w:tcPr>
            <w:tcW w:w="7740" w:type="dxa"/>
            <w:vAlign w:val="bottom"/>
            <w:gridSpan w:val="3"/>
          </w:tcPr>
          <w:p>
            <w:pPr>
              <w:spacing w:after="0"/>
              <w:rPr>
                <w:sz w:val="20"/>
                <w:szCs w:val="20"/>
                <w:color w:val="auto"/>
              </w:rPr>
            </w:pPr>
            <w:r>
              <w:rPr>
                <w:rFonts w:ascii="Arial" w:cs="Arial" w:eastAsia="Arial" w:hAnsi="Arial"/>
                <w:sz w:val="18"/>
                <w:szCs w:val="18"/>
                <w:color w:val="auto"/>
                <w:w w:val="93"/>
              </w:rPr>
              <w:t>Counterparts. This Agreement may be executed on separate copies, any one of which need not contain</w:t>
            </w:r>
          </w:p>
        </w:tc>
      </w:tr>
      <w:tr>
        <w:trPr>
          <w:trHeight w:val="20"/>
        </w:trPr>
        <w:tc>
          <w:tcPr>
            <w:tcW w:w="23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7"/>
        </w:trPr>
        <w:tc>
          <w:tcPr>
            <w:tcW w:w="10120" w:type="dxa"/>
            <w:vAlign w:val="bottom"/>
            <w:gridSpan w:val="4"/>
          </w:tcPr>
          <w:p>
            <w:pPr>
              <w:spacing w:after="0"/>
              <w:rPr>
                <w:sz w:val="20"/>
                <w:szCs w:val="20"/>
                <w:color w:val="auto"/>
              </w:rPr>
            </w:pPr>
            <w:r>
              <w:rPr>
                <w:rFonts w:ascii="Arial" w:cs="Arial" w:eastAsia="Arial" w:hAnsi="Arial"/>
                <w:sz w:val="18"/>
                <w:szCs w:val="18"/>
                <w:color w:val="auto"/>
              </w:rPr>
              <w:t>signatures of more than one party but all of which taken together shall constitute one and the same Agreement.</w:t>
            </w:r>
          </w:p>
        </w:tc>
      </w:tr>
      <w:tr>
        <w:trPr>
          <w:trHeight w:val="391"/>
        </w:trPr>
        <w:tc>
          <w:tcPr>
            <w:tcW w:w="2380" w:type="dxa"/>
            <w:vAlign w:val="bottom"/>
          </w:tcPr>
          <w:p>
            <w:pPr>
              <w:ind w:left="820"/>
              <w:spacing w:after="0"/>
              <w:rPr>
                <w:sz w:val="20"/>
                <w:szCs w:val="20"/>
                <w:color w:val="auto"/>
              </w:rPr>
            </w:pPr>
            <w:r>
              <w:rPr>
                <w:rFonts w:ascii="Arial" w:cs="Arial" w:eastAsia="Arial" w:hAnsi="Arial"/>
                <w:sz w:val="18"/>
                <w:szCs w:val="18"/>
                <w:color w:val="auto"/>
              </w:rPr>
              <w:t>f.</w:t>
            </w:r>
          </w:p>
        </w:tc>
        <w:tc>
          <w:tcPr>
            <w:tcW w:w="7740" w:type="dxa"/>
            <w:vAlign w:val="bottom"/>
            <w:gridSpan w:val="3"/>
          </w:tcPr>
          <w:p>
            <w:pPr>
              <w:spacing w:after="0"/>
              <w:rPr>
                <w:sz w:val="20"/>
                <w:szCs w:val="20"/>
                <w:color w:val="auto"/>
              </w:rPr>
            </w:pPr>
            <w:r>
              <w:rPr>
                <w:rFonts w:ascii="Arial" w:cs="Arial" w:eastAsia="Arial" w:hAnsi="Arial"/>
                <w:sz w:val="18"/>
                <w:szCs w:val="18"/>
                <w:color w:val="auto"/>
                <w:w w:val="91"/>
              </w:rPr>
              <w:t>Negotiated Agreement. This Agreement was jointly negotiated by Executive and the Company and/or their</w:t>
            </w:r>
          </w:p>
        </w:tc>
      </w:tr>
      <w:tr>
        <w:trPr>
          <w:trHeight w:val="20"/>
        </w:trPr>
        <w:tc>
          <w:tcPr>
            <w:tcW w:w="2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respective attorneys. Should any dispute arise concerning the meaning or construction of any term or terms of this Agreement, no presumption for or against either as the drafting party, as set forth in California Civil Code Section 1654, shall apply.</w:t>
      </w:r>
    </w:p>
    <w:p>
      <w:pPr>
        <w:spacing w:after="0" w:line="170" w:lineRule="exact"/>
        <w:rPr>
          <w:sz w:val="20"/>
          <w:szCs w:val="20"/>
          <w:color w:val="auto"/>
        </w:rPr>
      </w:pPr>
    </w:p>
    <w:p>
      <w:pPr>
        <w:ind w:right="20" w:firstLine="820"/>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Change in Exchange Upon Which Company is Traded</w:t>
      </w:r>
      <w:r>
        <w:rPr>
          <w:rFonts w:ascii="Arial" w:cs="Arial" w:eastAsia="Arial" w:hAnsi="Arial"/>
          <w:sz w:val="18"/>
          <w:szCs w:val="18"/>
          <w:color w:val="auto"/>
        </w:rPr>
        <w:t>. In the event the Company is no longer listed on the Australian Securities Exchange the attached Appendix I shall take effect thereby adding, replacing, or amending the corresponding provisions of this Agreement as outlined in Appendix I.</w:t>
      </w:r>
    </w:p>
    <w:p>
      <w:pPr>
        <w:spacing w:after="0" w:line="33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440" w:top="355" w:right="7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IN WITNESS WHEREOF, this Agreement is executed as of November 12, 2019 ("Execution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166370</wp:posOffset>
            </wp:positionV>
            <wp:extent cx="2520315" cy="40633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2520315" cy="4063365"/>
                    </a:xfrm>
                    <a:prstGeom prst="rect">
                      <a:avLst/>
                    </a:prstGeom>
                    <a:noFill/>
                  </pic:spPr>
                </pic:pic>
              </a:graphicData>
            </a:graphic>
          </wp:anchor>
        </w:drawing>
      </w:r>
    </w:p>
    <w:p>
      <w:pPr>
        <w:sectPr>
          <w:pgSz w:w="11900" w:h="16838" w:orient="portrait"/>
          <w:cols w:equalWidth="0" w:num="1">
            <w:col w:w="9239"/>
          </w:cols>
          <w:pgMar w:left="1220" w:top="6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239"/>
          </w:cols>
          <w:pgMar w:left="1220" w:top="679" w:right="1440"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10.12</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30"/>
          <w:szCs w:val="30"/>
          <w:color w:val="auto"/>
        </w:rPr>
        <w:t>K&amp;L GATES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720"/>
        <w:spacing w:after="0"/>
        <w:rPr>
          <w:sz w:val="20"/>
          <w:szCs w:val="20"/>
          <w:color w:val="auto"/>
        </w:rPr>
      </w:pPr>
      <w:r>
        <w:rPr>
          <w:rFonts w:ascii="Arial" w:cs="Arial" w:eastAsia="Arial" w:hAnsi="Arial"/>
          <w:sz w:val="27"/>
          <w:szCs w:val="27"/>
          <w:b w:val="1"/>
          <w:bCs w:val="1"/>
          <w:color w:val="auto"/>
        </w:rPr>
        <w:t xml:space="preserve">RSUs </w:t>
      </w:r>
      <w:r>
        <w:rPr>
          <w:rFonts w:ascii="Arial" w:cs="Arial" w:eastAsia="Arial" w:hAnsi="Arial"/>
          <w:sz w:val="27"/>
          <w:szCs w:val="27"/>
          <w:color w:val="auto"/>
        </w:rPr>
        <w:t>-</w:t>
      </w:r>
      <w:r>
        <w:rPr>
          <w:rFonts w:ascii="Arial" w:cs="Arial" w:eastAsia="Arial" w:hAnsi="Arial"/>
          <w:sz w:val="27"/>
          <w:szCs w:val="27"/>
          <w:b w:val="1"/>
          <w:bCs w:val="1"/>
          <w:color w:val="auto"/>
        </w:rPr>
        <w:t xml:space="preserve"> Confirmatory Deed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Dr Michael Perry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and</w:t>
      </w:r>
    </w:p>
    <w:p>
      <w:pPr>
        <w:spacing w:after="0" w:line="398" w:lineRule="exact"/>
        <w:rPr>
          <w:sz w:val="20"/>
          <w:szCs w:val="20"/>
          <w:color w:val="auto"/>
        </w:rPr>
      </w:pPr>
    </w:p>
    <w:p>
      <w:pPr>
        <w:ind w:left="7320"/>
        <w:spacing w:after="0"/>
        <w:rPr>
          <w:sz w:val="20"/>
          <w:szCs w:val="20"/>
          <w:color w:val="auto"/>
        </w:rPr>
      </w:pPr>
      <w:r>
        <w:rPr>
          <w:rFonts w:ascii="Arial" w:cs="Arial" w:eastAsia="Arial" w:hAnsi="Arial"/>
          <w:sz w:val="23"/>
          <w:szCs w:val="23"/>
          <w:b w:val="1"/>
          <w:bCs w:val="1"/>
          <w:color w:val="auto"/>
        </w:rPr>
        <w:t>AVITA MEDICAL LIMITED</w:t>
      </w:r>
    </w:p>
    <w:p>
      <w:pPr>
        <w:spacing w:after="0" w:line="45"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ACN 058 466 523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469265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color w:val="auto"/>
        </w:rPr>
        <w:t>RSUs - Confirmatory Deed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12 November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71" w:lineRule="exact"/>
        <w:rPr>
          <w:sz w:val="20"/>
          <w:szCs w:val="20"/>
          <w:color w:val="auto"/>
        </w:rPr>
      </w:pPr>
    </w:p>
    <w:p>
      <w:pPr>
        <w:ind w:left="620" w:hanging="612"/>
        <w:spacing w:after="0"/>
        <w:tabs>
          <w:tab w:leader="none" w:pos="620" w:val="left"/>
        </w:tabs>
        <w:numPr>
          <w:ilvl w:val="0"/>
          <w:numId w:val="89"/>
        </w:numPr>
        <w:rPr>
          <w:rFonts w:ascii="Arial" w:cs="Arial" w:eastAsia="Arial" w:hAnsi="Arial"/>
          <w:sz w:val="18"/>
          <w:szCs w:val="18"/>
          <w:color w:val="5B5B5B"/>
        </w:rPr>
      </w:pPr>
      <w:r>
        <w:rPr>
          <w:rFonts w:ascii="Arial" w:cs="Arial" w:eastAsia="Arial" w:hAnsi="Arial"/>
          <w:sz w:val="18"/>
          <w:szCs w:val="18"/>
          <w:b w:val="1"/>
          <w:bCs w:val="1"/>
          <w:color w:val="auto"/>
        </w:rPr>
        <w:t xml:space="preserve">Dr Michael Perry </w:t>
      </w:r>
      <w:r>
        <w:rPr>
          <w:rFonts w:ascii="Arial" w:cs="Arial" w:eastAsia="Arial" w:hAnsi="Arial"/>
          <w:sz w:val="18"/>
          <w:szCs w:val="18"/>
          <w:color w:val="auto"/>
        </w:rPr>
        <w:t>of 300 Cook St., Denver, CO, 80206, United States</w:t>
      </w:r>
      <w:r>
        <w:rPr>
          <w:rFonts w:ascii="Arial" w:cs="Arial" w:eastAsia="Arial" w:hAnsi="Arial"/>
          <w:sz w:val="18"/>
          <w:szCs w:val="18"/>
          <w:b w:val="1"/>
          <w:bCs w:val="1"/>
          <w:color w:val="auto"/>
        </w:rPr>
        <w:t xml:space="preserve"> (Dr Perry)</w:t>
      </w:r>
    </w:p>
    <w:p>
      <w:pPr>
        <w:spacing w:after="0" w:line="171" w:lineRule="exact"/>
        <w:rPr>
          <w:rFonts w:ascii="Arial" w:cs="Arial" w:eastAsia="Arial" w:hAnsi="Arial"/>
          <w:sz w:val="18"/>
          <w:szCs w:val="18"/>
          <w:color w:val="5B5B5B"/>
        </w:rPr>
      </w:pPr>
    </w:p>
    <w:p>
      <w:pPr>
        <w:ind w:left="620" w:hanging="612"/>
        <w:spacing w:after="0"/>
        <w:tabs>
          <w:tab w:leader="none" w:pos="620" w:val="left"/>
        </w:tabs>
        <w:numPr>
          <w:ilvl w:val="0"/>
          <w:numId w:val="89"/>
        </w:numPr>
        <w:rPr>
          <w:rFonts w:ascii="Arial" w:cs="Arial" w:eastAsia="Arial" w:hAnsi="Arial"/>
          <w:sz w:val="18"/>
          <w:szCs w:val="18"/>
          <w:color w:val="5B5B5B"/>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28159 Avenue Stanford, Suite 220, Valencia, CA 91355, United States</w:t>
      </w:r>
      <w:r>
        <w:rPr>
          <w:rFonts w:ascii="Arial" w:cs="Arial" w:eastAsia="Arial" w:hAnsi="Arial"/>
          <w:sz w:val="18"/>
          <w:szCs w:val="18"/>
          <w:b w:val="1"/>
          <w:bCs w:val="1"/>
          <w:color w:val="auto"/>
        </w:rPr>
        <w:t xml:space="preserve"> (Company)</w:t>
      </w:r>
    </w:p>
    <w:p>
      <w:pPr>
        <w:spacing w:after="0" w:line="171" w:lineRule="exact"/>
        <w:rPr>
          <w:rFonts w:ascii="Arial" w:cs="Arial" w:eastAsia="Arial" w:hAnsi="Arial"/>
          <w:sz w:val="18"/>
          <w:szCs w:val="18"/>
          <w:color w:val="5B5B5B"/>
        </w:rPr>
      </w:pPr>
    </w:p>
    <w:p>
      <w:pPr>
        <w:spacing w:after="0"/>
        <w:rPr>
          <w:rFonts w:ascii="Arial" w:cs="Arial" w:eastAsia="Arial" w:hAnsi="Arial"/>
          <w:sz w:val="18"/>
          <w:szCs w:val="18"/>
          <w:color w:val="5B5B5B"/>
        </w:rPr>
      </w:pPr>
      <w:r>
        <w:rPr>
          <w:rFonts w:ascii="Arial" w:cs="Arial" w:eastAsia="Arial" w:hAnsi="Arial"/>
          <w:sz w:val="18"/>
          <w:szCs w:val="18"/>
          <w:b w:val="1"/>
          <w:bCs w:val="1"/>
          <w:color w:val="auto"/>
        </w:rPr>
        <w:t>Background:</w:t>
      </w:r>
    </w:p>
    <w:p>
      <w:pPr>
        <w:spacing w:after="0" w:line="193" w:lineRule="exact"/>
        <w:rPr>
          <w:sz w:val="20"/>
          <w:szCs w:val="20"/>
          <w:color w:val="auto"/>
        </w:rPr>
      </w:pPr>
    </w:p>
    <w:p>
      <w:pPr>
        <w:ind w:left="620" w:right="40" w:hanging="612"/>
        <w:spacing w:after="0" w:line="246"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the Company's 2017 AGM on 30 November 2017 shareholders approved the issue to the Company's Managing Director Dr Michael Perry of 50,000,000 RSUs in the nature of employee LTi s.</w:t>
      </w:r>
    </w:p>
    <w:p>
      <w:pPr>
        <w:spacing w:after="0" w:line="156" w:lineRule="exact"/>
        <w:rPr>
          <w:sz w:val="20"/>
          <w:szCs w:val="20"/>
          <w:color w:val="auto"/>
        </w:rPr>
      </w:pPr>
    </w:p>
    <w:p>
      <w:pPr>
        <w:ind w:left="620" w:hanging="612"/>
        <w:spacing w:after="0" w:line="246" w:lineRule="auto"/>
        <w:tabs>
          <w:tab w:leader="none" w:pos="620" w:val="left"/>
        </w:tabs>
        <w:numPr>
          <w:ilvl w:val="0"/>
          <w:numId w:val="91"/>
        </w:numPr>
        <w:rPr>
          <w:rFonts w:ascii="Arial" w:cs="Arial" w:eastAsia="Arial" w:hAnsi="Arial"/>
          <w:sz w:val="18"/>
          <w:szCs w:val="18"/>
          <w:color w:val="5B5B5B"/>
        </w:rPr>
      </w:pPr>
      <w:r>
        <w:rPr>
          <w:rFonts w:ascii="Arial" w:cs="Arial" w:eastAsia="Arial" w:hAnsi="Arial"/>
          <w:sz w:val="18"/>
          <w:szCs w:val="18"/>
          <w:color w:val="auto"/>
        </w:rPr>
        <w:t>An RSU is a "restricted security unit", which is an unfunded and unsecured contractual entitlement to be issued or transferred a Share for each RSU on a future date (after vesting of the RSU entitlement.)</w:t>
      </w:r>
    </w:p>
    <w:p>
      <w:pPr>
        <w:spacing w:after="0" w:line="156" w:lineRule="exact"/>
        <w:rPr>
          <w:rFonts w:ascii="Arial" w:cs="Arial" w:eastAsia="Arial" w:hAnsi="Arial"/>
          <w:sz w:val="18"/>
          <w:szCs w:val="18"/>
          <w:color w:val="5B5B5B"/>
        </w:rPr>
      </w:pPr>
    </w:p>
    <w:p>
      <w:pPr>
        <w:ind w:left="620" w:hanging="612"/>
        <w:spacing w:after="0"/>
        <w:tabs>
          <w:tab w:leader="none" w:pos="620" w:val="left"/>
        </w:tabs>
        <w:numPr>
          <w:ilvl w:val="0"/>
          <w:numId w:val="91"/>
        </w:numPr>
        <w:rPr>
          <w:rFonts w:ascii="Arial" w:cs="Arial" w:eastAsia="Arial" w:hAnsi="Arial"/>
          <w:sz w:val="17"/>
          <w:szCs w:val="17"/>
          <w:color w:val="5B5B5B"/>
        </w:rPr>
      </w:pPr>
      <w:r>
        <w:rPr>
          <w:rFonts w:ascii="Arial" w:cs="Arial" w:eastAsia="Arial" w:hAnsi="Arial"/>
          <w:sz w:val="17"/>
          <w:szCs w:val="17"/>
          <w:color w:val="auto"/>
        </w:rPr>
        <w:t>The Company also will, subject to shareholder approval at the Company's 2019 AGM, issue 39,554,252 RSUs on the Terms and Conditions.</w:t>
      </w:r>
    </w:p>
    <w:p>
      <w:pPr>
        <w:spacing w:after="0" w:line="182" w:lineRule="exact"/>
        <w:rPr>
          <w:rFonts w:ascii="Arial" w:cs="Arial" w:eastAsia="Arial" w:hAnsi="Arial"/>
          <w:sz w:val="17"/>
          <w:szCs w:val="17"/>
          <w:color w:val="5B5B5B"/>
        </w:rPr>
      </w:pPr>
    </w:p>
    <w:p>
      <w:pPr>
        <w:ind w:left="620" w:hanging="612"/>
        <w:spacing w:after="0"/>
        <w:tabs>
          <w:tab w:leader="none" w:pos="620" w:val="left"/>
        </w:tabs>
        <w:numPr>
          <w:ilvl w:val="0"/>
          <w:numId w:val="91"/>
        </w:numPr>
        <w:rPr>
          <w:rFonts w:ascii="Arial" w:cs="Arial" w:eastAsia="Arial" w:hAnsi="Arial"/>
          <w:sz w:val="18"/>
          <w:szCs w:val="18"/>
          <w:color w:val="5B5B5B"/>
        </w:rPr>
      </w:pPr>
      <w:r>
        <w:rPr>
          <w:rFonts w:ascii="Arial" w:cs="Arial" w:eastAsia="Arial" w:hAnsi="Arial"/>
          <w:sz w:val="18"/>
          <w:szCs w:val="18"/>
          <w:color w:val="auto"/>
        </w:rPr>
        <w:t>This Deed now confirms and records the offer by the Company and the acceptance of the RSUs by Dr Perry.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85" w:lineRule="exact"/>
        <w:rPr>
          <w:sz w:val="20"/>
          <w:szCs w:val="20"/>
          <w:color w:val="auto"/>
        </w:rPr>
      </w:pPr>
    </w:p>
    <w:p>
      <w:pPr>
        <w:ind w:right="8140" w:firstLine="8"/>
        <w:spacing w:after="0" w:line="451" w:lineRule="auto"/>
        <w:tabs>
          <w:tab w:leader="none" w:pos="621"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 this Deed:</w:t>
      </w:r>
    </w:p>
    <w:p>
      <w:pPr>
        <w:spacing w:after="0" w:line="149" w:lineRule="exact"/>
        <w:rPr>
          <w:rFonts w:ascii="Arial" w:cs="Arial" w:eastAsia="Arial" w:hAnsi="Arial"/>
          <w:sz w:val="18"/>
          <w:szCs w:val="18"/>
          <w:b w:val="1"/>
          <w:bCs w:val="1"/>
          <w:color w:val="auto"/>
        </w:rPr>
      </w:pPr>
    </w:p>
    <w:p>
      <w:pPr>
        <w:ind w:left="640" w:right="1000"/>
        <w:spacing w:after="0" w:line="44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or a committee appointed by the board of directors of the Company;</w:t>
      </w:r>
      <w:r>
        <w:rPr>
          <w:rFonts w:ascii="Arial" w:cs="Arial" w:eastAsia="Arial" w:hAnsi="Arial"/>
          <w:sz w:val="18"/>
          <w:szCs w:val="18"/>
          <w:b w:val="1"/>
          <w:bCs w:val="1"/>
          <w:color w:val="auto"/>
        </w:rPr>
        <w:t xml:space="preserve"> Business Day </w:t>
      </w:r>
      <w:r>
        <w:rPr>
          <w:rFonts w:ascii="Arial" w:cs="Arial" w:eastAsia="Arial" w:hAnsi="Arial"/>
          <w:sz w:val="18"/>
          <w:szCs w:val="18"/>
          <w:color w:val="auto"/>
        </w:rPr>
        <w:t>means a day that is not a Saturday, Sunday, public holiday or bank holiday in Melbourne, Victoria;</w:t>
      </w:r>
      <w:r>
        <w:rPr>
          <w:rFonts w:ascii="Arial" w:cs="Arial" w:eastAsia="Arial" w:hAnsi="Arial"/>
          <w:sz w:val="18"/>
          <w:szCs w:val="18"/>
          <w:b w:val="1"/>
          <w:bCs w:val="1"/>
          <w:color w:val="auto"/>
        </w:rPr>
        <w:t xml:space="preserve"> Cause </w:t>
      </w:r>
      <w:r>
        <w:rPr>
          <w:rFonts w:ascii="Arial" w:cs="Arial" w:eastAsia="Arial" w:hAnsi="Arial"/>
          <w:sz w:val="18"/>
          <w:szCs w:val="18"/>
          <w:color w:val="auto"/>
        </w:rPr>
        <w:t>has the meaning as provided in section 5.1 of the Employment Agreement;</w:t>
      </w:r>
    </w:p>
    <w:p>
      <w:pPr>
        <w:spacing w:after="0" w:line="1" w:lineRule="exact"/>
        <w:rPr>
          <w:rFonts w:ascii="Arial" w:cs="Arial" w:eastAsia="Arial" w:hAnsi="Arial"/>
          <w:sz w:val="18"/>
          <w:szCs w:val="18"/>
          <w:b w:val="1"/>
          <w:bCs w:val="1"/>
          <w:color w:val="auto"/>
        </w:rPr>
      </w:pPr>
    </w:p>
    <w:p>
      <w:pPr>
        <w:ind w:left="640" w:right="3280"/>
        <w:spacing w:after="0" w:line="44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Constitution </w:t>
      </w:r>
      <w:r>
        <w:rPr>
          <w:rFonts w:ascii="Arial" w:cs="Arial" w:eastAsia="Arial" w:hAnsi="Arial"/>
          <w:sz w:val="18"/>
          <w:szCs w:val="18"/>
          <w:color w:val="auto"/>
        </w:rPr>
        <w:t>means the constitution of the Company as may be amended from time to time;</w:t>
      </w:r>
      <w:r>
        <w:rPr>
          <w:rFonts w:ascii="Arial" w:cs="Arial" w:eastAsia="Arial" w:hAnsi="Arial"/>
          <w:sz w:val="18"/>
          <w:szCs w:val="18"/>
          <w:b w:val="1"/>
          <w:bCs w:val="1"/>
          <w:color w:val="auto"/>
        </w:rPr>
        <w:t xml:space="preserve"> Company </w:t>
      </w:r>
      <w:r>
        <w:rPr>
          <w:rFonts w:ascii="Arial" w:cs="Arial" w:eastAsia="Arial" w:hAnsi="Arial"/>
          <w:sz w:val="18"/>
          <w:szCs w:val="18"/>
          <w:color w:val="auto"/>
        </w:rPr>
        <w:t>means</w:t>
      </w:r>
      <w:r>
        <w:rPr>
          <w:rFonts w:ascii="Arial" w:cs="Arial" w:eastAsia="Arial" w:hAnsi="Arial"/>
          <w:sz w:val="18"/>
          <w:szCs w:val="18"/>
          <w:b w:val="1"/>
          <w:bCs w:val="1"/>
          <w:color w:val="auto"/>
        </w:rPr>
        <w:t xml:space="preserve"> Avita Medical Limited </w:t>
      </w:r>
      <w:r>
        <w:rPr>
          <w:rFonts w:ascii="Arial" w:cs="Arial" w:eastAsia="Arial" w:hAnsi="Arial"/>
          <w:sz w:val="18"/>
          <w:szCs w:val="18"/>
          <w:color w:val="auto"/>
        </w:rPr>
        <w:t>ACN 058 466 523;</w:t>
      </w: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Control Event </w:t>
      </w:r>
      <w:r>
        <w:rPr>
          <w:rFonts w:ascii="Arial" w:cs="Arial" w:eastAsia="Arial" w:hAnsi="Arial"/>
          <w:sz w:val="18"/>
          <w:szCs w:val="18"/>
          <w:color w:val="auto"/>
        </w:rPr>
        <w:t>means any of the following:</w:t>
      </w:r>
    </w:p>
    <w:p>
      <w:pPr>
        <w:spacing w:after="0" w:line="193" w:lineRule="exact"/>
        <w:rPr>
          <w:rFonts w:ascii="Arial" w:cs="Arial" w:eastAsia="Arial" w:hAnsi="Arial"/>
          <w:sz w:val="18"/>
          <w:szCs w:val="18"/>
          <w:b w:val="1"/>
          <w:bCs w:val="1"/>
          <w:color w:val="auto"/>
        </w:rPr>
      </w:pPr>
    </w:p>
    <w:p>
      <w:pPr>
        <w:jc w:val="both"/>
        <w:ind w:left="1260" w:right="20" w:hanging="631"/>
        <w:spacing w:after="0" w:line="257" w:lineRule="auto"/>
        <w:tabs>
          <w:tab w:leader="none" w:pos="12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One person (or more than one person acting as a group) acquires ownership of stock of the Company that, together with the stock held by such person or group, constitutes more than 50% of the total fair market value or total voting power of the stock of the Company; provided that a Control Event shall not occur if any person (or more than one person acting as a group) owns more than 50% of the total fair market value or total voting power of the Company's stock and acquires additional stock; or</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26" w:name="page127"/>
    <w:bookmarkEnd w:id="126"/>
    <w:p>
      <w:pPr>
        <w:jc w:val="both"/>
        <w:ind w:left="631" w:right="20" w:hanging="631"/>
        <w:spacing w:after="0"/>
        <w:tabs>
          <w:tab w:leader="none" w:pos="6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(or has acquired during the twelve-month period ending on the date of the most recent acquisition) ownership of the Company's stock possessing 30% or more of the total voting power of the stock of such corporation; or</w:t>
      </w:r>
    </w:p>
    <w:p>
      <w:pPr>
        <w:spacing w:after="0" w:line="162" w:lineRule="exact"/>
        <w:rPr>
          <w:rFonts w:ascii="Arial" w:cs="Arial" w:eastAsia="Arial" w:hAnsi="Arial"/>
          <w:sz w:val="18"/>
          <w:szCs w:val="18"/>
          <w:color w:val="auto"/>
        </w:rPr>
      </w:pPr>
    </w:p>
    <w:p>
      <w:pPr>
        <w:ind w:left="631" w:hanging="631"/>
        <w:spacing w:after="0" w:line="246" w:lineRule="auto"/>
        <w:tabs>
          <w:tab w:leader="none" w:pos="6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majority of the members of the Board is replaced during any twelve month period by directors whose appointment or election is not endorsed by a majority of the Board before the date of appointment or election; or</w:t>
      </w:r>
    </w:p>
    <w:p>
      <w:pPr>
        <w:spacing w:after="0" w:line="156" w:lineRule="exact"/>
        <w:rPr>
          <w:rFonts w:ascii="Arial" w:cs="Arial" w:eastAsia="Arial" w:hAnsi="Arial"/>
          <w:sz w:val="18"/>
          <w:szCs w:val="18"/>
          <w:color w:val="auto"/>
        </w:rPr>
      </w:pPr>
    </w:p>
    <w:p>
      <w:pPr>
        <w:jc w:val="both"/>
        <w:ind w:left="631" w:hanging="631"/>
        <w:spacing w:after="0"/>
        <w:tabs>
          <w:tab w:leader="none" w:pos="6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(or has acquired during the twelve-month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spacing w:after="0" w:line="162" w:lineRule="exact"/>
        <w:rPr>
          <w:sz w:val="20"/>
          <w:szCs w:val="20"/>
          <w:color w:val="auto"/>
        </w:rPr>
      </w:pPr>
    </w:p>
    <w:p>
      <w:pPr>
        <w:jc w:val="both"/>
        <w:ind w:left="11" w:right="20"/>
        <w:spacing w:after="0"/>
        <w:rPr>
          <w:sz w:val="20"/>
          <w:szCs w:val="20"/>
          <w:color w:val="auto"/>
        </w:rPr>
      </w:pPr>
      <w:r>
        <w:rPr>
          <w:rFonts w:ascii="Arial" w:cs="Arial" w:eastAsia="Arial" w:hAnsi="Arial"/>
          <w:sz w:val="18"/>
          <w:szCs w:val="18"/>
          <w:color w:val="auto"/>
        </w:rPr>
        <w:t>in all of the above events a "Control Event" will only occur if it qualifies as a change in control event under Section 409A of the Internal Revenue Code but for clarity a "Control Event" excludes any solvent reconstruction or re organization of the Company or its entities (including without limitation the interposition of a new holding entity to the group);</w:t>
      </w:r>
    </w:p>
    <w:p>
      <w:pPr>
        <w:spacing w:after="0" w:line="154"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 (Cth);</w:t>
      </w:r>
    </w:p>
    <w:p>
      <w:pPr>
        <w:spacing w:after="0" w:line="17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Deed </w:t>
      </w:r>
      <w:r>
        <w:rPr>
          <w:rFonts w:ascii="Arial" w:cs="Arial" w:eastAsia="Arial" w:hAnsi="Arial"/>
          <w:sz w:val="18"/>
          <w:szCs w:val="18"/>
          <w:color w:val="auto"/>
        </w:rPr>
        <w:t>means this deed including the background, any schedules and any annexures.</w:t>
      </w:r>
    </w:p>
    <w:p>
      <w:pPr>
        <w:spacing w:after="0" w:line="171" w:lineRule="exact"/>
        <w:rPr>
          <w:sz w:val="20"/>
          <w:szCs w:val="20"/>
          <w:color w:val="auto"/>
        </w:rPr>
      </w:pPr>
    </w:p>
    <w:p>
      <w:pPr>
        <w:jc w:val="both"/>
        <w:ind w:left="11"/>
        <w:spacing w:after="0" w:line="271"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agreement dated 12 November 2019 containing the terms and conditions upon which Dr Perry</w:t>
      </w:r>
      <w:r>
        <w:rPr>
          <w:rFonts w:ascii="Arial" w:cs="Arial" w:eastAsia="Arial" w:hAnsi="Arial"/>
          <w:sz w:val="18"/>
          <w:szCs w:val="18"/>
          <w:b w:val="1"/>
          <w:bCs w:val="1"/>
          <w:color w:val="auto"/>
        </w:rPr>
        <w:t xml:space="preserve"> </w:t>
      </w:r>
      <w:r>
        <w:rPr>
          <w:rFonts w:ascii="Arial" w:cs="Arial" w:eastAsia="Arial" w:hAnsi="Arial"/>
          <w:sz w:val="18"/>
          <w:szCs w:val="18"/>
          <w:color w:val="auto"/>
        </w:rPr>
        <w:t>is employed by the Company as CEO of the Company.</w:t>
      </w:r>
    </w:p>
    <w:p>
      <w:pPr>
        <w:spacing w:after="0" w:line="127"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in relation to Shares issued resulting from the vesting of RSUs:</w:t>
      </w:r>
    </w:p>
    <w:p>
      <w:pPr>
        <w:spacing w:after="0" w:line="193" w:lineRule="exact"/>
        <w:rPr>
          <w:sz w:val="20"/>
          <w:szCs w:val="20"/>
          <w:color w:val="auto"/>
        </w:rPr>
      </w:pPr>
    </w:p>
    <w:p>
      <w:pPr>
        <w:jc w:val="both"/>
        <w:ind w:left="631" w:hanging="631"/>
        <w:spacing w:after="0"/>
        <w:tabs>
          <w:tab w:leader="none" w:pos="63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closing sale price per share of ordinary shares of the Company on a recognized securities exchange or over-the-counter market on which the ordinary shares of the Company are principally traded on the date on which Fair Market Value is being determined.</w:t>
      </w:r>
    </w:p>
    <w:p>
      <w:pPr>
        <w:spacing w:after="0" w:line="162" w:lineRule="exact"/>
        <w:rPr>
          <w:rFonts w:ascii="Arial" w:cs="Arial" w:eastAsia="Arial" w:hAnsi="Arial"/>
          <w:sz w:val="18"/>
          <w:szCs w:val="18"/>
          <w:color w:val="auto"/>
        </w:rPr>
      </w:pPr>
    </w:p>
    <w:p>
      <w:pPr>
        <w:jc w:val="both"/>
        <w:ind w:left="631" w:hanging="631"/>
        <w:spacing w:after="0"/>
        <w:tabs>
          <w:tab w:leader="none" w:pos="631"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ordinary shares of the Company are not traded on the date the Shares are issued due to a trading suspension or trading halt undertaken to facilitate a private placement of the Company, the value of ordinary shares of the Company sold in the private placement; or</w:t>
      </w:r>
    </w:p>
    <w:p>
      <w:pPr>
        <w:spacing w:after="0" w:line="162" w:lineRule="exact"/>
        <w:rPr>
          <w:rFonts w:ascii="Arial" w:cs="Arial" w:eastAsia="Arial" w:hAnsi="Arial"/>
          <w:sz w:val="18"/>
          <w:szCs w:val="18"/>
          <w:color w:val="auto"/>
        </w:rPr>
      </w:pPr>
    </w:p>
    <w:p>
      <w:pPr>
        <w:jc w:val="both"/>
        <w:ind w:left="631" w:hanging="631"/>
        <w:spacing w:after="0"/>
        <w:tabs>
          <w:tab w:leader="none" w:pos="63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1f the ordinary shares of the Company are not then listed on any recognized securities exchange or traded in an over-the-counter market or the value of such Shares is not otherwise determinable, the value as reasonably determined by the Board in good faith.</w:t>
      </w:r>
    </w:p>
    <w:p>
      <w:pPr>
        <w:spacing w:after="0" w:line="140"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Initial Vesting Date </w:t>
      </w:r>
      <w:r>
        <w:rPr>
          <w:rFonts w:ascii="Arial" w:cs="Arial" w:eastAsia="Arial" w:hAnsi="Arial"/>
          <w:sz w:val="18"/>
          <w:szCs w:val="18"/>
          <w:color w:val="auto"/>
        </w:rPr>
        <w:t>means 12 November 2019 ;</w:t>
      </w:r>
    </w:p>
    <w:p>
      <w:pPr>
        <w:spacing w:after="0" w:line="17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LTis </w:t>
      </w:r>
      <w:r>
        <w:rPr>
          <w:rFonts w:ascii="Arial" w:cs="Arial" w:eastAsia="Arial" w:hAnsi="Arial"/>
          <w:sz w:val="18"/>
          <w:szCs w:val="18"/>
          <w:color w:val="auto"/>
        </w:rPr>
        <w:t>means long term incentive rights;</w:t>
      </w:r>
    </w:p>
    <w:p>
      <w:pPr>
        <w:spacing w:after="0" w:line="185" w:lineRule="exact"/>
        <w:rPr>
          <w:sz w:val="20"/>
          <w:szCs w:val="20"/>
          <w:color w:val="auto"/>
        </w:rPr>
      </w:pPr>
    </w:p>
    <w:p>
      <w:pPr>
        <w:jc w:val="both"/>
        <w:ind w:left="11"/>
        <w:spacing w:after="0" w:line="253" w:lineRule="auto"/>
        <w:rPr>
          <w:sz w:val="20"/>
          <w:szCs w:val="20"/>
          <w:color w:val="auto"/>
        </w:rPr>
      </w:pPr>
      <w:r>
        <w:rPr>
          <w:rFonts w:ascii="Arial" w:cs="Arial" w:eastAsia="Arial" w:hAnsi="Arial"/>
          <w:sz w:val="18"/>
          <w:szCs w:val="18"/>
          <w:b w:val="1"/>
          <w:bCs w:val="1"/>
          <w:color w:val="auto"/>
        </w:rPr>
        <w:t xml:space="preserve">Reorganization </w:t>
      </w:r>
      <w:r>
        <w:rPr>
          <w:rFonts w:ascii="Arial" w:cs="Arial" w:eastAsia="Arial" w:hAnsi="Arial"/>
          <w:sz w:val="18"/>
          <w:szCs w:val="18"/>
          <w:color w:val="auto"/>
        </w:rPr>
        <w:t>means any merger, consolidation, reconstruction or other reorganization in respect of the Company,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compromise or arrangement for the purposes of or in connection with a scheme for the reconstruction of the Company or its amalgamation with any other company;</w:t>
      </w:r>
    </w:p>
    <w:p>
      <w:pPr>
        <w:spacing w:after="0" w:line="188" w:lineRule="exact"/>
        <w:rPr>
          <w:sz w:val="20"/>
          <w:szCs w:val="20"/>
          <w:color w:val="auto"/>
        </w:rPr>
      </w:pPr>
    </w:p>
    <w:p>
      <w:pPr>
        <w:ind w:left="493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194945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11"/>
          </w:cols>
          <w:pgMar w:left="949" w:top="760" w:right="339" w:bottom="1440" w:gutter="0" w:footer="0" w:header="0"/>
        </w:sectPr>
      </w:pPr>
    </w:p>
    <w:bookmarkStart w:id="127" w:name="page128"/>
    <w:bookmarkEnd w:id="127"/>
    <w:p>
      <w:pPr>
        <w:ind w:left="640"/>
        <w:spacing w:after="0" w:line="271" w:lineRule="auto"/>
        <w:rPr>
          <w:sz w:val="20"/>
          <w:szCs w:val="20"/>
          <w:color w:val="auto"/>
        </w:rPr>
      </w:pPr>
      <w:r>
        <w:rPr>
          <w:rFonts w:ascii="Arial" w:cs="Arial" w:eastAsia="Arial" w:hAnsi="Arial"/>
          <w:sz w:val="18"/>
          <w:szCs w:val="18"/>
          <w:b w:val="1"/>
          <w:bCs w:val="1"/>
          <w:color w:val="auto"/>
        </w:rPr>
        <w:t xml:space="preserve">RSUs </w:t>
      </w:r>
      <w:r>
        <w:rPr>
          <w:rFonts w:ascii="Arial" w:cs="Arial" w:eastAsia="Arial" w:hAnsi="Arial"/>
          <w:sz w:val="18"/>
          <w:szCs w:val="18"/>
          <w:color w:val="auto"/>
        </w:rPr>
        <w:t>means restricted security units, each unit convertible into one fully paid Share in the Company, which is an unfunded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contractual entitlement to be issued or transferred a Share on future dates;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Security Interest means:</w:t>
      </w:r>
    </w:p>
    <w:p>
      <w:pPr>
        <w:spacing w:after="0" w:line="207" w:lineRule="exact"/>
        <w:rPr>
          <w:sz w:val="20"/>
          <w:szCs w:val="20"/>
          <w:color w:val="auto"/>
        </w:rPr>
      </w:pPr>
    </w:p>
    <w:p>
      <w:pPr>
        <w:jc w:val="both"/>
        <w:ind w:left="1260" w:hanging="631"/>
        <w:spacing w:after="0" w:line="238" w:lineRule="auto"/>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interest or power reserved in or created or otherwise arising in or over an interest in any asset whether under a bill of sale, mortgage, charge, lien, pledge, other security interest or preferential arrangement (including retention of title), trust or power or otherwise by way of, or having similar commercial effect to, security for the payment of a debt, any other monetary obligation or the performance of any other obligation;</w:t>
      </w:r>
    </w:p>
    <w:p>
      <w:pPr>
        <w:spacing w:after="0" w:line="142" w:lineRule="exact"/>
        <w:rPr>
          <w:rFonts w:ascii="Arial" w:cs="Arial" w:eastAsia="Arial" w:hAnsi="Arial"/>
          <w:sz w:val="18"/>
          <w:szCs w:val="18"/>
          <w:color w:val="auto"/>
        </w:rPr>
      </w:pPr>
    </w:p>
    <w:p>
      <w:pPr>
        <w:ind w:left="1260" w:hanging="631"/>
        <w:spacing w:after="0"/>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 security interest as defined in </w:t>
      </w:r>
      <w:r>
        <w:rPr>
          <w:rFonts w:ascii="Arial" w:cs="Arial" w:eastAsia="Arial" w:hAnsi="Arial"/>
          <w:sz w:val="18"/>
          <w:szCs w:val="18"/>
          <w:i w:val="1"/>
          <w:iCs w:val="1"/>
          <w:color w:val="auto"/>
        </w:rPr>
        <w:t>Personal Property Securities Act 2009 (Cth)</w:t>
      </w:r>
      <w:r>
        <w:rPr>
          <w:rFonts w:ascii="Arial" w:cs="Arial" w:eastAsia="Arial" w:hAnsi="Arial"/>
          <w:sz w:val="18"/>
          <w:szCs w:val="18"/>
          <w:color w:val="auto"/>
        </w:rPr>
        <w:t xml:space="preserve"> </w:t>
      </w:r>
      <w:r>
        <w:rPr>
          <w:rFonts w:ascii="Arial" w:cs="Arial" w:eastAsia="Arial" w:hAnsi="Arial"/>
          <w:sz w:val="18"/>
          <w:szCs w:val="18"/>
          <w:b w:val="1"/>
          <w:bCs w:val="1"/>
          <w:color w:val="auto"/>
        </w:rPr>
        <w:t>(PPSA)</w:t>
      </w:r>
      <w:r>
        <w:rPr>
          <w:rFonts w:ascii="Arial" w:cs="Arial" w:eastAsia="Arial" w:hAnsi="Arial"/>
          <w:sz w:val="18"/>
          <w:szCs w:val="18"/>
          <w:color w:val="auto"/>
        </w:rPr>
        <w:t xml:space="preserve"> and to which the PPSA applies; or</w:t>
      </w:r>
    </w:p>
    <w:p>
      <w:pPr>
        <w:spacing w:after="0" w:line="193"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agreement to grant or create anything referred to in either of paragraph (a) or (b) of this definition and any other thing which gives a creditor priority to any other creditor with respect to any asset or an interest in any asset;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fully paid ordinary share in the capital of the Company;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Terms and Conditions </w:t>
      </w:r>
      <w:r>
        <w:rPr>
          <w:rFonts w:ascii="Arial" w:cs="Arial" w:eastAsia="Arial" w:hAnsi="Arial"/>
          <w:sz w:val="18"/>
          <w:szCs w:val="18"/>
          <w:color w:val="auto"/>
        </w:rPr>
        <w:t>means the RSUs terms and conditions set out in Schedule 1 of this Deed;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has the meaning in section 5.1 of the Employment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has the meaning in section 5.3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has the meaning in section 5.2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Vesting Conditions </w:t>
      </w:r>
      <w:r>
        <w:rPr>
          <w:rFonts w:ascii="Arial" w:cs="Arial" w:eastAsia="Arial" w:hAnsi="Arial"/>
          <w:sz w:val="18"/>
          <w:szCs w:val="18"/>
          <w:color w:val="auto"/>
        </w:rPr>
        <w:t>means the vesting conditions of the RSUs as defined in Schedule 1 of this Deed;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w:t>
      </w:r>
      <w:r>
        <w:rPr>
          <w:rFonts w:ascii="Arial" w:cs="Arial" w:eastAsia="Arial" w:hAnsi="Arial"/>
          <w:sz w:val="18"/>
          <w:szCs w:val="18"/>
          <w:color w:val="auto"/>
        </w:rPr>
        <w:t>has the meaning as provided in section 5.4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has the meaning as provided in section 5.5 of the Employment Agreement.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Deed, unless the context requires otherwise:</w:t>
      </w:r>
    </w:p>
    <w:p>
      <w:pPr>
        <w:spacing w:after="0" w:line="185" w:lineRule="exact"/>
        <w:rPr>
          <w:sz w:val="20"/>
          <w:szCs w:val="20"/>
          <w:color w:val="auto"/>
        </w:rPr>
      </w:pPr>
    </w:p>
    <w:p>
      <w:pPr>
        <w:ind w:left="1260" w:hanging="631"/>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gender includes the other genders;</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headings are used for convenience only and do not affect the interpretation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grammatical forms of a defined word or expression have a corresponding meaning;</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reference to a document is lo that document as amended, novated, supplemented, extended or restated from time to time,</w:t>
      </w:r>
    </w:p>
    <w:p>
      <w:pPr>
        <w:spacing w:after="0" w:line="19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8" w:name="page129"/>
    <w:bookmarkEnd w:id="128"/>
    <w:p>
      <w:pPr>
        <w:ind w:left="1260" w:hanging="631"/>
        <w:spacing w:after="0" w:line="246" w:lineRule="auto"/>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reference to a party is to a party to this Deed and includes that party's executors, administrators, successors, permitted assigns and permitted substitutes ;</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something is to be or may be done on a day that is not a Business Day then it must be done on the next Business Day;</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 includes a natural person, partnership, body corporate, association, joint venture, governmental or local authority, and any other body or entity whether incorporated or not;</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"month" means calendar month and "year" means 12 consecutive months;</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reference to a thing (including a right) includes a part of it but nothing in this clause implies that part performance of an obligation constitutes performance of that obligation;</w:t>
      </w:r>
    </w:p>
    <w:p>
      <w:pPr>
        <w:spacing w:after="0" w:line="134"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 reference to all or any part of a statute, rule, regulation or ordinance </w:t>
      </w:r>
      <w:r>
        <w:rPr>
          <w:rFonts w:ascii="Arial" w:cs="Arial" w:eastAsia="Arial" w:hAnsi="Arial"/>
          <w:sz w:val="18"/>
          <w:szCs w:val="18"/>
          <w:b w:val="1"/>
          <w:bCs w:val="1"/>
          <w:color w:val="auto"/>
        </w:rPr>
        <w:t>(statute)</w:t>
      </w:r>
      <w:r>
        <w:rPr>
          <w:rFonts w:ascii="Arial" w:cs="Arial" w:eastAsia="Arial" w:hAnsi="Arial"/>
          <w:sz w:val="18"/>
          <w:szCs w:val="18"/>
          <w:color w:val="auto"/>
        </w:rPr>
        <w:t xml:space="preserve"> is to that statute as amended, consolidated, re-enacted or replaced from time to time;</w:t>
      </w:r>
    </w:p>
    <w:p>
      <w:pPr>
        <w:spacing w:after="0" w:line="135" w:lineRule="exact"/>
        <w:rPr>
          <w:sz w:val="20"/>
          <w:szCs w:val="20"/>
          <w:color w:val="auto"/>
        </w:rPr>
      </w:pPr>
    </w:p>
    <w:p>
      <w:pPr>
        <w:ind w:left="1260" w:hanging="631"/>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 "for example" and any similar expressions are not used, and must not be interpreted, as words of limitation;</w:t>
      </w:r>
    </w:p>
    <w:p>
      <w:pPr>
        <w:spacing w:after="0" w:line="171" w:lineRule="exact"/>
        <w:rPr>
          <w:sz w:val="20"/>
          <w:szCs w:val="20"/>
          <w:color w:val="auto"/>
        </w:rPr>
      </w:pPr>
    </w:p>
    <w:p>
      <w:pPr>
        <w:ind w:left="1260" w:hanging="631"/>
        <w:spacing w:after="0"/>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money amounts are stated in Australian currency unless otherwise specified;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reference to a time of day 1s to that time in Melbourne, Victoria;</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 reference to any agency or body that ceases to exist, is reconstituted, renamed or replaced, or has its powers or functions removed </w:t>
      </w:r>
      <w:r>
        <w:rPr>
          <w:rFonts w:ascii="Arial" w:cs="Arial" w:eastAsia="Arial" w:hAnsi="Arial"/>
          <w:sz w:val="18"/>
          <w:szCs w:val="18"/>
          <w:b w:val="1"/>
          <w:bCs w:val="1"/>
          <w:color w:val="auto"/>
        </w:rPr>
        <w:t>(defunct body)</w:t>
      </w:r>
      <w:r>
        <w:rPr>
          <w:rFonts w:ascii="Arial" w:cs="Arial" w:eastAsia="Arial" w:hAnsi="Arial"/>
          <w:sz w:val="18"/>
          <w:szCs w:val="18"/>
          <w:color w:val="auto"/>
        </w:rPr>
        <w:t xml:space="preserve"> is to the agency or body that performs most closely the powers or functions of the defunct body;</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provision in this Deed which is in favour of more than one person benefits all of them jointly and each of them severally; and</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provision in this Deed which binds more than one person binds all of them jointly and each of them severally.</w:t>
      </w:r>
    </w:p>
    <w:p>
      <w:pPr>
        <w:spacing w:after="0" w:line="149" w:lineRule="exact"/>
        <w:rPr>
          <w:rFonts w:ascii="Arial" w:cs="Arial" w:eastAsia="Arial" w:hAnsi="Arial"/>
          <w:sz w:val="18"/>
          <w:szCs w:val="18"/>
          <w:color w:val="auto"/>
        </w:rPr>
      </w:pPr>
    </w:p>
    <w:p>
      <w:pPr>
        <w:ind w:left="620" w:hanging="612"/>
        <w:spacing w:after="0"/>
        <w:tabs>
          <w:tab w:leader="none" w:pos="6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RSUs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Terms and conditions approved by Shareholders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agree that:</w:t>
      </w:r>
    </w:p>
    <w:p>
      <w:pPr>
        <w:spacing w:after="0" w:line="185" w:lineRule="exact"/>
        <w:rPr>
          <w:sz w:val="20"/>
          <w:szCs w:val="20"/>
          <w:color w:val="auto"/>
        </w:rPr>
      </w:pPr>
    </w:p>
    <w:p>
      <w:pPr>
        <w:ind w:left="1260" w:hanging="631"/>
        <w:spacing w:after="0"/>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50 million RSUs have been issued to Dr Perry prior to the date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shareholder approval at the Company's 2019 AGM, a further 39,554,252 RSUs will be issued to Dr Perry; and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the RSUs (as referred to in paragraphs (a) and (b) above) are governed by the terms of this Deed (including the attached Terms and Conditions).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Issue of Shares on vesting</w:t>
      </w:r>
    </w:p>
    <w:p>
      <w:pPr>
        <w:spacing w:after="0" w:line="19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As soon as administratively practical (including in consideration of the ability of the Company to cleanse any trading in the resulting Shares under section 708A of the Corporations Act) but in any event within 5 Business Days after the vesting of Dr Perry's RSUs, the Company will in accordance with the Terms and Conditions issue to Dr Perry an equal number of Shares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9" w:name="page130"/>
    <w:bookmarkEnd w:id="129"/>
    <w:p>
      <w:pPr>
        <w:jc w:val="both"/>
        <w:ind w:left="640"/>
        <w:spacing w:after="0" w:line="237" w:lineRule="auto"/>
        <w:rPr>
          <w:sz w:val="20"/>
          <w:szCs w:val="20"/>
          <w:color w:val="auto"/>
        </w:rPr>
      </w:pPr>
      <w:r>
        <w:rPr>
          <w:rFonts w:ascii="Arial" w:cs="Arial" w:eastAsia="Arial" w:hAnsi="Arial"/>
          <w:sz w:val="18"/>
          <w:szCs w:val="18"/>
          <w:color w:val="auto"/>
        </w:rPr>
        <w:t>represented by the vested RSUs (in cancellation of the corresponding number of vested RSUs) and Dr Perry agrees to hold those Shares issued pursuant to the RSUs in accordance with the Company's Constitution (as amended from time to time) and the ASX Listing Rules. Other than compliance with Section 1043A of the Corporations Act (possession of inside information) and the Company's then applicable securities trading policy (as applicable to all of the Company's employees), on filing a cleansing notice by the Company under section 708A of the Corporations Act (which the Company shall use its best endeavours to file on or within 5 Business Days of the relevant issue of Shares), there will be no restriction under Australian law on Dr Perry dealing in those Shares.</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Re-organization</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Where for any reason the Company undertakes a solvent reconstruction or re organization of the Company or its entities (including without limitation the interposition of a new holding entity to the group), Dr Perry agrees to exchange (on a "like for like" basis) his RSUs for new restricted stock units (on substantially the same terms and conditions as provided in this Deed) in the new parent entity which arises on such solvent reconstruction or re organization.</w:t>
      </w:r>
    </w:p>
    <w:p>
      <w:pPr>
        <w:spacing w:after="0" w:line="142" w:lineRule="exact"/>
        <w:rPr>
          <w:sz w:val="20"/>
          <w:szCs w:val="20"/>
          <w:color w:val="auto"/>
        </w:rPr>
      </w:pPr>
    </w:p>
    <w:p>
      <w:pPr>
        <w:ind w:right="5960" w:firstLine="8"/>
        <w:spacing w:after="0" w:line="451" w:lineRule="auto"/>
        <w:tabs>
          <w:tab w:leader="none" w:pos="621"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of employment and other employment rights 3.1 No change to employment terms</w:t>
      </w:r>
    </w:p>
    <w:p>
      <w:pPr>
        <w:jc w:val="both"/>
        <w:ind w:left="640"/>
        <w:spacing w:after="0" w:line="246" w:lineRule="auto"/>
        <w:rPr>
          <w:sz w:val="20"/>
          <w:szCs w:val="20"/>
          <w:color w:val="auto"/>
        </w:rPr>
      </w:pPr>
      <w:r>
        <w:rPr>
          <w:rFonts w:ascii="Arial" w:cs="Arial" w:eastAsia="Arial" w:hAnsi="Arial"/>
          <w:sz w:val="18"/>
          <w:szCs w:val="18"/>
          <w:color w:val="auto"/>
        </w:rPr>
        <w:t>The participation in the issue of the RSUs does not change or vary any of the terms and conditions of Dr Perry's employment pursuant to the Employment Agreement.</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No right to future employment or engagement</w:t>
      </w:r>
    </w:p>
    <w:p>
      <w:pPr>
        <w:spacing w:after="0" w:line="193" w:lineRule="exact"/>
        <w:rPr>
          <w:sz w:val="20"/>
          <w:szCs w:val="20"/>
          <w:color w:val="auto"/>
        </w:rPr>
      </w:pPr>
    </w:p>
    <w:p>
      <w:pPr>
        <w:jc w:val="both"/>
        <w:ind w:left="640" w:right="20"/>
        <w:spacing w:after="0" w:line="246" w:lineRule="auto"/>
        <w:rPr>
          <w:sz w:val="20"/>
          <w:szCs w:val="20"/>
          <w:color w:val="auto"/>
        </w:rPr>
      </w:pPr>
      <w:r>
        <w:rPr>
          <w:rFonts w:ascii="Arial" w:cs="Arial" w:eastAsia="Arial" w:hAnsi="Arial"/>
          <w:sz w:val="18"/>
          <w:szCs w:val="18"/>
          <w:color w:val="auto"/>
        </w:rPr>
        <w:t>Without limiting clause 3.1 above, this Deed does not confer on Dr Perry any right to future employment or engagement and does not affect any rights which the Company may have to terminate his employment or engagement.</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Acknowledgments</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It is acknowledged and accepted by Dr Perry and the Company that the terms of this Deed creates legally binding obligations on the parties but do not form part of the terms and conditions of Dr Perry's employment or other engagement contract, nor do the terms of this Deed constitute a contract or arrangement (including any related condition or collateral arrangement) in relation to Dr Perry's employment or other engagement contract.</w:t>
      </w:r>
    </w:p>
    <w:p>
      <w:pPr>
        <w:spacing w:after="0" w:line="142" w:lineRule="exact"/>
        <w:rPr>
          <w:sz w:val="20"/>
          <w:szCs w:val="20"/>
          <w:color w:val="auto"/>
        </w:rPr>
      </w:pPr>
    </w:p>
    <w:p>
      <w:pPr>
        <w:jc w:val="both"/>
        <w:ind w:right="8880" w:firstLine="8"/>
        <w:spacing w:after="0" w:line="477" w:lineRule="auto"/>
        <w:tabs>
          <w:tab w:leader="none" w:pos="621"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the Board 4.1 Powers of the Board</w:t>
      </w:r>
    </w:p>
    <w:p>
      <w:pPr>
        <w:ind w:left="640"/>
        <w:spacing w:after="0"/>
        <w:rPr>
          <w:rFonts w:ascii="Arial" w:cs="Arial" w:eastAsia="Arial" w:hAnsi="Arial"/>
          <w:sz w:val="17"/>
          <w:szCs w:val="17"/>
          <w:b w:val="1"/>
          <w:bCs w:val="1"/>
          <w:color w:val="auto"/>
        </w:rPr>
      </w:pPr>
      <w:r>
        <w:rPr>
          <w:rFonts w:ascii="Arial" w:cs="Arial" w:eastAsia="Arial" w:hAnsi="Arial"/>
          <w:sz w:val="18"/>
          <w:szCs w:val="18"/>
          <w:color w:val="auto"/>
        </w:rPr>
        <w:t>This Deed will be managed by the Board, which will have power (which must be exercised reasonably and in good faith) to</w:t>
      </w:r>
    </w:p>
    <w:p>
      <w:pPr>
        <w:spacing w:after="0" w:line="171" w:lineRule="exact"/>
        <w:rPr>
          <w:rFonts w:ascii="Arial" w:cs="Arial" w:eastAsia="Arial" w:hAnsi="Arial"/>
          <w:sz w:val="17"/>
          <w:szCs w:val="17"/>
          <w:b w:val="1"/>
          <w:bCs w:val="1"/>
          <w:color w:val="auto"/>
        </w:rPr>
      </w:pPr>
    </w:p>
    <w:p>
      <w:pPr>
        <w:ind w:left="1260" w:hanging="631"/>
        <w:spacing w:after="0"/>
        <w:tabs>
          <w:tab w:leader="none" w:pos="12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determine appropriate procedures for the administration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resolve conclusively all questions of fact or interpretation arising in connection with this Deed;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determine matters falling for determination under this clause in its discretion having regard to the interests of and for the benefit of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0" w:name="page131"/>
    <w:bookmarkEnd w:id="130"/>
    <w:p>
      <w:pPr>
        <w:ind w:left="1260" w:hanging="631"/>
        <w:spacing w:after="0"/>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exercise the discretions conferred on it by this clause or which may otherwise be required in relation to this Deed; and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delegate to any one or more persons (for such period and on such conditions as it may determine) the exercise of any of its powers or discretions arising under this Deed.</w:t>
      </w:r>
    </w:p>
    <w:p>
      <w:pPr>
        <w:spacing w:after="0" w:line="134" w:lineRule="exact"/>
        <w:rPr>
          <w:rFonts w:ascii="Arial" w:cs="Arial" w:eastAsia="Arial" w:hAnsi="Arial"/>
          <w:sz w:val="18"/>
          <w:szCs w:val="18"/>
          <w:color w:val="auto"/>
        </w:rPr>
      </w:pPr>
    </w:p>
    <w:p>
      <w:pPr>
        <w:ind w:left="620" w:hanging="612"/>
        <w:spacing w:after="0"/>
        <w:tabs>
          <w:tab w:leader="none" w:pos="6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9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Any notice or other communication to or by a party under this Deed:</w:t>
      </w:r>
    </w:p>
    <w:p>
      <w:pPr>
        <w:spacing w:after="0" w:line="184"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must be given in accordance with this clause 5;</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may be given by personal service or certified return post (signature required by Dr Perry or Mrs. Arlene Perry);</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must be in writing, legible and in English addressed (depending on the manner in which it is given) as shown below:</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If to Dr Perry and Mrs. Arlene Perry:</w:t>
      </w:r>
    </w:p>
    <w:p>
      <w:pPr>
        <w:spacing w:after="0" w:line="171" w:lineRule="exact"/>
        <w:rPr>
          <w:rFonts w:ascii="Arial" w:cs="Arial" w:eastAsia="Arial" w:hAnsi="Arial"/>
          <w:sz w:val="18"/>
          <w:szCs w:val="18"/>
          <w:color w:val="auto"/>
        </w:rPr>
      </w:pPr>
    </w:p>
    <w:p>
      <w:pPr>
        <w:ind w:left="1840" w:right="4820"/>
        <w:spacing w:after="0" w:line="235" w:lineRule="auto"/>
        <w:rPr>
          <w:rFonts w:ascii="Arial" w:cs="Arial" w:eastAsia="Arial" w:hAnsi="Arial"/>
          <w:sz w:val="18"/>
          <w:szCs w:val="18"/>
          <w:color w:val="auto"/>
        </w:rPr>
      </w:pPr>
      <w:r>
        <w:rPr>
          <w:rFonts w:ascii="Arial" w:cs="Arial" w:eastAsia="Arial" w:hAnsi="Arial"/>
          <w:sz w:val="18"/>
          <w:szCs w:val="18"/>
          <w:color w:val="auto"/>
        </w:rPr>
        <w:t>Address:300 Cook St., Denver, CO, 80206, United States Attention:Dr. Michael Perry and Mrs. Arlene Perry</w:t>
      </w:r>
    </w:p>
    <w:p>
      <w:pPr>
        <w:spacing w:after="0" w:line="175" w:lineRule="exact"/>
        <w:rPr>
          <w:sz w:val="20"/>
          <w:szCs w:val="20"/>
          <w:color w:val="auto"/>
        </w:rPr>
      </w:pPr>
    </w:p>
    <w:p>
      <w:pPr>
        <w:ind w:left="2080" w:hanging="847"/>
        <w:spacing w:after="0"/>
        <w:tabs>
          <w:tab w:leader="none" w:pos="2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67" w:lineRule="exact"/>
        <w:rPr>
          <w:sz w:val="20"/>
          <w:szCs w:val="20"/>
          <w:color w:val="auto"/>
        </w:rPr>
      </w:pPr>
    </w:p>
    <w:p>
      <w:pPr>
        <w:ind w:left="1840"/>
        <w:spacing w:after="0"/>
        <w:tabs>
          <w:tab w:leader="none" w:pos="36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28159 Avenue Stanford, Suite 220, Valencia, CA 91355, United States</w:t>
      </w:r>
    </w:p>
    <w:p>
      <w:pPr>
        <w:ind w:left="1840"/>
        <w:spacing w:after="0"/>
        <w:rPr>
          <w:sz w:val="20"/>
          <w:szCs w:val="20"/>
          <w:color w:val="auto"/>
        </w:rPr>
      </w:pPr>
      <w:r>
        <w:rPr>
          <w:rFonts w:ascii="Arial" w:cs="Arial" w:eastAsia="Arial" w:hAnsi="Arial"/>
          <w:sz w:val="18"/>
          <w:szCs w:val="18"/>
          <w:color w:val="auto"/>
        </w:rPr>
        <w:t>Attention:Chief Financial Officer</w:t>
      </w:r>
    </w:p>
    <w:p>
      <w:pPr>
        <w:spacing w:after="0" w:line="171" w:lineRule="exact"/>
        <w:rPr>
          <w:sz w:val="20"/>
          <w:szCs w:val="20"/>
          <w:color w:val="auto"/>
        </w:rPr>
      </w:pPr>
    </w:p>
    <w:p>
      <w:pPr>
        <w:ind w:left="1240" w:right="20"/>
        <w:spacing w:after="0" w:line="246" w:lineRule="auto"/>
        <w:rPr>
          <w:sz w:val="20"/>
          <w:szCs w:val="20"/>
          <w:color w:val="auto"/>
        </w:rPr>
      </w:pPr>
      <w:r>
        <w:rPr>
          <w:rFonts w:ascii="Arial" w:cs="Arial" w:eastAsia="Arial" w:hAnsi="Arial"/>
          <w:sz w:val="18"/>
          <w:szCs w:val="18"/>
          <w:color w:val="auto"/>
        </w:rPr>
        <w:t>or addressed in accordance with any updated details last notified by the party to the sender by notice given in accordance with this clause;</w:t>
      </w:r>
    </w:p>
    <w:p>
      <w:pPr>
        <w:spacing w:after="0" w:line="156" w:lineRule="exact"/>
        <w:rPr>
          <w:sz w:val="20"/>
          <w:szCs w:val="20"/>
          <w:color w:val="auto"/>
        </w:rPr>
      </w:pPr>
    </w:p>
    <w:p>
      <w:pPr>
        <w:ind w:left="1260" w:hanging="631"/>
        <w:spacing w:after="0"/>
        <w:tabs>
          <w:tab w:leader="none" w:pos="1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must be signed:</w:t>
      </w:r>
    </w:p>
    <w:p>
      <w:pPr>
        <w:spacing w:after="0" w:line="171" w:lineRule="exact"/>
        <w:rPr>
          <w:rFonts w:ascii="Arial" w:cs="Arial" w:eastAsia="Arial" w:hAnsi="Arial"/>
          <w:sz w:val="18"/>
          <w:szCs w:val="18"/>
          <w:color w:val="auto"/>
        </w:rPr>
      </w:pPr>
    </w:p>
    <w:p>
      <w:pPr>
        <w:ind w:left="1840" w:right="580" w:hanging="617"/>
        <w:spacing w:after="0" w:line="246" w:lineRule="auto"/>
        <w:tabs>
          <w:tab w:leader="none" w:pos="18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a corporation registered 1n Australia, by any authorized representative or by the appropriate office holders of that corporation under section 127 of the Corporations Act; or</w:t>
      </w:r>
    </w:p>
    <w:p>
      <w:pPr>
        <w:spacing w:after="0" w:line="156" w:lineRule="exact"/>
        <w:rPr>
          <w:rFonts w:ascii="Arial" w:cs="Arial" w:eastAsia="Arial" w:hAnsi="Arial"/>
          <w:sz w:val="18"/>
          <w:szCs w:val="18"/>
          <w:color w:val="auto"/>
        </w:rPr>
      </w:pPr>
    </w:p>
    <w:p>
      <w:pPr>
        <w:ind w:left="1840" w:right="280" w:hanging="617"/>
        <w:spacing w:after="0" w:line="246" w:lineRule="auto"/>
        <w:tabs>
          <w:tab w:leader="none" w:pos="18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a corporation registered outside of Australia, by a person duly authorized by the sender in accordance with the laws governing the place of registration of that corporation; and</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 deemed to be given by the sender and received by the addressee:</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delivered in person, when delivered to the addressee;</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posted, at 9.00 am on the fourth Business Day after the date of posting to the addressee whether delivered or not;</w:t>
      </w:r>
    </w:p>
    <w:p>
      <w:pPr>
        <w:spacing w:after="0" w:line="171" w:lineRule="exact"/>
        <w:rPr>
          <w:sz w:val="20"/>
          <w:szCs w:val="20"/>
          <w:color w:val="auto"/>
        </w:rPr>
      </w:pPr>
    </w:p>
    <w:p>
      <w:pPr>
        <w:ind w:left="1240" w:right="20"/>
        <w:spacing w:after="0" w:line="246" w:lineRule="auto"/>
        <w:rPr>
          <w:sz w:val="20"/>
          <w:szCs w:val="20"/>
          <w:color w:val="auto"/>
        </w:rPr>
      </w:pPr>
      <w:r>
        <w:rPr>
          <w:rFonts w:ascii="Arial" w:cs="Arial" w:eastAsia="Arial" w:hAnsi="Arial"/>
          <w:sz w:val="18"/>
          <w:szCs w:val="18"/>
          <w:color w:val="auto"/>
        </w:rPr>
        <w:t>but if the delivery or receipt 1s on a day which is not a Business Day or is after 4.00 pm (addressee's time), it is deemed to have been received at 9 00 am on the next Business Day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1" w:name="page132"/>
    <w:bookmarkEnd w:id="131"/>
    <w:p>
      <w:pPr>
        <w:ind w:left="620" w:hanging="612"/>
        <w:spacing w:after="0"/>
        <w:tabs>
          <w:tab w:leader="none" w:pos="6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Entire understanding</w:t>
      </w:r>
    </w:p>
    <w:p>
      <w:pPr>
        <w:spacing w:after="0" w:line="193" w:lineRule="exact"/>
        <w:rPr>
          <w:sz w:val="20"/>
          <w:szCs w:val="20"/>
          <w:color w:val="auto"/>
        </w:rPr>
      </w:pPr>
    </w:p>
    <w:p>
      <w:pPr>
        <w:ind w:left="1260" w:right="20" w:hanging="631"/>
        <w:spacing w:after="0" w:line="246" w:lineRule="auto"/>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Deed contains the entire understanding between the parties concerning the subject matter of this Deed and supersedes, terminates and replaces all prior agreements and communications between the parties concerning that subject matter.</w:t>
      </w:r>
    </w:p>
    <w:p>
      <w:pPr>
        <w:spacing w:after="0" w:line="138" w:lineRule="exact"/>
        <w:rPr>
          <w:rFonts w:ascii="Arial" w:cs="Arial" w:eastAsia="Arial" w:hAnsi="Arial"/>
          <w:sz w:val="18"/>
          <w:szCs w:val="18"/>
          <w:color w:val="auto"/>
        </w:rPr>
      </w:pPr>
    </w:p>
    <w:p>
      <w:pPr>
        <w:ind w:left="1260" w:right="20" w:hanging="631"/>
        <w:spacing w:after="0" w:line="267" w:lineRule="auto"/>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All terms, warranties and conditions implied or imposed by statute </w:t>
      </w:r>
      <w:r>
        <w:rPr>
          <w:rFonts w:ascii="Arial" w:cs="Arial" w:eastAsia="Arial" w:hAnsi="Arial"/>
          <w:sz w:val="18"/>
          <w:szCs w:val="18"/>
          <w:i w:val="1"/>
          <w:iCs w:val="1"/>
          <w:color w:val="auto"/>
        </w:rPr>
        <w:t>or</w:t>
      </w:r>
      <w:r>
        <w:rPr>
          <w:rFonts w:ascii="Arial" w:cs="Arial" w:eastAsia="Arial" w:hAnsi="Arial"/>
          <w:sz w:val="18"/>
          <w:szCs w:val="18"/>
          <w:color w:val="auto"/>
        </w:rPr>
        <w:t xml:space="preserve"> general law are excluded from this Deed, except any term, warranty or condition the exclusion of which would:</w:t>
      </w:r>
    </w:p>
    <w:p>
      <w:pPr>
        <w:spacing w:after="0" w:line="137" w:lineRule="exact"/>
        <w:rPr>
          <w:rFonts w:ascii="Arial" w:cs="Arial" w:eastAsia="Arial" w:hAnsi="Arial"/>
          <w:sz w:val="18"/>
          <w:szCs w:val="18"/>
          <w:color w:val="auto"/>
        </w:rPr>
      </w:pPr>
    </w:p>
    <w:p>
      <w:pPr>
        <w:ind w:left="1840" w:hanging="617"/>
        <w:spacing w:after="0"/>
        <w:tabs>
          <w:tab w:leader="none" w:pos="18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contravene the statute or general law which implied or imposed it; or</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cause this clause to be void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party acknowledges that, except as expressly stated in this Deed, it has not relied on any representation, warranty, undertaking or statement made by or on behalf of another party in relation to this Deed or its subject matter.</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No adverse construction</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No provision of this Deed is to be construed to the disadvantage of a party solely because that party was responsible for preparing or proposing this Deed or the provision.</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No waiver</w:t>
      </w:r>
    </w:p>
    <w:p>
      <w:pPr>
        <w:spacing w:after="0" w:line="193" w:lineRule="exact"/>
        <w:rPr>
          <w:sz w:val="20"/>
          <w:szCs w:val="20"/>
          <w:color w:val="auto"/>
        </w:rPr>
      </w:pPr>
    </w:p>
    <w:p>
      <w:pPr>
        <w:ind w:left="1260" w:hanging="631"/>
        <w:spacing w:after="0" w:line="246"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failure to exercise, a delay in exercising or partially exercising any power, right or remedy conferred on a party by or in respect of this Deed does not operate as a waiver by that party of the power, right or remedy.</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single or partial exercise of any power, right or remedy does not preclude a further exercise of it or the exercise of any other power, right or remedy.</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waiver of a breach does not operate as a waiver of any other breach.</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Remedies cumulative</w:t>
      </w:r>
    </w:p>
    <w:p>
      <w:pPr>
        <w:spacing w:after="0" w:line="175" w:lineRule="exact"/>
        <w:rPr>
          <w:sz w:val="20"/>
          <w:szCs w:val="20"/>
          <w:color w:val="auto"/>
        </w:rPr>
      </w:pPr>
    </w:p>
    <w:p>
      <w:pPr>
        <w:ind w:left="640"/>
        <w:spacing w:after="0" w:line="267" w:lineRule="auto"/>
        <w:rPr>
          <w:sz w:val="20"/>
          <w:szCs w:val="20"/>
          <w:color w:val="auto"/>
        </w:rPr>
      </w:pPr>
      <w:r>
        <w:rPr>
          <w:rFonts w:ascii="Arial" w:cs="Arial" w:eastAsia="Arial" w:hAnsi="Arial"/>
          <w:sz w:val="18"/>
          <w:szCs w:val="18"/>
          <w:color w:val="auto"/>
        </w:rPr>
        <w:t xml:space="preserve">Except as set out in this Deed, the powers, rights and remedies under this Deed </w:t>
      </w:r>
      <w:r>
        <w:rPr>
          <w:rFonts w:ascii="Arial" w:cs="Arial" w:eastAsia="Arial" w:hAnsi="Arial"/>
          <w:sz w:val="18"/>
          <w:szCs w:val="18"/>
          <w:i w:val="1"/>
          <w:iCs w:val="1"/>
          <w:color w:val="auto"/>
        </w:rPr>
        <w:t>are</w:t>
      </w:r>
      <w:r>
        <w:rPr>
          <w:rFonts w:ascii="Arial" w:cs="Arial" w:eastAsia="Arial" w:hAnsi="Arial"/>
          <w:sz w:val="18"/>
          <w:szCs w:val="18"/>
          <w:color w:val="auto"/>
        </w:rPr>
        <w:t xml:space="preserve"> cumulative with and not exclusive of any powers, rights and remedies provided by law independently of this Deed</w:t>
      </w:r>
    </w:p>
    <w:p>
      <w:pPr>
        <w:spacing w:after="0" w:line="1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Severability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provision of this Deed which is invalid in any jurisd1ct1on must, in relation to that jurisdiction, be:</w:t>
      </w:r>
    </w:p>
    <w:p>
      <w:pPr>
        <w:spacing w:after="0" w:line="171" w:lineRule="exact"/>
        <w:rPr>
          <w:sz w:val="20"/>
          <w:szCs w:val="20"/>
          <w:color w:val="auto"/>
        </w:rPr>
      </w:pPr>
    </w:p>
    <w:p>
      <w:pPr>
        <w:ind w:left="1260" w:hanging="631"/>
        <w:spacing w:after="0"/>
        <w:tabs>
          <w:tab w:leader="none" w:pos="1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read down to the minimum extent necessary to achieve its validity, if applicable;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severed from this Deed in any other case,</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without invalidating or affecting the remaining provisions of this Deed or the validity of that provision in any other jurisdiction.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2" w:name="page133"/>
    <w:bookmarkEnd w:id="132"/>
    <w:p>
      <w:pPr>
        <w:spacing w:after="0"/>
        <w:tabs>
          <w:tab w:leader="none" w:pos="60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Consents and approvals</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Unless this Deed provides otherwise, where anything depends on the consent or approval of a party, then that consent or approval may be given conditionally, unconditionally or withheld, in the absolute discretion of that party.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No variation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Deed cannot be amended or varied except in writing signed by the parties.</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7"/>
          <w:szCs w:val="17"/>
          <w:b w:val="1"/>
          <w:bCs w:val="1"/>
          <w:color w:val="auto"/>
        </w:rPr>
        <w:t>Execution and delivery</w:t>
      </w:r>
    </w:p>
    <w:p>
      <w:pPr>
        <w:spacing w:after="0" w:line="193" w:lineRule="exact"/>
        <w:rPr>
          <w:sz w:val="20"/>
          <w:szCs w:val="20"/>
          <w:color w:val="auto"/>
        </w:rPr>
      </w:pPr>
    </w:p>
    <w:p>
      <w:pPr>
        <w:ind w:left="1260" w:hanging="631"/>
        <w:spacing w:after="0"/>
        <w:tabs>
          <w:tab w:leader="none" w:pos="1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executing this Deed, a party intends:</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to be immediately bound by this Deed; and</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such execution to constitute delivery of this Deed to each other party.</w:t>
      </w:r>
    </w:p>
    <w:p>
      <w:pPr>
        <w:spacing w:after="0" w:line="153" w:lineRule="exact"/>
        <w:rPr>
          <w:rFonts w:ascii="Arial" w:cs="Arial" w:eastAsia="Arial" w:hAnsi="Arial"/>
          <w:sz w:val="18"/>
          <w:szCs w:val="18"/>
          <w:color w:val="auto"/>
        </w:rPr>
      </w:pPr>
    </w:p>
    <w:p>
      <w:pPr>
        <w:ind w:left="1260" w:hanging="631"/>
        <w:spacing w:after="0" w:line="267" w:lineRule="auto"/>
        <w:tabs>
          <w:tab w:leader="none" w:pos="1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Nothing in this clause 6.8 should be taken to exclude any statutory </w:t>
      </w:r>
      <w:r>
        <w:rPr>
          <w:rFonts w:ascii="Arial" w:cs="Arial" w:eastAsia="Arial" w:hAnsi="Arial"/>
          <w:sz w:val="18"/>
          <w:szCs w:val="18"/>
          <w:i w:val="1"/>
          <w:iCs w:val="1"/>
          <w:color w:val="auto"/>
        </w:rPr>
        <w:t>or</w:t>
      </w:r>
      <w:r>
        <w:rPr>
          <w:rFonts w:ascii="Arial" w:cs="Arial" w:eastAsia="Arial" w:hAnsi="Arial"/>
          <w:sz w:val="18"/>
          <w:szCs w:val="18"/>
          <w:color w:val="auto"/>
        </w:rPr>
        <w:t xml:space="preserve"> common law principle applicable to the proper execution and delivery of a deed.</w:t>
      </w:r>
    </w:p>
    <w:p>
      <w:pPr>
        <w:spacing w:after="0" w:line="137"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clause 6.8 supersedes, terminates and replaces any prior agreements and communications between the parties which indicate that the agreements recorded in this Deed are "subject to contract" or similar arrangements.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Conflicting provisions</w:t>
      </w:r>
    </w:p>
    <w:p>
      <w:pPr>
        <w:spacing w:after="0" w:line="193" w:lineRule="exact"/>
        <w:rPr>
          <w:sz w:val="20"/>
          <w:szCs w:val="20"/>
          <w:color w:val="auto"/>
        </w:rPr>
      </w:pPr>
    </w:p>
    <w:p>
      <w:pPr>
        <w:jc w:val="both"/>
        <w:ind w:left="640" w:right="20"/>
        <w:spacing w:after="0" w:line="246" w:lineRule="auto"/>
        <w:rPr>
          <w:sz w:val="20"/>
          <w:szCs w:val="20"/>
          <w:color w:val="auto"/>
        </w:rPr>
      </w:pPr>
      <w:r>
        <w:rPr>
          <w:rFonts w:ascii="Arial" w:cs="Arial" w:eastAsia="Arial" w:hAnsi="Arial"/>
          <w:sz w:val="18"/>
          <w:szCs w:val="18"/>
          <w:color w:val="auto"/>
        </w:rPr>
        <w:t>If there is any conflict between the main body of this Deed and any schedules or annexures comprising it, then the provisions of the schedules and annexures of this Deed prevail.</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7"/>
          <w:szCs w:val="17"/>
          <w:b w:val="1"/>
          <w:bCs w:val="1"/>
          <w:color w:val="auto"/>
        </w:rPr>
        <w:t>No right of set-off</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a party has no right of set-off against a payment due to another party under this Deed.</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7"/>
          <w:szCs w:val="17"/>
          <w:b w:val="1"/>
          <w:bCs w:val="1"/>
          <w:color w:val="auto"/>
        </w:rPr>
        <w:t>Relationship of parties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nothing in this Deed may be construed as creating a relationship of partnership, of principal and agent or of trustee and beneficiary.</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color w:val="auto"/>
        </w:rPr>
        <w:t>Counterparts</w:t>
      </w:r>
    </w:p>
    <w:p>
      <w:pPr>
        <w:spacing w:after="0" w:line="19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If this Deed consists of a number of signed counterparts, each is an original and all of the counterparts together constitute the same document. A party may sign a counterpart by executing a signature page and electronically transmitting a copy of the signed page to each other party or their authorized representative.</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color w:val="auto"/>
        </w:rPr>
        <w:t>Governing law and jurisdiction</w:t>
      </w:r>
    </w:p>
    <w:p>
      <w:pPr>
        <w:spacing w:after="0" w:line="193" w:lineRule="exact"/>
        <w:rPr>
          <w:sz w:val="20"/>
          <w:szCs w:val="20"/>
          <w:color w:val="auto"/>
        </w:rPr>
      </w:pPr>
    </w:p>
    <w:p>
      <w:pPr>
        <w:ind w:left="1260" w:hanging="631"/>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Deed is governed by and must be construed in accordance with the laws of the State of Victoria, Australia.</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parties submit to the exclusive jurisdiction of the courts of that State and the Commonwealth of Australia in respect of all matters arising out of or relating to this Deed, its performance or subject matter.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33" w:name="page134"/>
    <w:bookmarkEnd w:id="133"/>
    <w:p>
      <w:pPr>
        <w:ind w:left="1260" w:hanging="631"/>
        <w:spacing w:after="0"/>
        <w:tabs>
          <w:tab w:leader="none" w:pos="1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party waives any rights to:</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object to the venue of any proceedings; or</w:t>
      </w:r>
    </w:p>
    <w:p>
      <w:pPr>
        <w:spacing w:after="0" w:line="171" w:lineRule="exact"/>
        <w:rPr>
          <w:rFonts w:ascii="Arial" w:cs="Arial" w:eastAsia="Arial" w:hAnsi="Arial"/>
          <w:sz w:val="18"/>
          <w:szCs w:val="18"/>
          <w:color w:val="auto"/>
        </w:rPr>
      </w:pPr>
    </w:p>
    <w:p>
      <w:pPr>
        <w:ind w:left="1840" w:hanging="617"/>
        <w:spacing w:after="0" w:line="246" w:lineRule="auto"/>
        <w:tabs>
          <w:tab w:leader="none" w:pos="1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claim that the proceedings have been brought in an inconvenient forum or that the courts of another place are a more convenient forum,</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if the proceedings have been brought in a court referred </w:t>
      </w:r>
      <w:r>
        <w:rPr>
          <w:rFonts w:ascii="Arial" w:cs="Arial" w:eastAsia="Arial" w:hAnsi="Arial"/>
          <w:sz w:val="18"/>
          <w:szCs w:val="18"/>
          <w:i w:val="1"/>
          <w:iCs w:val="1"/>
          <w:color w:val="auto"/>
        </w:rPr>
        <w:t>to</w:t>
      </w:r>
      <w:r>
        <w:rPr>
          <w:rFonts w:ascii="Arial" w:cs="Arial" w:eastAsia="Arial" w:hAnsi="Arial"/>
          <w:sz w:val="18"/>
          <w:szCs w:val="18"/>
          <w:color w:val="auto"/>
        </w:rPr>
        <w:t xml:space="preserve"> in clause 6.13(b).</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7"/>
          <w:szCs w:val="17"/>
          <w:b w:val="1"/>
          <w:bCs w:val="1"/>
          <w:color w:val="auto"/>
        </w:rPr>
        <w:t>Section 409A of the Code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RSUs are intended to comply with the "short-term deferral" rule set forth in</w:t>
      </w:r>
    </w:p>
    <w:p>
      <w:pPr>
        <w:spacing w:after="0" w:line="171"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 xml:space="preserve">U.S. Treasury Regulation Section 1.409A-1(b)(4). Notwithstanding the foregoing, if it is determined that the RSUs fail to satisfy the requirements of the short-term deferral rule, the RSUs are intended to comply with Section 409A of the Code </w:t>
      </w:r>
      <w:r>
        <w:rPr>
          <w:rFonts w:ascii="Arial" w:cs="Arial" w:eastAsia="Arial" w:hAnsi="Arial"/>
          <w:sz w:val="18"/>
          <w:szCs w:val="18"/>
          <w:b w:val="1"/>
          <w:bCs w:val="1"/>
          <w:color w:val="auto"/>
        </w:rPr>
        <w:t>(Section 409A ).</w:t>
      </w:r>
      <w:r>
        <w:rPr>
          <w:rFonts w:ascii="Arial" w:cs="Arial" w:eastAsia="Arial" w:hAnsi="Arial"/>
          <w:sz w:val="18"/>
          <w:szCs w:val="18"/>
          <w:color w:val="auto"/>
        </w:rPr>
        <w:t xml:space="preserve"> If the RSUs are deferred compensation subject to Section 409A, and if Dr. Perry is a "Specified Employee" (within the meaning set forth Section 409A(a)(2)(B){i)} as of the date of his separation from service (within the meaning of Treasury Regulation Section 1.409A-1(h)), then notwithstanding anything to the contrary in Schedule 1 the issuance of any Shares that would otherwise be made upon the date of the separation from service or within the first six months thereafter will not be made on the originally scheduled date(s) and will instead be issued on the date that is six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taxation on Dr. Perry in respect of the shares under Section 409A. Each instalment of Shares that is issued is intended to constitute a "separate payment” for purposes of Treasury Regulation Section 1.409A-2(b)(2). Notwithstanding the foregoing, the Company makes no representations that the payments and benefits provided under this Deed comply with Section 409A and in no event shall the Company be liable for all or any portion of any taxes, penalties, interest or other expenses that may be incurred by Dr. Perry on account of non-compliance with Section 409A.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Schedule 1 - Terms and Conditions of the RSUs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620" w:hanging="612"/>
        <w:spacing w:after="0"/>
        <w:tabs>
          <w:tab w:leader="none" w:pos="6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RSUs</w:t>
      </w:r>
    </w:p>
    <w:p>
      <w:pPr>
        <w:spacing w:after="0" w:line="206" w:lineRule="exact"/>
        <w:rPr>
          <w:rFonts w:ascii="Arial" w:cs="Arial" w:eastAsia="Arial" w:hAnsi="Arial"/>
          <w:sz w:val="18"/>
          <w:szCs w:val="18"/>
          <w:b w:val="1"/>
          <w:bCs w:val="1"/>
          <w:color w:val="auto"/>
        </w:rPr>
      </w:pPr>
    </w:p>
    <w:p>
      <w:pPr>
        <w:jc w:val="both"/>
        <w:ind w:left="6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has issued to the Participant a holding statement for the 50 million RSUs already issued to the Participant. Upon the issue of the additional 39,554,252 RSUs </w:t>
      </w:r>
      <w:r>
        <w:rPr>
          <w:rFonts w:ascii="Arial" w:cs="Arial" w:eastAsia="Arial" w:hAnsi="Arial"/>
          <w:sz w:val="18"/>
          <w:szCs w:val="18"/>
          <w:b w:val="1"/>
          <w:bCs w:val="1"/>
          <w:color w:val="auto"/>
        </w:rPr>
        <w:t>(additional RSUs)</w:t>
      </w:r>
      <w:r>
        <w:rPr>
          <w:rFonts w:ascii="Arial" w:cs="Arial" w:eastAsia="Arial" w:hAnsi="Arial"/>
          <w:sz w:val="18"/>
          <w:szCs w:val="18"/>
          <w:color w:val="auto"/>
        </w:rPr>
        <w:t xml:space="preserve"> under paragraphs 3.3(c) to (e) and 3.5(c) to (g) below the Company will issue to the Participant a holding statement for the additional RSUs. All RSUs granted (and Shares issued or transferred on their vesting) will be registered in the appropriate register of the Company.</w:t>
      </w:r>
    </w:p>
    <w:p>
      <w:pPr>
        <w:spacing w:after="0" w:line="14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these Terms and Conditions, Dr Perry is referred to as the </w:t>
      </w: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620" w:hanging="612"/>
        <w:spacing w:after="0"/>
        <w:tabs>
          <w:tab w:leader="none" w:pos="6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dealing with RSUs</w:t>
      </w:r>
    </w:p>
    <w:p>
      <w:pPr>
        <w:spacing w:after="0" w:line="193" w:lineRule="exact"/>
        <w:rPr>
          <w:rFonts w:ascii="Arial" w:cs="Arial" w:eastAsia="Arial" w:hAnsi="Arial"/>
          <w:sz w:val="18"/>
          <w:szCs w:val="18"/>
          <w:b w:val="1"/>
          <w:bCs w:val="1"/>
          <w:color w:val="auto"/>
        </w:rPr>
      </w:pPr>
    </w:p>
    <w:p>
      <w:pPr>
        <w:jc w:val="both"/>
        <w:ind w:left="6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Except to a designated beneficiary upon the Participant's death or by will or the laws of descent and distribution, the Participant may not without prior written approval of the Board sell, assign, transfer or otherwise deal with, or grant a Security Interest over, an RSU granted to the Participant. Except to a designated beneficiary upon the Participant's death or by will or the laws of descent and distribution, the RSU lapses immediately on purported sale, assignment, transfer, dealing or the grant of Security Interest, unless the Board in its absolute discretion approves the dealing, or the transfer or transmission is effected by force of law on death or legal incapacity to the Participant's legal personal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3" w:lineRule="exact"/>
        <w:rPr>
          <w:sz w:val="20"/>
          <w:szCs w:val="20"/>
          <w:color w:val="auto"/>
        </w:rPr>
      </w:pPr>
    </w:p>
    <w:p>
      <w:pPr>
        <w:ind w:left="620" w:hanging="612"/>
        <w:spacing w:after="0"/>
        <w:tabs>
          <w:tab w:leader="none" w:pos="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Operation of RSUs</w:t>
      </w:r>
    </w:p>
    <w:p>
      <w:pPr>
        <w:spacing w:after="0" w:line="184"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7"/>
          <w:szCs w:val="17"/>
          <w:b w:val="1"/>
          <w:bCs w:val="1"/>
          <w:color w:val="auto"/>
        </w:rPr>
        <w:t>Consideration</w:t>
      </w:r>
    </w:p>
    <w:p>
      <w:pPr>
        <w:spacing w:after="0" w:line="19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No cash consideration will be payable on the grant of the RSUs unless otherwise specified in these Terms and Conditions.</w:t>
      </w:r>
    </w:p>
    <w:p>
      <w:pPr>
        <w:spacing w:after="0" w:line="14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7"/>
          <w:szCs w:val="17"/>
          <w:b w:val="1"/>
          <w:bCs w:val="1"/>
          <w:color w:val="auto"/>
        </w:rPr>
        <w:t>Vesting Conditions</w:t>
      </w:r>
    </w:p>
    <w:p>
      <w:pPr>
        <w:spacing w:after="0" w:line="193" w:lineRule="exact"/>
        <w:rPr>
          <w:rFonts w:ascii="Arial" w:cs="Arial" w:eastAsia="Arial" w:hAnsi="Arial"/>
          <w:sz w:val="18"/>
          <w:szCs w:val="18"/>
          <w:b w:val="1"/>
          <w:bCs w:val="1"/>
          <w:color w:val="auto"/>
        </w:rPr>
      </w:pPr>
    </w:p>
    <w:p>
      <w:pPr>
        <w:jc w:val="both"/>
        <w:ind w:left="640"/>
        <w:spacing w:after="0"/>
        <w:rPr>
          <w:rFonts w:ascii="Arial" w:cs="Arial" w:eastAsia="Arial" w:hAnsi="Arial"/>
          <w:sz w:val="18"/>
          <w:szCs w:val="18"/>
          <w:b w:val="1"/>
          <w:bCs w:val="1"/>
          <w:color w:val="auto"/>
        </w:rPr>
      </w:pPr>
      <w:r>
        <w:rPr>
          <w:rFonts w:ascii="Arial" w:cs="Arial" w:eastAsia="Arial" w:hAnsi="Arial"/>
          <w:sz w:val="18"/>
          <w:szCs w:val="18"/>
          <w:color w:val="auto"/>
        </w:rPr>
        <w:t>Where the RSUs are subject to Vesting Conditions detailed in paragraphs 3.3 or 3.5 below; and those RSUs will only vest as the respective Vesting Conditions are met and if not met by the specified date, the relevant RSUs will, in the absence of a resolution of the Board of the Company to the contrary, automatically lapse.</w:t>
      </w:r>
    </w:p>
    <w:p>
      <w:pPr>
        <w:spacing w:after="0" w:line="140"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The Vesting Conditions relate to the continued tenure (of Dr Perry) as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xml:space="preserve"> in accordance with his employment agreement </w:t>
      </w:r>
      <w:r>
        <w:rPr>
          <w:rFonts w:ascii="Arial" w:cs="Arial" w:eastAsia="Arial" w:hAnsi="Arial"/>
          <w:sz w:val="18"/>
          <w:szCs w:val="18"/>
          <w:b w:val="1"/>
          <w:bCs w:val="1"/>
          <w:color w:val="auto"/>
        </w:rPr>
        <w:t>(Tenure Vesting),</w:t>
      </w:r>
      <w:r>
        <w:rPr>
          <w:rFonts w:ascii="Arial" w:cs="Arial" w:eastAsia="Arial" w:hAnsi="Arial"/>
          <w:sz w:val="18"/>
          <w:szCs w:val="18"/>
          <w:color w:val="auto"/>
        </w:rPr>
        <w:t xml:space="preserve"> Company Share Price </w:t>
      </w:r>
      <w:r>
        <w:rPr>
          <w:rFonts w:ascii="Arial" w:cs="Arial" w:eastAsia="Arial" w:hAnsi="Arial"/>
          <w:sz w:val="18"/>
          <w:szCs w:val="18"/>
          <w:b w:val="1"/>
          <w:bCs w:val="1"/>
          <w:color w:val="auto"/>
        </w:rPr>
        <w:t>(Share Price Vesting)</w:t>
      </w:r>
      <w:r>
        <w:rPr>
          <w:rFonts w:ascii="Arial" w:cs="Arial" w:eastAsia="Arial" w:hAnsi="Arial"/>
          <w:sz w:val="18"/>
          <w:szCs w:val="18"/>
          <w:color w:val="auto"/>
        </w:rPr>
        <w:t xml:space="preserve"> and Milestone performance </w:t>
      </w:r>
      <w:r>
        <w:rPr>
          <w:rFonts w:ascii="Arial" w:cs="Arial" w:eastAsia="Arial" w:hAnsi="Arial"/>
          <w:sz w:val="18"/>
          <w:szCs w:val="18"/>
          <w:b w:val="1"/>
          <w:bCs w:val="1"/>
          <w:color w:val="auto"/>
        </w:rPr>
        <w:t>(Milestone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Vesting} </w:t>
      </w:r>
      <w:r>
        <w:rPr>
          <w:rFonts w:ascii="Arial" w:cs="Arial" w:eastAsia="Arial" w:hAnsi="Arial"/>
          <w:sz w:val="18"/>
          <w:szCs w:val="18"/>
          <w:color w:val="auto"/>
        </w:rPr>
        <w:t>- as set by the Board of Directors (specified below).</w:t>
      </w:r>
    </w:p>
    <w:p>
      <w:pPr>
        <w:spacing w:after="0" w:line="14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7"/>
          <w:szCs w:val="17"/>
          <w:b w:val="1"/>
          <w:bCs w:val="1"/>
          <w:color w:val="auto"/>
        </w:rPr>
        <w:t>Tenure Vesting</w:t>
      </w:r>
    </w:p>
    <w:p>
      <w:pPr>
        <w:spacing w:after="0" w:line="193" w:lineRule="exact"/>
        <w:rPr>
          <w:rFonts w:ascii="Arial" w:cs="Arial" w:eastAsia="Arial" w:hAnsi="Arial"/>
          <w:sz w:val="18"/>
          <w:szCs w:val="18"/>
          <w:b w:val="1"/>
          <w:bCs w:val="1"/>
          <w:color w:val="auto"/>
        </w:rPr>
      </w:pPr>
    </w:p>
    <w:p>
      <w:pPr>
        <w:jc w:val="both"/>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Tenure Vesting is deemed satisfied and a maximum of RSUs vest in the following numbers on the following dates, provided the Participant has been [continuously employed by the Company as CEO of the Company as at the relevant date since the grant of the RSUs </w:t>
      </w:r>
      <w:r>
        <w:rPr>
          <w:rFonts w:ascii="Arial" w:cs="Arial" w:eastAsia="Arial" w:hAnsi="Arial"/>
          <w:sz w:val="18"/>
          <w:szCs w:val="18"/>
          <w:b w:val="1"/>
          <w:bCs w:val="1"/>
          <w:color w:val="auto"/>
        </w:rPr>
        <w:t>(Continuously Employed}]:</w:t>
      </w:r>
    </w:p>
    <w:p>
      <w:pPr>
        <w:spacing w:after="0" w:line="140"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 -</w:t>
      </w:r>
    </w:p>
    <w:p>
      <w:pPr>
        <w:spacing w:after="0" w:line="193" w:lineRule="exact"/>
        <w:rPr>
          <w:rFonts w:ascii="Arial" w:cs="Arial" w:eastAsia="Arial" w:hAnsi="Arial"/>
          <w:sz w:val="18"/>
          <w:szCs w:val="18"/>
          <w:color w:val="auto"/>
        </w:rPr>
      </w:pPr>
    </w:p>
    <w:p>
      <w:pPr>
        <w:ind w:left="1840" w:hanging="617"/>
        <w:spacing w:after="0"/>
        <w:tabs>
          <w:tab w:leader="none" w:pos="184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11,111,110 RSUs where the tenure conditions have already been satisfied, to vest on the Initial Vesting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5" w:name="page136"/>
    <w:bookmarkEnd w:id="135"/>
    <w:p>
      <w:pPr>
        <w:ind w:left="1840" w:right="160" w:hanging="617"/>
        <w:spacing w:after="0" w:line="246" w:lineRule="auto"/>
        <w:tabs>
          <w:tab w:leader="none" w:pos="18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5,555,556 RSUs are to vest on 1 June 2020, provided the Participant has been Continuously Employed for the period to 31 May 2020;</w:t>
      </w:r>
    </w:p>
    <w:p>
      <w:pPr>
        <w:spacing w:after="0" w:line="138" w:lineRule="exact"/>
        <w:rPr>
          <w:rFonts w:ascii="Arial" w:cs="Arial" w:eastAsia="Arial" w:hAnsi="Arial"/>
          <w:sz w:val="18"/>
          <w:szCs w:val="18"/>
          <w:color w:val="auto"/>
        </w:rPr>
      </w:pPr>
    </w:p>
    <w:p>
      <w:pPr>
        <w:ind w:left="1260" w:hanging="631"/>
        <w:spacing w:after="0"/>
        <w:tabs>
          <w:tab w:leader="none" w:pos="12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subject to shareholder approval at the 2019 AGM the following </w:t>
      </w:r>
      <w:r>
        <w:rPr>
          <w:rFonts w:ascii="Arial" w:cs="Arial" w:eastAsia="Arial" w:hAnsi="Arial"/>
          <w:sz w:val="18"/>
          <w:szCs w:val="18"/>
          <w:b w:val="1"/>
          <w:bCs w:val="1"/>
          <w:color w:val="auto"/>
        </w:rPr>
        <w:t>additional new RSUs -</w:t>
      </w:r>
    </w:p>
    <w:p>
      <w:pPr>
        <w:spacing w:after="0" w:line="201" w:lineRule="exact"/>
        <w:rPr>
          <w:rFonts w:ascii="Arial" w:cs="Arial" w:eastAsia="Arial" w:hAnsi="Arial"/>
          <w:sz w:val="18"/>
          <w:szCs w:val="18"/>
          <w:color w:val="auto"/>
        </w:rPr>
      </w:pPr>
    </w:p>
    <w:p>
      <w:pPr>
        <w:ind w:left="1840" w:right="120" w:hanging="617"/>
        <w:spacing w:after="0" w:line="246" w:lineRule="auto"/>
        <w:tabs>
          <w:tab w:leader="none" w:pos="18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4,750 ,700 RSUs are to vest on 1 June 2020, provided the Participant has been Continuously Employed for the period to 31 May 2020;</w:t>
      </w:r>
    </w:p>
    <w:p>
      <w:pPr>
        <w:spacing w:after="0" w:line="156" w:lineRule="exact"/>
        <w:rPr>
          <w:sz w:val="20"/>
          <w:szCs w:val="20"/>
          <w:color w:val="auto"/>
        </w:rPr>
      </w:pPr>
    </w:p>
    <w:p>
      <w:pPr>
        <w:ind w:left="1840" w:right="160" w:hanging="617"/>
        <w:spacing w:after="0" w:line="246" w:lineRule="auto"/>
        <w:tabs>
          <w:tab w:leader="none" w:pos="1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4,750,700 RSUs are to vest on 1 June 2021, provided the Participant has been Continuously Employed for the period to 31 May 2021;</w:t>
      </w:r>
    </w:p>
    <w:p>
      <w:pPr>
        <w:spacing w:after="0" w:line="156" w:lineRule="exact"/>
        <w:rPr>
          <w:rFonts w:ascii="Arial" w:cs="Arial" w:eastAsia="Arial" w:hAnsi="Arial"/>
          <w:sz w:val="18"/>
          <w:szCs w:val="18"/>
          <w:color w:val="auto"/>
        </w:rPr>
      </w:pPr>
    </w:p>
    <w:p>
      <w:pPr>
        <w:ind w:left="1840" w:right="160" w:hanging="617"/>
        <w:spacing w:after="0" w:line="246" w:lineRule="auto"/>
        <w:tabs>
          <w:tab w:leader="none" w:pos="1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4,750,700 RSUs are to vest on 1 June 2022, provided the Participant has been Continuously Employed for the period to 31 May 2022.</w:t>
      </w:r>
    </w:p>
    <w:p>
      <w:pPr>
        <w:spacing w:after="0" w:line="156"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For clarity if the issue of the RSUs the subject of paragraph 3.3(b) is not approved by shareholders at the Company's 2019 AGM, those RSUs will not be issued by the Company and the Participant will not have any claim or entitlement of any nature against the Company for the failure to issue those RSUs.</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Share Price Vesting</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Provided the Participant is and has been Continuously Employed at the relevant time:</w:t>
      </w:r>
    </w:p>
    <w:p>
      <w:pPr>
        <w:spacing w:after="0" w:line="212" w:lineRule="exact"/>
        <w:rPr>
          <w:sz w:val="20"/>
          <w:szCs w:val="20"/>
          <w:color w:val="auto"/>
        </w:rPr>
      </w:pPr>
    </w:p>
    <w:p>
      <w:pPr>
        <w:ind w:left="1260" w:hanging="631"/>
        <w:spacing w:after="0" w:line="271" w:lineRule="auto"/>
        <w:tabs>
          <w:tab w:leader="none" w:pos="1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16,666,666 </w:t>
      </w:r>
      <w:r>
        <w:rPr>
          <w:rFonts w:ascii="Arial" w:cs="Arial" w:eastAsia="Arial" w:hAnsi="Arial"/>
          <w:sz w:val="18"/>
          <w:szCs w:val="18"/>
          <w:b w:val="1"/>
          <w:bCs w:val="1"/>
          <w:color w:val="auto"/>
        </w:rPr>
        <w:t>existing RSUs</w:t>
      </w:r>
      <w:r>
        <w:rPr>
          <w:rFonts w:ascii="Arial" w:cs="Arial" w:eastAsia="Arial" w:hAnsi="Arial"/>
          <w:sz w:val="18"/>
          <w:szCs w:val="18"/>
          <w:color w:val="auto"/>
        </w:rPr>
        <w:t xml:space="preserve"> issued pursuant to Avita shareholder approval at the 2017 AGM, where the share price conditions have already been satisfied, to vest on the Initial Vesting Date.</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Performance Vesting</w:t>
      </w:r>
    </w:p>
    <w:p>
      <w:pPr>
        <w:spacing w:after="0" w:line="104" w:lineRule="exact"/>
        <w:rPr>
          <w:sz w:val="20"/>
          <w:szCs w:val="20"/>
          <w:color w:val="auto"/>
        </w:rPr>
      </w:pPr>
    </w:p>
    <w:p>
      <w:pPr>
        <w:ind w:left="640" w:firstLine="6"/>
        <w:spacing w:after="0" w:line="271" w:lineRule="auto"/>
        <w:rPr>
          <w:sz w:val="20"/>
          <w:szCs w:val="20"/>
          <w:color w:val="auto"/>
        </w:rPr>
      </w:pPr>
      <w:r>
        <w:rPr>
          <w:rFonts w:ascii="Arial" w:cs="Arial" w:eastAsia="Arial" w:hAnsi="Arial"/>
          <w:sz w:val="18"/>
          <w:szCs w:val="18"/>
          <w:b w:val="1"/>
          <w:bCs w:val="1"/>
          <w:color w:val="auto"/>
        </w:rPr>
        <w:t xml:space="preserve">Provided the Participant is and has been Continuously Employed at the relevant time, </w:t>
      </w:r>
      <w:r>
        <w:rPr>
          <w:rFonts w:ascii="Arial" w:cs="Arial" w:eastAsia="Arial" w:hAnsi="Arial"/>
          <w:sz w:val="18"/>
          <w:szCs w:val="18"/>
          <w:color w:val="auto"/>
        </w:rPr>
        <w:t>the Performance Vesting is satisfied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RSUs will vest in the following numbers on the following dates:</w:t>
      </w:r>
    </w:p>
    <w:p>
      <w:pPr>
        <w:spacing w:after="0" w:line="154" w:lineRule="exact"/>
        <w:rPr>
          <w:sz w:val="20"/>
          <w:szCs w:val="20"/>
          <w:color w:val="auto"/>
        </w:rPr>
      </w:pPr>
    </w:p>
    <w:p>
      <w:pPr>
        <w:ind w:left="1260" w:hanging="631"/>
        <w:spacing w:after="0"/>
        <w:tabs>
          <w:tab w:leader="none" w:pos="12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 -</w:t>
      </w:r>
    </w:p>
    <w:p>
      <w:pPr>
        <w:spacing w:after="0" w:line="233" w:lineRule="exact"/>
        <w:rPr>
          <w:rFonts w:ascii="Arial" w:cs="Arial" w:eastAsia="Arial" w:hAnsi="Arial"/>
          <w:sz w:val="18"/>
          <w:szCs w:val="18"/>
          <w:color w:val="auto"/>
        </w:rPr>
      </w:pPr>
    </w:p>
    <w:p>
      <w:pPr>
        <w:ind w:left="1840" w:hanging="617"/>
        <w:spacing w:after="0"/>
        <w:tabs>
          <w:tab w:leader="none" w:pos="18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8,333,334 RSUs to vest on the Initial Vesting Date;</w:t>
      </w:r>
    </w:p>
    <w:p>
      <w:pPr>
        <w:spacing w:after="0" w:line="211" w:lineRule="exact"/>
        <w:rPr>
          <w:rFonts w:ascii="Arial" w:cs="Arial" w:eastAsia="Arial" w:hAnsi="Arial"/>
          <w:sz w:val="18"/>
          <w:szCs w:val="18"/>
          <w:color w:val="auto"/>
        </w:rPr>
      </w:pPr>
    </w:p>
    <w:p>
      <w:pPr>
        <w:ind w:left="1840" w:right="400" w:hanging="617"/>
        <w:spacing w:after="0" w:line="246" w:lineRule="auto"/>
        <w:tabs>
          <w:tab w:leader="none" w:pos="18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8,333,334 RSUs to vest upon the date there is Initial BARDA Procurement under CLIN2 of the BARDA contract for 5,614 ReCell devices totaling USO $7,594,620;</w:t>
      </w:r>
    </w:p>
    <w:p>
      <w:pPr>
        <w:spacing w:after="0" w:line="175" w:lineRule="exact"/>
        <w:rPr>
          <w:sz w:val="20"/>
          <w:szCs w:val="20"/>
          <w:color w:val="auto"/>
        </w:rPr>
      </w:pPr>
    </w:p>
    <w:p>
      <w:pPr>
        <w:ind w:left="620"/>
        <w:spacing w:after="0"/>
        <w:tabs>
          <w:tab w:leader="none" w:pos="1240" w:val="left"/>
          <w:tab w:leader="none" w:pos="4060" w:val="left"/>
          <w:tab w:leader="none" w:pos="5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subject to shareholder approval at</w:t>
        <w:tab/>
        <w:t>the 2019 AGM the</w:t>
      </w:r>
      <w:r>
        <w:rPr>
          <w:sz w:val="20"/>
          <w:szCs w:val="20"/>
          <w:color w:val="auto"/>
        </w:rPr>
        <w:tab/>
      </w:r>
      <w:r>
        <w:rPr>
          <w:rFonts w:ascii="Arial" w:cs="Arial" w:eastAsia="Arial" w:hAnsi="Arial"/>
          <w:sz w:val="17"/>
          <w:szCs w:val="17"/>
          <w:color w:val="auto"/>
        </w:rPr>
        <w:t xml:space="preserve">following additional new RSUs </w:t>
      </w:r>
      <w:r>
        <w:rPr>
          <w:rFonts w:ascii="Arial" w:cs="Arial" w:eastAsia="Arial" w:hAnsi="Arial"/>
          <w:sz w:val="17"/>
          <w:szCs w:val="17"/>
          <w:b w:val="1"/>
          <w:bCs w:val="1"/>
          <w:color w:val="auto"/>
        </w:rPr>
        <w:t>-</w:t>
      </w:r>
    </w:p>
    <w:p>
      <w:pPr>
        <w:spacing w:after="0" w:line="234" w:lineRule="exact"/>
        <w:rPr>
          <w:sz w:val="20"/>
          <w:szCs w:val="20"/>
          <w:color w:val="auto"/>
        </w:rPr>
      </w:pPr>
    </w:p>
    <w:p>
      <w:pPr>
        <w:ind w:left="1840" w:right="60" w:hanging="617"/>
        <w:spacing w:after="0" w:line="246" w:lineRule="auto"/>
        <w:tabs>
          <w:tab w:leader="none" w:pos="1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6,850,484 RSUs to vest where the first patient first visit for treatment in an FDA approved US soft tissue/trauma trial by the Company prior to 31 March 2020;</w:t>
      </w:r>
    </w:p>
    <w:p>
      <w:pPr>
        <w:spacing w:after="0" w:line="156" w:lineRule="exact"/>
        <w:rPr>
          <w:rFonts w:ascii="Arial" w:cs="Arial" w:eastAsia="Arial" w:hAnsi="Arial"/>
          <w:sz w:val="18"/>
          <w:szCs w:val="18"/>
          <w:color w:val="auto"/>
        </w:rPr>
      </w:pPr>
    </w:p>
    <w:p>
      <w:pPr>
        <w:ind w:left="1840" w:right="300" w:hanging="617"/>
        <w:spacing w:after="0" w:line="246" w:lineRule="auto"/>
        <w:tabs>
          <w:tab w:leader="none" w:pos="1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6,850,484 RSUs to vest where the first patient first visit for treatment in an FDA approved US pilot vitiligo trial by the Company prior to 30 September 2020;</w:t>
      </w:r>
    </w:p>
    <w:p>
      <w:pPr>
        <w:spacing w:after="0" w:line="196" w:lineRule="exact"/>
        <w:rPr>
          <w:rFonts w:ascii="Arial" w:cs="Arial" w:eastAsia="Arial" w:hAnsi="Arial"/>
          <w:sz w:val="18"/>
          <w:szCs w:val="18"/>
          <w:color w:val="auto"/>
        </w:rPr>
      </w:pPr>
    </w:p>
    <w:p>
      <w:pPr>
        <w:ind w:left="1840" w:right="500" w:hanging="617"/>
        <w:spacing w:after="0" w:line="246" w:lineRule="auto"/>
        <w:tabs>
          <w:tab w:leader="none" w:pos="1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6,850,485 RSUs to vest where the first patient first visit for treatment in an FDA approved US pediatric trial by the Company prior to 30 June 2020;</w:t>
      </w:r>
    </w:p>
    <w:p>
      <w:pPr>
        <w:spacing w:after="0" w:line="196" w:lineRule="exact"/>
        <w:rPr>
          <w:rFonts w:ascii="Arial" w:cs="Arial" w:eastAsia="Arial" w:hAnsi="Arial"/>
          <w:sz w:val="18"/>
          <w:szCs w:val="18"/>
          <w:color w:val="auto"/>
        </w:rPr>
      </w:pPr>
    </w:p>
    <w:p>
      <w:pPr>
        <w:ind w:left="1840" w:right="280" w:hanging="617"/>
        <w:spacing w:after="0"/>
        <w:tabs>
          <w:tab w:leader="none" w:pos="1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2,375,350 RSUs to vest on the submission before 30 June 2021 to the FDA of an application for approval of a next generation RECELL device (being an improvement of the current RECELL device and providing for ease of clinician use);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6" w:name="page137"/>
    <w:bookmarkEnd w:id="136"/>
    <w:p>
      <w:pPr>
        <w:ind w:left="1840" w:right="500" w:hanging="617"/>
        <w:spacing w:after="0" w:line="246" w:lineRule="auto"/>
        <w:tabs>
          <w:tab w:leader="none" w:pos="18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2,375,349 RSUs to vest on approval by FDA approval prior to 30 June 2022 of a next generation RECELL device (being an improvement of the current RECELL device and providing for ease of clinician use).</w:t>
      </w:r>
    </w:p>
    <w:p>
      <w:pPr>
        <w:spacing w:after="0" w:line="197" w:lineRule="exact"/>
        <w:rPr>
          <w:sz w:val="20"/>
          <w:szCs w:val="20"/>
          <w:color w:val="auto"/>
        </w:rPr>
      </w:pPr>
    </w:p>
    <w:p>
      <w:pPr>
        <w:jc w:val="both"/>
        <w:ind w:left="1040" w:firstLine="7"/>
        <w:spacing w:after="0"/>
        <w:rPr>
          <w:sz w:val="20"/>
          <w:szCs w:val="20"/>
          <w:color w:val="auto"/>
        </w:rPr>
      </w:pPr>
      <w:r>
        <w:rPr>
          <w:rFonts w:ascii="Arial" w:cs="Arial" w:eastAsia="Arial" w:hAnsi="Arial"/>
          <w:sz w:val="18"/>
          <w:szCs w:val="18"/>
          <w:color w:val="auto"/>
        </w:rPr>
        <w:t>For clarity if the issue of the RSUs the subject of paragraph 3.5(b) is not approved by shareholders at the Company's 2019 AGM, those RSUs will not be issued by the Company and the Participant will not have any claim or entitlement against the Company of any nature for the failure to issue those RSUs.</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RSU Conversion and Expiry</w:t>
      </w:r>
    </w:p>
    <w:p>
      <w:pPr>
        <w:spacing w:after="0" w:line="10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xml:space="preserve">Each RSU, once vested, will </w:t>
      </w:r>
      <w:r>
        <w:rPr>
          <w:rFonts w:ascii="Arial" w:cs="Arial" w:eastAsia="Arial" w:hAnsi="Arial"/>
          <w:sz w:val="18"/>
          <w:szCs w:val="18"/>
          <w:i w:val="1"/>
          <w:iCs w:val="1"/>
          <w:color w:val="auto"/>
        </w:rPr>
        <w:t>convert</w:t>
      </w:r>
      <w:r>
        <w:rPr>
          <w:rFonts w:ascii="Arial" w:cs="Arial" w:eastAsia="Arial" w:hAnsi="Arial"/>
          <w:sz w:val="18"/>
          <w:szCs w:val="18"/>
          <w:color w:val="auto"/>
        </w:rPr>
        <w:t xml:space="preserve"> into one (1) Share credited as fully paid</w:t>
      </w:r>
    </w:p>
    <w:p>
      <w:pPr>
        <w:spacing w:after="0" w:line="23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All RSUs will expire and cannot be exercised, converted or transferred if they have not vested on or before:</w:t>
      </w:r>
    </w:p>
    <w:p>
      <w:pPr>
        <w:spacing w:after="0" w:line="149" w:lineRule="exact"/>
        <w:rPr>
          <w:sz w:val="20"/>
          <w:szCs w:val="20"/>
          <w:color w:val="auto"/>
        </w:rPr>
      </w:pPr>
    </w:p>
    <w:p>
      <w:pPr>
        <w:ind w:left="1260" w:hanging="631"/>
        <w:spacing w:after="0"/>
        <w:tabs>
          <w:tab w:leader="none" w:pos="1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case of the RSUs detailed in paragraphs 3.3(a), paragraph 3.4(a) and paragraph 3.S(a) - </w:t>
      </w:r>
      <w:r>
        <w:rPr>
          <w:rFonts w:ascii="Arial" w:cs="Arial" w:eastAsia="Arial" w:hAnsi="Arial"/>
          <w:sz w:val="18"/>
          <w:szCs w:val="18"/>
          <w:b w:val="1"/>
          <w:bCs w:val="1"/>
          <w:color w:val="auto"/>
        </w:rPr>
        <w:t>30 November 2027;</w:t>
      </w:r>
      <w:r>
        <w:rPr>
          <w:rFonts w:ascii="Arial" w:cs="Arial" w:eastAsia="Arial" w:hAnsi="Arial"/>
          <w:sz w:val="18"/>
          <w:szCs w:val="18"/>
          <w:color w:val="auto"/>
        </w:rPr>
        <w:t xml:space="preserve">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case of the RSUs detailed in paragraphs 3.3(b) and 3.5(b) - </w:t>
      </w:r>
      <w:r>
        <w:rPr>
          <w:rFonts w:ascii="Arial" w:cs="Arial" w:eastAsia="Arial" w:hAnsi="Arial"/>
          <w:sz w:val="18"/>
          <w:szCs w:val="18"/>
          <w:b w:val="1"/>
          <w:bCs w:val="1"/>
          <w:color w:val="auto"/>
        </w:rPr>
        <w:t>22 November 2029.</w:t>
      </w:r>
    </w:p>
    <w:p>
      <w:pPr>
        <w:spacing w:after="0" w:line="21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7"/>
          <w:szCs w:val="17"/>
          <w:b w:val="1"/>
          <w:bCs w:val="1"/>
          <w:color w:val="auto"/>
        </w:rPr>
        <w:t>Unvested RSUs re termination of employment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an RSU has already vested, in the event of the termination of employment of the Participant:</w:t>
      </w:r>
    </w:p>
    <w:p>
      <w:pPr>
        <w:spacing w:after="0" w:line="190" w:lineRule="exact"/>
        <w:rPr>
          <w:sz w:val="20"/>
          <w:szCs w:val="20"/>
          <w:color w:val="auto"/>
        </w:rPr>
      </w:pPr>
    </w:p>
    <w:p>
      <w:pPr>
        <w:ind w:left="1260" w:hanging="631"/>
        <w:spacing w:after="0"/>
        <w:tabs>
          <w:tab w:leader="none" w:pos="12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All the Participant's unvested RSUs will lapse automatically</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All the Participant's unvested RSUs will vest;</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All the Participant's unvested RSUs will vest;</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All the Participant's unvested RSUs will vest;</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VoluntaryTerminationinall other circumstances : </w:t>
      </w:r>
      <w:r>
        <w:rPr>
          <w:rFonts w:ascii="Arial" w:cs="Arial" w:eastAsia="Arial" w:hAnsi="Arial"/>
          <w:sz w:val="18"/>
          <w:szCs w:val="18"/>
          <w:color w:val="auto"/>
        </w:rPr>
        <w:t>All the Participant's unvested RSUs will lapse automatically.</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3.8</w:t>
      </w:r>
      <w:r>
        <w:rPr>
          <w:rFonts w:ascii="Arial" w:cs="Arial" w:eastAsia="Arial" w:hAnsi="Arial"/>
          <w:sz w:val="17"/>
          <w:szCs w:val="17"/>
          <w:b w:val="1"/>
          <w:bCs w:val="1"/>
          <w:color w:val="auto"/>
        </w:rPr>
        <w:t>Lapsed RSUs do not vest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RSU which has lapsed will not vest.</w:t>
      </w:r>
    </w:p>
    <w:p>
      <w:pPr>
        <w:spacing w:after="0" w:line="19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7"/>
          <w:szCs w:val="17"/>
          <w:b w:val="1"/>
          <w:bCs w:val="1"/>
          <w:color w:val="auto"/>
        </w:rPr>
        <w:t>No vesting of RSU on bankruptcy</w:t>
      </w:r>
    </w:p>
    <w:p>
      <w:pPr>
        <w:spacing w:after="0" w:line="99" w:lineRule="exact"/>
        <w:rPr>
          <w:sz w:val="20"/>
          <w:szCs w:val="20"/>
          <w:color w:val="auto"/>
        </w:rPr>
      </w:pPr>
    </w:p>
    <w:p>
      <w:pPr>
        <w:jc w:val="both"/>
        <w:ind w:left="640" w:right="20"/>
        <w:spacing w:after="0"/>
        <w:rPr>
          <w:sz w:val="20"/>
          <w:szCs w:val="20"/>
          <w:color w:val="auto"/>
        </w:rPr>
      </w:pPr>
      <w:r>
        <w:rPr>
          <w:rFonts w:ascii="Arial" w:cs="Arial" w:eastAsia="Arial" w:hAnsi="Arial"/>
          <w:sz w:val="18"/>
          <w:szCs w:val="18"/>
          <w:color w:val="auto"/>
        </w:rPr>
        <w:t>It is a condition precedent to the vesting of a RSU that if the Participant 1s an individual the Participant is not bankrupt and has not committed an act of bankruptcy or, if the Participant is deceased, the Participant's estate is not bankrupt or if the Participant is not an individual, the Participant is not insolvent or subject to a resolution or order for winding up.</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7"/>
          <w:szCs w:val="17"/>
          <w:b w:val="1"/>
          <w:bCs w:val="1"/>
          <w:color w:val="auto"/>
        </w:rPr>
        <w:t>Occurrence of a "Change in Control"</w:t>
      </w:r>
    </w:p>
    <w:p>
      <w:pPr>
        <w:spacing w:after="0" w:line="112"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 xml:space="preserve">Notwithstanding any other paragraph in this Schedule 2 but subject to all applicable laws upon the occurrence of a Control Event </w:t>
      </w: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the Participant is as at the date of occurrence of a Control Event is still Continuously Employed) , all of the 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RSUs held by the Participant are deemed to be vested (without the need for any other action by the Company) and any Vesting Conditions are deemed to have been waived or so modified from such occurrence.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7" w:name="page138"/>
    <w:bookmarkEnd w:id="137"/>
    <w:p>
      <w:pPr>
        <w:ind w:right="7340" w:firstLine="8"/>
        <w:spacing w:after="0" w:line="357" w:lineRule="auto"/>
        <w:tabs>
          <w:tab w:leader="none" w:pos="621"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t>Delivery of Shares on vesting of RSUs 4.1 Issue or transfer</w:t>
      </w:r>
    </w:p>
    <w:p>
      <w:pPr>
        <w:jc w:val="both"/>
        <w:ind w:left="640"/>
        <w:spacing w:after="0"/>
        <w:rPr>
          <w:sz w:val="20"/>
          <w:szCs w:val="20"/>
          <w:color w:val="auto"/>
        </w:rPr>
      </w:pPr>
      <w:r>
        <w:rPr>
          <w:rFonts w:ascii="Arial" w:cs="Arial" w:eastAsia="Arial" w:hAnsi="Arial"/>
          <w:sz w:val="18"/>
          <w:szCs w:val="18"/>
          <w:color w:val="auto"/>
        </w:rPr>
        <w:t>If the Participant or the Company is liable for taxes, duties or other amounts on the issuance of the resulting Shares on vesting of an RSU and as a consequence the Company is liable to make a payment(s) for whatever reason (including withholding) to the appropriate authorities on account of that liability, unless the Participant and the Company agree otherwise:</w:t>
      </w:r>
    </w:p>
    <w:p>
      <w:pPr>
        <w:spacing w:after="0" w:line="203" w:lineRule="exact"/>
        <w:rPr>
          <w:sz w:val="20"/>
          <w:szCs w:val="20"/>
          <w:color w:val="auto"/>
        </w:rPr>
      </w:pPr>
    </w:p>
    <w:p>
      <w:pPr>
        <w:ind w:left="1260" w:hanging="631"/>
        <w:spacing w:after="0" w:line="246"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will use its reasonable endeavours to introduce potential purchasers for some of the resulting Shares held by the Participant; and</w:t>
      </w:r>
    </w:p>
    <w:p>
      <w:pPr>
        <w:spacing w:after="0" w:line="196"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event, the Participant must pay to the Company within 5 Business Days of the Taxing Event an amount equal to the Tax Payment and the Company must pay the Tax Payment to the appropriate authorities.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For the purposes of this clause </w:t>
      </w:r>
      <w:r>
        <w:rPr>
          <w:rFonts w:ascii="Arial" w:cs="Arial" w:eastAsia="Arial" w:hAnsi="Arial"/>
          <w:sz w:val="18"/>
          <w:szCs w:val="18"/>
          <w:b w:val="1"/>
          <w:bCs w:val="1"/>
          <w:color w:val="auto"/>
        </w:rPr>
        <w:t>4</w:t>
      </w:r>
      <w:r>
        <w:rPr>
          <w:rFonts w:ascii="Arial" w:cs="Arial" w:eastAsia="Arial" w:hAnsi="Arial"/>
          <w:sz w:val="18"/>
          <w:szCs w:val="18"/>
          <w:color w:val="auto"/>
        </w:rPr>
        <w:t xml:space="preserve"> .1.</w:t>
      </w:r>
    </w:p>
    <w:p>
      <w:pPr>
        <w:spacing w:after="0" w:line="212"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b w:val="1"/>
          <w:bCs w:val="1"/>
          <w:color w:val="auto"/>
        </w:rPr>
        <w:t xml:space="preserve">"Taxing Event" </w:t>
      </w:r>
      <w:r>
        <w:rPr>
          <w:rFonts w:ascii="Arial" w:cs="Arial" w:eastAsia="Arial" w:hAnsi="Arial"/>
          <w:sz w:val="18"/>
          <w:szCs w:val="18"/>
          <w:color w:val="auto"/>
        </w:rPr>
        <w:t>means . in relation to an RSU, the date on which the RSU first became vested pursuant to these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and</w:t>
      </w:r>
    </w:p>
    <w:p>
      <w:pPr>
        <w:spacing w:after="0" w:line="113"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in relation to any Shares issued pursuant to the vesting of RSUs, the amount of the Company's liability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 as calculated by the Company (acting reasonably and in good faith) by reference to the extent required by law to the Fair Market Value of the relevant Shares as at the date of the Taxing Event, and notified to the Participant in writing by no later than the Taxing Event.</w:t>
      </w:r>
    </w:p>
    <w:p>
      <w:pPr>
        <w:spacing w:after="0" w:line="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Shares issued by the Company to rank pari passu</w:t>
      </w:r>
    </w:p>
    <w:p>
      <w:pPr>
        <w:spacing w:after="0" w:line="85" w:lineRule="exact"/>
        <w:rPr>
          <w:sz w:val="20"/>
          <w:szCs w:val="20"/>
          <w:color w:val="auto"/>
        </w:rPr>
      </w:pPr>
    </w:p>
    <w:p>
      <w:pPr>
        <w:jc w:val="both"/>
        <w:ind w:left="640" w:firstLine="8"/>
        <w:spacing w:after="0"/>
        <w:rPr>
          <w:sz w:val="20"/>
          <w:szCs w:val="20"/>
          <w:color w:val="auto"/>
        </w:rPr>
      </w:pPr>
      <w:r>
        <w:rPr>
          <w:rFonts w:ascii="Arial" w:cs="Arial" w:eastAsia="Arial" w:hAnsi="Arial"/>
          <w:sz w:val="18"/>
          <w:szCs w:val="18"/>
          <w:color w:val="auto"/>
        </w:rPr>
        <w:t>All Shares issued on the vesting of a Participant's RSUs will rank pari passu in all respects with the Shares of the same class for the time being on issue, except for any rights attaching to the Shares by reference to a record date prior to the date of the allotment of the Shares upon that vesting.</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Shares to be quoted on ASX</w:t>
      </w:r>
    </w:p>
    <w:p>
      <w:pPr>
        <w:spacing w:after="0" w:line="99" w:lineRule="exact"/>
        <w:rPr>
          <w:sz w:val="20"/>
          <w:szCs w:val="20"/>
          <w:color w:val="auto"/>
        </w:rPr>
      </w:pPr>
    </w:p>
    <w:p>
      <w:pPr>
        <w:jc w:val="both"/>
        <w:ind w:left="640" w:right="20" w:firstLine="8"/>
        <w:spacing w:after="0" w:line="246" w:lineRule="auto"/>
        <w:rPr>
          <w:sz w:val="20"/>
          <w:szCs w:val="20"/>
          <w:color w:val="auto"/>
        </w:rPr>
      </w:pPr>
      <w:r>
        <w:rPr>
          <w:rFonts w:ascii="Arial" w:cs="Arial" w:eastAsia="Arial" w:hAnsi="Arial"/>
          <w:sz w:val="18"/>
          <w:szCs w:val="18"/>
          <w:color w:val="auto"/>
        </w:rPr>
        <w:t>If Shares of the same class as those issued or transferred on the vesting of a Participant's RSUs are quoted on the ASX, the Company will apply to the ASX</w:t>
      </w:r>
    </w:p>
    <w:p>
      <w:pPr>
        <w:spacing w:after="0" w:line="48" w:lineRule="exact"/>
        <w:rPr>
          <w:sz w:val="20"/>
          <w:szCs w:val="20"/>
          <w:color w:val="auto"/>
        </w:rPr>
      </w:pPr>
    </w:p>
    <w:p>
      <w:pPr>
        <w:jc w:val="both"/>
        <w:ind w:left="640" w:firstLine="8"/>
        <w:spacing w:after="0" w:line="238" w:lineRule="auto"/>
        <w:rPr>
          <w:sz w:val="20"/>
          <w:szCs w:val="20"/>
          <w:color w:val="auto"/>
        </w:rPr>
      </w:pPr>
      <w:r>
        <w:rPr>
          <w:rFonts w:ascii="Arial" w:cs="Arial" w:eastAsia="Arial" w:hAnsi="Arial"/>
          <w:sz w:val="18"/>
          <w:szCs w:val="18"/>
          <w:color w:val="auto"/>
        </w:rPr>
        <w:t>as required by the Listing Rules for those Shares to be quoted. In the event that the Company undergoes a reorganization that results in the conversion of Shares quoted on the ASX into shares quoted on another exchange, then the Company will apply to the relevant exchange and /or securities regulator (as required) for those converted shares (related to the RSUs that have vested) to be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0" w:lineRule="exact"/>
        <w:rPr>
          <w:sz w:val="20"/>
          <w:szCs w:val="20"/>
          <w:color w:val="auto"/>
        </w:rPr>
      </w:pPr>
    </w:p>
    <w:p>
      <w:pPr>
        <w:ind w:left="620" w:hanging="612"/>
        <w:spacing w:after="0"/>
        <w:tabs>
          <w:tab w:leader="none" w:pos="6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and winding-up</w:t>
      </w:r>
    </w:p>
    <w:p>
      <w:pPr>
        <w:spacing w:after="0" w:line="6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RSUs may vest at a time earlier than the Prescribed Vesting Date</w:t>
      </w:r>
    </w:p>
    <w:p>
      <w:pPr>
        <w:spacing w:after="0" w:line="85" w:lineRule="exact"/>
        <w:rPr>
          <w:sz w:val="20"/>
          <w:szCs w:val="20"/>
          <w:color w:val="auto"/>
        </w:rPr>
      </w:pPr>
    </w:p>
    <w:p>
      <w:pPr>
        <w:jc w:val="both"/>
        <w:ind w:left="640" w:firstLine="8"/>
        <w:spacing w:after="0"/>
        <w:rPr>
          <w:sz w:val="20"/>
          <w:szCs w:val="20"/>
          <w:color w:val="auto"/>
        </w:rPr>
      </w:pPr>
      <w:r>
        <w:rPr>
          <w:rFonts w:ascii="Arial" w:cs="Arial" w:eastAsia="Arial" w:hAnsi="Arial"/>
          <w:sz w:val="18"/>
          <w:szCs w:val="18"/>
          <w:color w:val="auto"/>
        </w:rPr>
        <w:t>Notwithstanding any of the above provisions, if the Board, in its absolute discretion but subject to applicable laws, gives notice that any or all of the Participant's RSUs may vest as determined by the Board within a particular time, then the RSUs may vest within that time in addition to any other period during which the RSUs vest.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38" w:name="page139"/>
    <w:bookmarkEnd w:id="138"/>
    <w:p>
      <w:pPr>
        <w:spacing w:after="0"/>
        <w:tabs>
          <w:tab w:leader="none" w:pos="6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Compulsory acquisition, Reorganization or winding up</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212" w:lineRule="exact"/>
        <w:rPr>
          <w:sz w:val="20"/>
          <w:szCs w:val="20"/>
          <w:color w:val="auto"/>
        </w:rPr>
      </w:pPr>
    </w:p>
    <w:p>
      <w:pPr>
        <w:ind w:left="1260" w:hanging="631"/>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person becomes bound or entitled to compulsorily acquire Shares under the Company's Constitution; or</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Reorganization is sanctioned by one or more of the following under the Company's Constitution or otherwise:</w:t>
      </w:r>
    </w:p>
    <w:p>
      <w:pPr>
        <w:spacing w:after="0" w:line="180" w:lineRule="exact"/>
        <w:rPr>
          <w:rFonts w:ascii="Arial" w:cs="Arial" w:eastAsia="Arial" w:hAnsi="Arial"/>
          <w:sz w:val="18"/>
          <w:szCs w:val="18"/>
          <w:color w:val="auto"/>
        </w:rPr>
      </w:pPr>
    </w:p>
    <w:p>
      <w:pPr>
        <w:ind w:left="1840" w:hanging="617"/>
        <w:spacing w:after="0"/>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court;</w:t>
      </w:r>
    </w:p>
    <w:p>
      <w:pPr>
        <w:ind w:left="1840" w:hanging="617"/>
        <w:spacing w:after="0" w:line="219" w:lineRule="auto"/>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general meeting or other meeting of holders of the Company's securities; or</w:t>
      </w:r>
    </w:p>
    <w:p>
      <w:pPr>
        <w:ind w:left="1840" w:hanging="617"/>
        <w:spacing w:after="0"/>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meeting of the Company's creditors; or</w:t>
      </w:r>
    </w:p>
    <w:p>
      <w:pPr>
        <w:spacing w:after="0" w:line="198" w:lineRule="exact"/>
        <w:rPr>
          <w:rFonts w:ascii="Arial" w:cs="Arial" w:eastAsia="Arial" w:hAnsi="Arial"/>
          <w:sz w:val="18"/>
          <w:szCs w:val="18"/>
          <w:color w:val="auto"/>
        </w:rPr>
      </w:pPr>
    </w:p>
    <w:p>
      <w:pPr>
        <w:ind w:left="1260" w:hanging="631"/>
        <w:spacing w:after="0" w:line="274" w:lineRule="auto"/>
        <w:tabs>
          <w:tab w:leader="none" w:pos="1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 passes a resolution for voluntary winding up or an order is made for the compulsory winding up of the Company, then the Board may vest RSUs within a specified period of up to 30 days after the occurrence of the relevant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0"/>
          <w:szCs w:val="20"/>
          <w:color w:val="auto"/>
        </w:rPr>
      </w:pPr>
    </w:p>
    <w:p>
      <w:pPr>
        <w:ind w:right="8880" w:firstLine="8"/>
        <w:spacing w:after="0" w:line="341" w:lineRule="auto"/>
        <w:tabs>
          <w:tab w:leader="none" w:pos="621"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RSUs 6.1 No bonus issue</w:t>
      </w:r>
    </w:p>
    <w:p>
      <w:pPr>
        <w:spacing w:after="0" w:line="1" w:lineRule="exact"/>
        <w:rPr>
          <w:sz w:val="20"/>
          <w:szCs w:val="20"/>
          <w:color w:val="auto"/>
        </w:rPr>
      </w:pPr>
    </w:p>
    <w:p>
      <w:pPr>
        <w:jc w:val="both"/>
        <w:ind w:left="640" w:firstLine="3"/>
        <w:spacing w:after="0" w:line="246" w:lineRule="auto"/>
        <w:rPr>
          <w:sz w:val="20"/>
          <w:szCs w:val="20"/>
          <w:color w:val="auto"/>
        </w:rPr>
      </w:pPr>
      <w:r>
        <w:rPr>
          <w:rFonts w:ascii="Arial" w:cs="Arial" w:eastAsia="Arial" w:hAnsi="Arial"/>
          <w:sz w:val="18"/>
          <w:szCs w:val="18"/>
          <w:color w:val="auto"/>
        </w:rPr>
        <w:t>Subject to the preceding paragraphs, during the currency of a Participant's RSU and before its vests, the Participant is not entitled to participate in any bonus issue of Shares pro rata to shareholders of securities of the Company as a result of holding the RSU.</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Sub-division, consolidation, reduction or return</w:t>
      </w:r>
    </w:p>
    <w:p>
      <w:pPr>
        <w:spacing w:after="0" w:line="85" w:lineRule="exact"/>
        <w:rPr>
          <w:sz w:val="20"/>
          <w:szCs w:val="20"/>
          <w:color w:val="auto"/>
        </w:rPr>
      </w:pPr>
    </w:p>
    <w:p>
      <w:pPr>
        <w:jc w:val="both"/>
        <w:ind w:left="640" w:firstLine="3"/>
        <w:spacing w:after="0"/>
        <w:rPr>
          <w:sz w:val="20"/>
          <w:szCs w:val="20"/>
          <w:color w:val="auto"/>
        </w:rPr>
      </w:pPr>
      <w:r>
        <w:rPr>
          <w:rFonts w:ascii="Arial" w:cs="Arial" w:eastAsia="Arial" w:hAnsi="Arial"/>
          <w:sz w:val="18"/>
          <w:szCs w:val="18"/>
          <w:color w:val="auto"/>
        </w:rPr>
        <w:t>If there is any Reorganization, including any subdivision, consolidation, reduction or return of the issued capital of the Company, the number of RSUs to which each Participant is entitled will be adjusted in the way specified by the Listing Rules (as apply to adjustments for options from time to time).</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No right to participate in new issues</w:t>
      </w:r>
    </w:p>
    <w:p>
      <w:pPr>
        <w:spacing w:after="0" w:line="85" w:lineRule="exact"/>
        <w:rPr>
          <w:sz w:val="20"/>
          <w:szCs w:val="20"/>
          <w:color w:val="auto"/>
        </w:rPr>
      </w:pPr>
    </w:p>
    <w:p>
      <w:pPr>
        <w:jc w:val="both"/>
        <w:ind w:left="640" w:firstLine="3"/>
        <w:spacing w:after="0" w:line="246" w:lineRule="auto"/>
        <w:rPr>
          <w:sz w:val="20"/>
          <w:szCs w:val="20"/>
          <w:color w:val="auto"/>
        </w:rPr>
      </w:pPr>
      <w:r>
        <w:rPr>
          <w:rFonts w:ascii="Arial" w:cs="Arial" w:eastAsia="Arial" w:hAnsi="Arial"/>
          <w:sz w:val="18"/>
          <w:szCs w:val="18"/>
          <w:color w:val="auto"/>
        </w:rPr>
        <w:t>Subject to the preceding paragraphs, during the currency of a Participant's RSU and before its vests, the Participant is not entitled to participate in any new issue of securities of the Company as a result of holding the RSU.</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Accumulation of adjustments</w:t>
      </w:r>
    </w:p>
    <w:p>
      <w:pPr>
        <w:spacing w:after="0" w:line="85" w:lineRule="exact"/>
        <w:rPr>
          <w:sz w:val="20"/>
          <w:szCs w:val="20"/>
          <w:color w:val="auto"/>
        </w:rPr>
      </w:pPr>
    </w:p>
    <w:p>
      <w:pPr>
        <w:jc w:val="both"/>
        <w:ind w:left="640" w:firstLine="3"/>
        <w:spacing w:after="0"/>
        <w:rPr>
          <w:sz w:val="20"/>
          <w:szCs w:val="20"/>
          <w:color w:val="auto"/>
        </w:rPr>
      </w:pPr>
      <w:r>
        <w:rPr>
          <w:rFonts w:ascii="Arial" w:cs="Arial" w:eastAsia="Arial" w:hAnsi="Arial"/>
          <w:sz w:val="18"/>
          <w:szCs w:val="18"/>
          <w:color w:val="auto"/>
        </w:rPr>
        <w:t>Full effect must be given to these paragraphs 6.1, 6.2 and 6.3 as and when occasions of their application arise and in such manner that the effects of the successive applications of them are cumulative, the intention being that the adjustments they progressively effect must be such as to reflect in relation to the Shares comprised in an RSU.</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Participant has no right to change the number of Shares into which the RSU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Sealed and Delivered </w:t>
      </w:r>
      <w:r>
        <w:rPr>
          <w:rFonts w:ascii="Arial" w:cs="Arial" w:eastAsia="Arial" w:hAnsi="Arial"/>
          <w:sz w:val="18"/>
          <w:szCs w:val="18"/>
          <w:color w:val="auto"/>
        </w:rPr>
        <w:t>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Michael Perry </w:t>
      </w: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317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317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Witness </w:t>
      </w:r>
      <w:r>
        <w:rPr>
          <w:rFonts w:ascii="Arial" w:cs="Arial" w:eastAsia="Arial" w:hAnsi="Arial"/>
          <w:sz w:val="14"/>
          <w:szCs w:val="14"/>
          <w:color w:val="auto"/>
        </w:rPr>
        <w:t>(please print)</w:t>
      </w:r>
    </w:p>
    <w:p>
      <w:pPr>
        <w:spacing w:after="0" w:line="203" w:lineRule="exact"/>
        <w:rPr>
          <w:sz w:val="20"/>
          <w:szCs w:val="20"/>
          <w:color w:val="auto"/>
        </w:rPr>
      </w:pPr>
    </w:p>
    <w:p>
      <w:pPr>
        <w:jc w:val="both"/>
        <w:ind w:right="1760"/>
        <w:spacing w:after="0" w:line="262" w:lineRule="auto"/>
        <w:rPr>
          <w:sz w:val="20"/>
          <w:szCs w:val="20"/>
          <w:color w:val="auto"/>
        </w:rPr>
      </w:pPr>
      <w:r>
        <w:rPr>
          <w:rFonts w:ascii="Arial" w:cs="Arial" w:eastAsia="Arial" w:hAnsi="Arial"/>
          <w:sz w:val="18"/>
          <w:szCs w:val="18"/>
          <w:b w:val="1"/>
          <w:bCs w:val="1"/>
          <w:color w:val="auto"/>
        </w:rPr>
        <w:t xml:space="preserve">Executed by Avita Medical Limited ACN 058 466 523 </w:t>
      </w:r>
      <w:r>
        <w:rPr>
          <w:rFonts w:ascii="Arial" w:cs="Arial" w:eastAsia="Arial" w:hAnsi="Arial"/>
          <w:sz w:val="18"/>
          <w:szCs w:val="18"/>
          <w:color w:val="auto"/>
        </w:rPr>
        <w:t>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127(1) of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w:t>
      </w:r>
      <w:r>
        <w:rPr>
          <w:rFonts w:ascii="Arial" w:cs="Arial" w:eastAsia="Arial" w:hAnsi="Arial"/>
          <w:sz w:val="18"/>
          <w:szCs w:val="18"/>
          <w:i w:val="1"/>
          <w:iCs w:val="1"/>
          <w:color w:val="auto"/>
        </w:rPr>
        <w:t>2001 Cth):</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9317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0"/>
        <w:spacing w:after="0" w:line="277" w:lineRule="auto"/>
        <w:rPr>
          <w:sz w:val="20"/>
          <w:szCs w:val="20"/>
          <w:color w:val="auto"/>
        </w:rPr>
      </w:pPr>
      <w:r>
        <w:rPr>
          <w:rFonts w:ascii="Arial" w:cs="Arial" w:eastAsia="Arial" w:hAnsi="Arial"/>
          <w:sz w:val="18"/>
          <w:szCs w:val="18"/>
          <w:color w:val="auto"/>
        </w:rPr>
        <w:t xml:space="preserve">Lou Panaccio, Chairman of the Board Name </w:t>
      </w:r>
      <w:r>
        <w:rPr>
          <w:rFonts w:ascii="Arial" w:cs="Arial" w:eastAsia="Arial" w:hAnsi="Arial"/>
          <w:sz w:val="14"/>
          <w:szCs w:val="14"/>
          <w:color w:val="auto"/>
        </w:rPr>
        <w:t>(please 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tabs>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6350</wp:posOffset>
            </wp:positionV>
            <wp:extent cx="32315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 w:lineRule="exact"/>
        <w:rPr>
          <w:sz w:val="20"/>
          <w:szCs w:val="20"/>
          <w:color w:val="auto"/>
        </w:rPr>
      </w:pPr>
    </w:p>
    <w:p>
      <w:pPr>
        <w:ind w:left="640" w:hanging="555"/>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6350</wp:posOffset>
            </wp:positionV>
            <wp:extent cx="32315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Signature of director or company*</w:t>
      </w:r>
    </w:p>
    <w:p>
      <w:pPr>
        <w:ind w:left="640"/>
        <w:spacing w:after="0"/>
        <w:rPr>
          <w:sz w:val="20"/>
          <w:szCs w:val="20"/>
          <w:color w:val="auto"/>
        </w:rPr>
      </w:pPr>
      <w:r>
        <w:rPr>
          <w:rFonts w:ascii="Arial" w:cs="Arial" w:eastAsia="Arial" w:hAnsi="Arial"/>
          <w:sz w:val="17"/>
          <w:szCs w:val="17"/>
          <w:color w:val="auto"/>
        </w:rPr>
        <w:t>secretary••delete whichever does not apply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6350</wp:posOffset>
            </wp:positionV>
            <wp:extent cx="32315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4"/>
          <w:szCs w:val="14"/>
          <w:color w:val="auto"/>
        </w:rPr>
        <w:t>(please print)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ectPr>
          <w:pgSz w:w="11900" w:h="16838" w:orient="portrait"/>
          <w:cols w:equalWidth="0" w:num="2">
            <w:col w:w="4800" w:space="720"/>
            <w:col w:w="4619"/>
          </w:cols>
          <w:pgMar w:left="320" w:top="140"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10.13</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K&amp;L GATES</w:t>
      </w:r>
    </w:p>
    <w:p>
      <w:pPr>
        <w:spacing w:after="0" w:line="200" w:lineRule="exact"/>
        <w:rPr>
          <w:sz w:val="20"/>
          <w:szCs w:val="20"/>
          <w:color w:val="auto"/>
        </w:rPr>
      </w:pPr>
    </w:p>
    <w:p>
      <w:pPr>
        <w:spacing w:after="0" w:line="368" w:lineRule="exact"/>
        <w:rPr>
          <w:sz w:val="20"/>
          <w:szCs w:val="20"/>
          <w:color w:val="auto"/>
        </w:rPr>
      </w:pPr>
    </w:p>
    <w:p>
      <w:pPr>
        <w:ind w:left="7880"/>
        <w:spacing w:after="0"/>
        <w:rPr>
          <w:sz w:val="20"/>
          <w:szCs w:val="20"/>
          <w:color w:val="auto"/>
        </w:rPr>
      </w:pPr>
      <w:r>
        <w:rPr>
          <w:rFonts w:ascii="Arial" w:cs="Arial" w:eastAsia="Arial" w:hAnsi="Arial"/>
          <w:sz w:val="17"/>
          <w:szCs w:val="17"/>
          <w:b w:val="1"/>
          <w:bCs w:val="1"/>
          <w:color w:val="auto"/>
        </w:rPr>
        <w:t>Option Confirmatory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DR MICHAEL PERRY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AVITA MEDICAL LIMITED</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ACN 058 466 523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748030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Option Confirmatory Deed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12 November 2019 Parties:</w:t>
      </w:r>
    </w:p>
    <w:p>
      <w:pPr>
        <w:spacing w:after="0" w:line="185" w:lineRule="exact"/>
        <w:rPr>
          <w:sz w:val="20"/>
          <w:szCs w:val="20"/>
          <w:color w:val="auto"/>
        </w:rPr>
      </w:pPr>
    </w:p>
    <w:p>
      <w:pPr>
        <w:ind w:left="620" w:hanging="612"/>
        <w:spacing w:after="0"/>
        <w:tabs>
          <w:tab w:leader="none" w:pos="62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Dr Michael Perry </w:t>
      </w:r>
      <w:r>
        <w:rPr>
          <w:rFonts w:ascii="Arial" w:cs="Arial" w:eastAsia="Arial" w:hAnsi="Arial"/>
          <w:sz w:val="18"/>
          <w:szCs w:val="18"/>
          <w:color w:val="auto"/>
        </w:rPr>
        <w:t>of 300 Cook St., Denver, CO, 80206, United States</w:t>
      </w:r>
      <w:r>
        <w:rPr>
          <w:rFonts w:ascii="Arial" w:cs="Arial" w:eastAsia="Arial" w:hAnsi="Arial"/>
          <w:sz w:val="18"/>
          <w:szCs w:val="18"/>
          <w:b w:val="1"/>
          <w:bCs w:val="1"/>
          <w:color w:val="auto"/>
        </w:rPr>
        <w:t xml:space="preserve"> (Dr Perry </w:t>
      </w:r>
      <w:r>
        <w:rPr>
          <w:rFonts w:ascii="Arial" w:cs="Arial" w:eastAsia="Arial" w:hAnsi="Arial"/>
          <w:sz w:val="18"/>
          <w:szCs w:val="18"/>
          <w:color w:val="auto"/>
        </w:rPr>
        <w:t>or the</w:t>
      </w:r>
      <w:r>
        <w:rPr>
          <w:rFonts w:ascii="Arial" w:cs="Arial" w:eastAsia="Arial" w:hAnsi="Arial"/>
          <w:sz w:val="18"/>
          <w:szCs w:val="18"/>
          <w:b w:val="1"/>
          <w:bCs w:val="1"/>
          <w:color w:val="auto"/>
        </w:rPr>
        <w:t xml:space="preserve"> Participant)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28159 Avenue Stanford. Suite 220, Valencia, CA 91355, United States</w:t>
      </w:r>
      <w:r>
        <w:rPr>
          <w:rFonts w:ascii="Arial" w:cs="Arial" w:eastAsia="Arial" w:hAnsi="Arial"/>
          <w:sz w:val="18"/>
          <w:szCs w:val="18"/>
          <w:b w:val="1"/>
          <w:bCs w:val="1"/>
          <w:color w:val="auto"/>
        </w:rPr>
        <w:t xml:space="preserve"> (Company)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93" w:lineRule="exact"/>
        <w:rPr>
          <w:sz w:val="20"/>
          <w:szCs w:val="20"/>
          <w:color w:val="auto"/>
        </w:rPr>
      </w:pPr>
    </w:p>
    <w:p>
      <w:pPr>
        <w:ind w:left="620" w:hanging="612"/>
        <w:spacing w:after="0" w:line="246" w:lineRule="auto"/>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the Company's 2018 AGM on 30 November 2018 shareholders approved the issue to the Company's Managing Director Dr Perry of 15,000,000 Options and those Options were issued on 30 November 2018.</w:t>
      </w:r>
    </w:p>
    <w:p>
      <w:pPr>
        <w:spacing w:after="0" w:line="156" w:lineRule="exact"/>
        <w:rPr>
          <w:rFonts w:ascii="Arial" w:cs="Arial" w:eastAsia="Arial" w:hAnsi="Arial"/>
          <w:sz w:val="18"/>
          <w:szCs w:val="18"/>
          <w:color w:val="auto"/>
        </w:rPr>
      </w:pPr>
    </w:p>
    <w:p>
      <w:pPr>
        <w:ind w:left="620" w:hanging="612"/>
        <w:spacing w:after="0" w:line="246" w:lineRule="auto"/>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Deed now confirms and records the offer by the Company and the acceptance of those Options by Dr Perry on the terms and conditions of this Deed.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71" w:lineRule="exact"/>
        <w:rPr>
          <w:sz w:val="20"/>
          <w:szCs w:val="20"/>
          <w:color w:val="auto"/>
        </w:rPr>
      </w:pPr>
    </w:p>
    <w:p>
      <w:pPr>
        <w:ind w:right="8100" w:firstLine="8"/>
        <w:spacing w:after="0" w:line="451" w:lineRule="auto"/>
        <w:tabs>
          <w:tab w:leader="none" w:pos="621"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 this Deed (including the Schedule):</w:t>
      </w:r>
    </w:p>
    <w:p>
      <w:pPr>
        <w:spacing w:after="0" w:line="162" w:lineRule="exact"/>
        <w:rPr>
          <w:rFonts w:ascii="Arial" w:cs="Arial" w:eastAsia="Arial" w:hAnsi="Arial"/>
          <w:sz w:val="18"/>
          <w:szCs w:val="18"/>
          <w:b w:val="1"/>
          <w:bCs w:val="1"/>
          <w:color w:val="auto"/>
        </w:rPr>
      </w:pPr>
    </w:p>
    <w:p>
      <w:pPr>
        <w:ind w:left="640" w:right="980"/>
        <w:spacing w:after="0" w:line="44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or a committee appointed by the board of directors of the Company;</w:t>
      </w:r>
      <w:r>
        <w:rPr>
          <w:rFonts w:ascii="Arial" w:cs="Arial" w:eastAsia="Arial" w:hAnsi="Arial"/>
          <w:sz w:val="18"/>
          <w:szCs w:val="18"/>
          <w:b w:val="1"/>
          <w:bCs w:val="1"/>
          <w:color w:val="auto"/>
        </w:rPr>
        <w:t xml:space="preserve"> Business Day </w:t>
      </w:r>
      <w:r>
        <w:rPr>
          <w:rFonts w:ascii="Arial" w:cs="Arial" w:eastAsia="Arial" w:hAnsi="Arial"/>
          <w:sz w:val="18"/>
          <w:szCs w:val="18"/>
          <w:color w:val="auto"/>
        </w:rPr>
        <w:t>means a day that is not a Saturday, Sunday, public holiday or bank holiday in Melbourne, Victoria;</w:t>
      </w:r>
      <w:r>
        <w:rPr>
          <w:rFonts w:ascii="Arial" w:cs="Arial" w:eastAsia="Arial" w:hAnsi="Arial"/>
          <w:sz w:val="18"/>
          <w:szCs w:val="18"/>
          <w:b w:val="1"/>
          <w:bCs w:val="1"/>
          <w:color w:val="auto"/>
        </w:rPr>
        <w:t xml:space="preserve"> Constitution </w:t>
      </w:r>
      <w:r>
        <w:rPr>
          <w:rFonts w:ascii="Arial" w:cs="Arial" w:eastAsia="Arial" w:hAnsi="Arial"/>
          <w:sz w:val="18"/>
          <w:szCs w:val="18"/>
          <w:color w:val="auto"/>
        </w:rPr>
        <w:t>means the constitution of the Company as may be amended from time to time;</w:t>
      </w:r>
    </w:p>
    <w:p>
      <w:pPr>
        <w:spacing w:after="0" w:line="1" w:lineRule="exact"/>
        <w:rPr>
          <w:rFonts w:ascii="Arial" w:cs="Arial" w:eastAsia="Arial" w:hAnsi="Arial"/>
          <w:sz w:val="18"/>
          <w:szCs w:val="18"/>
          <w:b w:val="1"/>
          <w:bCs w:val="1"/>
          <w:color w:val="auto"/>
        </w:rPr>
      </w:pPr>
    </w:p>
    <w:p>
      <w:pPr>
        <w:ind w:left="640" w:right="5780"/>
        <w:spacing w:after="0" w:line="45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w:t>
      </w:r>
      <w:r>
        <w:rPr>
          <w:rFonts w:ascii="Arial" w:cs="Arial" w:eastAsia="Arial" w:hAnsi="Arial"/>
          <w:sz w:val="18"/>
          <w:szCs w:val="18"/>
          <w:b w:val="1"/>
          <w:bCs w:val="1"/>
          <w:color w:val="auto"/>
        </w:rPr>
        <w:t xml:space="preserve"> Avita Medical Limited </w:t>
      </w:r>
      <w:r>
        <w:rPr>
          <w:rFonts w:ascii="Arial" w:cs="Arial" w:eastAsia="Arial" w:hAnsi="Arial"/>
          <w:sz w:val="18"/>
          <w:szCs w:val="18"/>
          <w:color w:val="auto"/>
        </w:rPr>
        <w:t>ACN 058 466 523;</w:t>
      </w:r>
      <w:r>
        <w:rPr>
          <w:rFonts w:ascii="Arial" w:cs="Arial" w:eastAsia="Arial" w:hAnsi="Arial"/>
          <w:sz w:val="18"/>
          <w:szCs w:val="18"/>
          <w:b w:val="1"/>
          <w:bCs w:val="1"/>
          <w:color w:val="auto"/>
        </w:rPr>
        <w:t xml:space="preserve"> Control Event </w:t>
      </w:r>
      <w:r>
        <w:rPr>
          <w:rFonts w:ascii="Arial" w:cs="Arial" w:eastAsia="Arial" w:hAnsi="Arial"/>
          <w:sz w:val="18"/>
          <w:szCs w:val="18"/>
          <w:color w:val="auto"/>
        </w:rPr>
        <w:t>means any of the following:</w:t>
      </w:r>
    </w:p>
    <w:p>
      <w:pPr>
        <w:jc w:val="both"/>
        <w:ind w:left="1260" w:hanging="631"/>
        <w:spacing w:after="0" w:line="238" w:lineRule="auto"/>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ownership of stock of the Company that, together with the stock held by such person or group, constitutes more than 50% of the total fair market value or total voting power of the stock of the Company; provided that a Control Event shall not occur if any person (or more than one person acting as a group) owns more than 50% of the total fair market value or total voting power of the Company's stock and acquires additional stock; or</w:t>
      </w:r>
    </w:p>
    <w:p>
      <w:pPr>
        <w:spacing w:after="0" w:line="161" w:lineRule="exact"/>
        <w:rPr>
          <w:rFonts w:ascii="Arial" w:cs="Arial" w:eastAsia="Arial" w:hAnsi="Arial"/>
          <w:sz w:val="18"/>
          <w:szCs w:val="18"/>
          <w:color w:val="auto"/>
        </w:rPr>
      </w:pPr>
    </w:p>
    <w:p>
      <w:pPr>
        <w:jc w:val="both"/>
        <w:ind w:left="1260" w:hanging="631"/>
        <w:spacing w:after="0"/>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(or has acquired during the twelve-month period ending on the date of the most recent acquisition) ownership of the Company's stock possessing 30% or more of the total voting power of the stock of such corporation; or</w:t>
      </w:r>
    </w:p>
    <w:p>
      <w:pPr>
        <w:spacing w:after="0" w:line="162"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majority of the members of the Board is replaced during any twelve month period by directors whose appointment or election is not endorsed by a majority of the Board before the date of appointment or election; or</w:t>
      </w:r>
    </w:p>
    <w:p>
      <w:pPr>
        <w:spacing w:after="0" w:line="156" w:lineRule="exact"/>
        <w:rPr>
          <w:rFonts w:ascii="Arial" w:cs="Arial" w:eastAsia="Arial" w:hAnsi="Arial"/>
          <w:sz w:val="18"/>
          <w:szCs w:val="18"/>
          <w:color w:val="auto"/>
        </w:rPr>
      </w:pPr>
    </w:p>
    <w:p>
      <w:pPr>
        <w:jc w:val="both"/>
        <w:ind w:left="1260" w:hanging="631"/>
        <w:spacing w:after="0"/>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(or has acquired during the twelve-month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42" w:name="page143"/>
    <w:bookmarkEnd w:id="142"/>
    <w:p>
      <w:pPr>
        <w:jc w:val="both"/>
        <w:ind w:left="600"/>
        <w:spacing w:after="0"/>
        <w:rPr>
          <w:sz w:val="20"/>
          <w:szCs w:val="20"/>
          <w:color w:val="auto"/>
        </w:rPr>
      </w:pPr>
      <w:r>
        <w:rPr>
          <w:rFonts w:ascii="Arial" w:cs="Arial" w:eastAsia="Arial" w:hAnsi="Arial"/>
          <w:sz w:val="18"/>
          <w:szCs w:val="18"/>
          <w:color w:val="auto"/>
        </w:rPr>
        <w:t>in all of the above events a “Control Event” will only occur if it qualifies as a change in control event under Section 409A of the Internal Revenue Code but for clarity a “Control Event” excludes any solvent reconstruction or re organization of the Company or its entities (including without limitation the interposition of a new holding entity to the group);</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 (Cth);</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Deed </w:t>
      </w:r>
      <w:r>
        <w:rPr>
          <w:rFonts w:ascii="Arial" w:cs="Arial" w:eastAsia="Arial" w:hAnsi="Arial"/>
          <w:sz w:val="18"/>
          <w:szCs w:val="18"/>
          <w:color w:val="auto"/>
        </w:rPr>
        <w:t>means this deed including the background, any schedules and any annexures;</w:t>
      </w:r>
    </w:p>
    <w:p>
      <w:pPr>
        <w:spacing w:after="0" w:line="171" w:lineRule="exact"/>
        <w:rPr>
          <w:sz w:val="20"/>
          <w:szCs w:val="20"/>
          <w:color w:val="auto"/>
        </w:rPr>
      </w:pPr>
    </w:p>
    <w:p>
      <w:pPr>
        <w:jc w:val="both"/>
        <w:ind w:left="600"/>
        <w:spacing w:after="0" w:line="271"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agreement dated 12 November 2019 containing the terms and conditions upon which Dr Perry</w:t>
      </w:r>
      <w:r>
        <w:rPr>
          <w:rFonts w:ascii="Arial" w:cs="Arial" w:eastAsia="Arial" w:hAnsi="Arial"/>
          <w:sz w:val="18"/>
          <w:szCs w:val="18"/>
          <w:b w:val="1"/>
          <w:bCs w:val="1"/>
          <w:color w:val="auto"/>
        </w:rPr>
        <w:t xml:space="preserve"> </w:t>
      </w:r>
      <w:r>
        <w:rPr>
          <w:rFonts w:ascii="Arial" w:cs="Arial" w:eastAsia="Arial" w:hAnsi="Arial"/>
          <w:sz w:val="18"/>
          <w:szCs w:val="18"/>
          <w:color w:val="auto"/>
        </w:rPr>
        <w:t>is employed by the Company as CEO of the Company;</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in relation to Shares issued resulting from the exercise of Options:</w:t>
      </w:r>
    </w:p>
    <w:p>
      <w:pPr>
        <w:spacing w:after="0" w:line="193" w:lineRule="exact"/>
        <w:rPr>
          <w:sz w:val="20"/>
          <w:szCs w:val="20"/>
          <w:color w:val="auto"/>
        </w:rPr>
      </w:pPr>
    </w:p>
    <w:p>
      <w:pPr>
        <w:jc w:val="both"/>
        <w:ind w:left="1220" w:hanging="631"/>
        <w:spacing w:after="0"/>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closing sale price per share of ordinary shares of the Company on a recognized securities exchange or over-the-counter market on which the ordinary shares of the Company are principally traded on the date on which Fair Market Value is being determined;</w:t>
      </w:r>
    </w:p>
    <w:p>
      <w:pPr>
        <w:spacing w:after="0" w:line="162" w:lineRule="exact"/>
        <w:rPr>
          <w:rFonts w:ascii="Arial" w:cs="Arial" w:eastAsia="Arial" w:hAnsi="Arial"/>
          <w:sz w:val="18"/>
          <w:szCs w:val="18"/>
          <w:color w:val="auto"/>
        </w:rPr>
      </w:pPr>
    </w:p>
    <w:p>
      <w:pPr>
        <w:jc w:val="both"/>
        <w:ind w:left="1220" w:hanging="631"/>
        <w:spacing w:after="0"/>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ordinary shares of the Company are not traded on the date the Shares are issued due to a trading suspension or trading halt undertaken to facilitate a private placement of the Company, the value of ordinary shares of the Company sold in the private placement or</w:t>
      </w:r>
    </w:p>
    <w:p>
      <w:pPr>
        <w:spacing w:after="0" w:line="162" w:lineRule="exact"/>
        <w:rPr>
          <w:rFonts w:ascii="Arial" w:cs="Arial" w:eastAsia="Arial" w:hAnsi="Arial"/>
          <w:sz w:val="18"/>
          <w:szCs w:val="18"/>
          <w:color w:val="auto"/>
        </w:rPr>
      </w:pPr>
    </w:p>
    <w:p>
      <w:pPr>
        <w:jc w:val="both"/>
        <w:ind w:left="1220" w:hanging="631"/>
        <w:spacing w:after="0"/>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ordinary shares of the Company are not then listed on any recognized securities exchange or traded in an over-the-countermarket or the value of such Shares is not otherwise determinable, the value as reasonably determined by the Board in good faith.</w:t>
      </w:r>
    </w:p>
    <w:p>
      <w:pPr>
        <w:spacing w:after="0" w:line="140" w:lineRule="exact"/>
        <w:rPr>
          <w:sz w:val="20"/>
          <w:szCs w:val="20"/>
          <w:color w:val="auto"/>
        </w:rPr>
      </w:pPr>
    </w:p>
    <w:p>
      <w:pPr>
        <w:jc w:val="both"/>
        <w:ind w:left="600"/>
        <w:spacing w:after="0" w:line="271" w:lineRule="auto"/>
        <w:rPr>
          <w:sz w:val="20"/>
          <w:szCs w:val="20"/>
          <w:color w:val="auto"/>
        </w:rPr>
      </w:pPr>
      <w:r>
        <w:rPr>
          <w:rFonts w:ascii="Arial" w:cs="Arial" w:eastAsia="Arial" w:hAnsi="Arial"/>
          <w:sz w:val="18"/>
          <w:szCs w:val="18"/>
          <w:b w:val="1"/>
          <w:bCs w:val="1"/>
          <w:color w:val="auto"/>
        </w:rPr>
        <w:t xml:space="preserve">Liquidation </w:t>
      </w:r>
      <w:r>
        <w:rPr>
          <w:rFonts w:ascii="Arial" w:cs="Arial" w:eastAsia="Arial" w:hAnsi="Arial"/>
          <w:sz w:val="18"/>
          <w:szCs w:val="18"/>
          <w:color w:val="auto"/>
        </w:rPr>
        <w:t>means the passing of a resolution for voluntary winding up, or the making of an order for the compulsory winding up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means 15,000,000 unlisted options to acquire 15,000,000 fully paid ordinary Shares in the capital of the Company;</w:t>
      </w:r>
    </w:p>
    <w:p>
      <w:pPr>
        <w:spacing w:after="0" w:line="185" w:lineRule="exact"/>
        <w:rPr>
          <w:sz w:val="20"/>
          <w:szCs w:val="20"/>
          <w:color w:val="auto"/>
        </w:rPr>
      </w:pPr>
    </w:p>
    <w:p>
      <w:pPr>
        <w:jc w:val="both"/>
        <w:ind w:left="600"/>
        <w:spacing w:after="0" w:line="253" w:lineRule="auto"/>
        <w:rPr>
          <w:sz w:val="20"/>
          <w:szCs w:val="20"/>
          <w:color w:val="auto"/>
        </w:rPr>
      </w:pPr>
      <w:r>
        <w:rPr>
          <w:rFonts w:ascii="Arial" w:cs="Arial" w:eastAsia="Arial" w:hAnsi="Arial"/>
          <w:sz w:val="18"/>
          <w:szCs w:val="18"/>
          <w:b w:val="1"/>
          <w:bCs w:val="1"/>
          <w:color w:val="auto"/>
        </w:rPr>
        <w:t xml:space="preserve">Reorganization </w:t>
      </w:r>
      <w:r>
        <w:rPr>
          <w:rFonts w:ascii="Arial" w:cs="Arial" w:eastAsia="Arial" w:hAnsi="Arial"/>
          <w:sz w:val="18"/>
          <w:szCs w:val="18"/>
          <w:color w:val="auto"/>
        </w:rPr>
        <w:t>means any merger, consolidation, reconstruction or other reorganization in respect of the Company,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compromise or arrangement for the purposes of or in connection with a scheme for the reconstruction of the Company or its amalgamation with any other company;</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Security Interest means:</w:t>
      </w:r>
    </w:p>
    <w:p>
      <w:pPr>
        <w:spacing w:after="0" w:line="193" w:lineRule="exact"/>
        <w:rPr>
          <w:sz w:val="20"/>
          <w:szCs w:val="20"/>
          <w:color w:val="auto"/>
        </w:rPr>
      </w:pPr>
    </w:p>
    <w:p>
      <w:pPr>
        <w:jc w:val="both"/>
        <w:ind w:left="1220" w:hanging="631"/>
        <w:spacing w:after="0" w:line="238" w:lineRule="auto"/>
        <w:tabs>
          <w:tab w:leader="none" w:pos="1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interest or power reserved in or created or otherwise arising in or over an interest in any asset whether under a bill of sale, mortgage, charge, lien, pledge, other security interest or preferential arrangement (including retention of title). trust or power or otherwise by way of, or having similar commercial effect to, security for the payment of a debt, any other monetary obligation or the performance of any other obligation;</w:t>
      </w:r>
    </w:p>
    <w:p>
      <w:pPr>
        <w:spacing w:after="0" w:line="142" w:lineRule="exact"/>
        <w:rPr>
          <w:sz w:val="20"/>
          <w:szCs w:val="20"/>
          <w:color w:val="auto"/>
        </w:rPr>
      </w:pPr>
    </w:p>
    <w:p>
      <w:pPr>
        <w:ind w:left="1220" w:hanging="631"/>
        <w:spacing w:after="0"/>
        <w:tabs>
          <w:tab w:leader="none" w:pos="1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 security interest as defined in </w:t>
      </w:r>
      <w:r>
        <w:rPr>
          <w:rFonts w:ascii="Arial" w:cs="Arial" w:eastAsia="Arial" w:hAnsi="Arial"/>
          <w:sz w:val="18"/>
          <w:szCs w:val="18"/>
          <w:i w:val="1"/>
          <w:iCs w:val="1"/>
          <w:color w:val="auto"/>
        </w:rPr>
        <w:t>Personal Property Securities Act 2009 (Cth)</w:t>
      </w:r>
      <w:r>
        <w:rPr>
          <w:rFonts w:ascii="Arial" w:cs="Arial" w:eastAsia="Arial" w:hAnsi="Arial"/>
          <w:sz w:val="18"/>
          <w:szCs w:val="18"/>
          <w:color w:val="auto"/>
        </w:rPr>
        <w:t xml:space="preserve"> </w:t>
      </w:r>
      <w:r>
        <w:rPr>
          <w:rFonts w:ascii="Arial" w:cs="Arial" w:eastAsia="Arial" w:hAnsi="Arial"/>
          <w:sz w:val="18"/>
          <w:szCs w:val="18"/>
          <w:b w:val="1"/>
          <w:bCs w:val="1"/>
          <w:color w:val="auto"/>
        </w:rPr>
        <w:t>(PPSA)</w:t>
      </w:r>
      <w:r>
        <w:rPr>
          <w:rFonts w:ascii="Arial" w:cs="Arial" w:eastAsia="Arial" w:hAnsi="Arial"/>
          <w:sz w:val="18"/>
          <w:szCs w:val="18"/>
          <w:color w:val="auto"/>
        </w:rPr>
        <w:t xml:space="preserve"> and to which the PPSA applies; or</w:t>
      </w:r>
    </w:p>
    <w:p>
      <w:pPr>
        <w:spacing w:after="0" w:line="175" w:lineRule="exact"/>
        <w:rPr>
          <w:rFonts w:ascii="Arial" w:cs="Arial" w:eastAsia="Arial" w:hAnsi="Arial"/>
          <w:sz w:val="18"/>
          <w:szCs w:val="18"/>
          <w:color w:val="auto"/>
        </w:rPr>
      </w:pPr>
    </w:p>
    <w:p>
      <w:pPr>
        <w:ind w:left="1220" w:hanging="631"/>
        <w:spacing w:after="0" w:line="267" w:lineRule="auto"/>
        <w:tabs>
          <w:tab w:leader="none" w:pos="1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agreement to grant or create anything referred to in either </w:t>
      </w:r>
      <w:r>
        <w:rPr>
          <w:rFonts w:ascii="Arial" w:cs="Arial" w:eastAsia="Arial" w:hAnsi="Arial"/>
          <w:sz w:val="18"/>
          <w:szCs w:val="18"/>
          <w:i w:val="1"/>
          <w:iCs w:val="1"/>
          <w:color w:val="auto"/>
        </w:rPr>
        <w:t>of</w:t>
      </w:r>
      <w:r>
        <w:rPr>
          <w:rFonts w:ascii="Arial" w:cs="Arial" w:eastAsia="Arial" w:hAnsi="Arial"/>
          <w:sz w:val="18"/>
          <w:szCs w:val="18"/>
          <w:color w:val="auto"/>
        </w:rPr>
        <w:t xml:space="preserve"> paragraph (a) or (b) of this definition and any other thing which gives a creditor priority to any other creditor with respect to any asset or an interest in any asset;</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fully paid ordinary share in the capital of the Company;</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“Taxing Event” </w:t>
      </w:r>
      <w:r>
        <w:rPr>
          <w:rFonts w:ascii="Arial" w:cs="Arial" w:eastAsia="Arial" w:hAnsi="Arial"/>
          <w:sz w:val="18"/>
          <w:szCs w:val="18"/>
          <w:color w:val="auto"/>
        </w:rPr>
        <w:t>means the date on which any Shares are issued to Participant pursuant to exercise of Options;</w:t>
      </w:r>
    </w:p>
    <w:p>
      <w:pPr>
        <w:spacing w:after="0" w:line="171" w:lineRule="exact"/>
        <w:rPr>
          <w:sz w:val="20"/>
          <w:szCs w:val="20"/>
          <w:color w:val="auto"/>
        </w:rPr>
      </w:pPr>
    </w:p>
    <w:p>
      <w:pPr>
        <w:ind w:left="600" w:right="20"/>
        <w:spacing w:after="0" w:line="271"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in relation to any Shares issued pursuant to the exercise of Options, the amount of the Company's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withholding tax as calculated by the Company (acting</w:t>
      </w: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52705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60" w:top="746" w:right="339" w:bottom="1440" w:gutter="0" w:footer="0" w:header="0"/>
        </w:sectPr>
      </w:pPr>
    </w:p>
    <w:bookmarkStart w:id="143" w:name="page144"/>
    <w:bookmarkEnd w:id="143"/>
    <w:p>
      <w:pPr>
        <w:ind w:left="640"/>
        <w:spacing w:after="0" w:line="246" w:lineRule="auto"/>
        <w:rPr>
          <w:sz w:val="20"/>
          <w:szCs w:val="20"/>
          <w:color w:val="auto"/>
        </w:rPr>
      </w:pPr>
      <w:r>
        <w:rPr>
          <w:rFonts w:ascii="Arial" w:cs="Arial" w:eastAsia="Arial" w:hAnsi="Arial"/>
          <w:sz w:val="18"/>
          <w:szCs w:val="18"/>
          <w:color w:val="auto"/>
        </w:rPr>
        <w:t>reasonably and in good faith) by reference to the extent required by law to the Fair Market Value of the relevant Shares as at the date of the Taxing Event, and notified to the Participant in writing by no later than the Taxing Event;</w:t>
      </w:r>
    </w:p>
    <w:p>
      <w:pPr>
        <w:spacing w:after="0" w:line="148"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b w:val="1"/>
          <w:bCs w:val="1"/>
          <w:color w:val="auto"/>
        </w:rPr>
        <w:t xml:space="preserve">Terms and Conditions </w:t>
      </w:r>
      <w:r>
        <w:rPr>
          <w:rFonts w:ascii="Arial" w:cs="Arial" w:eastAsia="Arial" w:hAnsi="Arial"/>
          <w:sz w:val="18"/>
          <w:szCs w:val="18"/>
          <w:color w:val="auto"/>
        </w:rPr>
        <w:t>means the Options terms and conditions set out in Schedule 1 of this Deed as approved by shareholders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2018 Annual General Meeting;</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Unvested Options </w:t>
      </w:r>
      <w:r>
        <w:rPr>
          <w:rFonts w:ascii="Arial" w:cs="Arial" w:eastAsia="Arial" w:hAnsi="Arial"/>
          <w:sz w:val="18"/>
          <w:szCs w:val="18"/>
          <w:color w:val="auto"/>
        </w:rPr>
        <w:t>means Options for which their respective vesting conditions have not been met;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has the meaning in section 5.1 of the Employment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has the meaning in section 5.3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has the meaning in section 5.2 of the Employment Agreement;</w:t>
      </w:r>
    </w:p>
    <w:p>
      <w:pPr>
        <w:spacing w:after="0" w:line="171" w:lineRule="exact"/>
        <w:rPr>
          <w:sz w:val="20"/>
          <w:szCs w:val="20"/>
          <w:color w:val="auto"/>
        </w:rPr>
      </w:pPr>
    </w:p>
    <w:p>
      <w:pPr>
        <w:ind w:left="640" w:right="20"/>
        <w:spacing w:after="0" w:line="271" w:lineRule="auto"/>
        <w:rPr>
          <w:sz w:val="20"/>
          <w:szCs w:val="20"/>
          <w:color w:val="auto"/>
        </w:rPr>
      </w:pPr>
      <w:r>
        <w:rPr>
          <w:rFonts w:ascii="Arial" w:cs="Arial" w:eastAsia="Arial" w:hAnsi="Arial"/>
          <w:sz w:val="18"/>
          <w:szCs w:val="18"/>
          <w:b w:val="1"/>
          <w:bCs w:val="1"/>
          <w:color w:val="auto"/>
        </w:rPr>
        <w:t xml:space="preserve">Vested Option </w:t>
      </w:r>
      <w:r>
        <w:rPr>
          <w:rFonts w:ascii="Arial" w:cs="Arial" w:eastAsia="Arial" w:hAnsi="Arial"/>
          <w:sz w:val="18"/>
          <w:szCs w:val="18"/>
          <w:color w:val="auto"/>
        </w:rPr>
        <w:t>means an Option in respect of which all vesting conditions have been met or which are otherwise exercisable (as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Schedule 1);</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w:t>
      </w:r>
      <w:r>
        <w:rPr>
          <w:rFonts w:ascii="Arial" w:cs="Arial" w:eastAsia="Arial" w:hAnsi="Arial"/>
          <w:sz w:val="18"/>
          <w:szCs w:val="18"/>
          <w:color w:val="auto"/>
        </w:rPr>
        <w:t>has the meaning as provided in section 5.4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has the meaning as provided in section 5.5 of the Employment Agreement.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Deed. unless the context requires otherwise:</w:t>
      </w:r>
    </w:p>
    <w:p>
      <w:pPr>
        <w:spacing w:after="0" w:line="185" w:lineRule="exact"/>
        <w:rPr>
          <w:sz w:val="20"/>
          <w:szCs w:val="20"/>
          <w:color w:val="auto"/>
        </w:rPr>
      </w:pPr>
    </w:p>
    <w:p>
      <w:pPr>
        <w:ind w:left="1260" w:hanging="631"/>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gender includes the other genders;</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headings are used for convenience only and do not affect the interpretation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 grammatical forms of a defined word or expression have a corresponding meaning;</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 document is to that document as amended, novated, supplemented, extended or restated from time to time;</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 party is to a party to this Deed and includes that party's executors, administrators, successors, permitted assigns and permitted substitutes;</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something is to be or may be done on a day that is not a Business Day then it must be done on the next Business Day;</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 includes a natural person, partnership, body corporate, association, joint venture, governmental or local authority, and any other body or entity whether incorporated or not:</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“month” means calendar month and “year” means 12 consecutive months ;</w:t>
      </w:r>
    </w:p>
    <w:p>
      <w:pPr>
        <w:spacing w:after="0" w:line="171" w:lineRule="exact"/>
        <w:rPr>
          <w:sz w:val="20"/>
          <w:szCs w:val="20"/>
          <w:color w:val="auto"/>
        </w:rPr>
      </w:pPr>
    </w:p>
    <w:p>
      <w:pPr>
        <w:ind w:left="1260" w:hanging="631"/>
        <w:spacing w:after="0" w:line="246" w:lineRule="auto"/>
        <w:tabs>
          <w:tab w:leader="none" w:pos="1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reference to a thing (including a right) includes a part of it but nothing in this clause implies that part performance of an obligation constitutes performance of that obligation;</w:t>
      </w:r>
    </w:p>
    <w:p>
      <w:pPr>
        <w:spacing w:after="0" w:line="134" w:lineRule="exact"/>
        <w:rPr>
          <w:sz w:val="20"/>
          <w:szCs w:val="20"/>
          <w:color w:val="auto"/>
        </w:rPr>
      </w:pPr>
    </w:p>
    <w:p>
      <w:pPr>
        <w:ind w:left="1260" w:hanging="631"/>
        <w:spacing w:after="0" w:line="271" w:lineRule="auto"/>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 reference to all or any part of a statute, rule, regulation or ordinance </w:t>
      </w:r>
      <w:r>
        <w:rPr>
          <w:rFonts w:ascii="Arial" w:cs="Arial" w:eastAsia="Arial" w:hAnsi="Arial"/>
          <w:sz w:val="18"/>
          <w:szCs w:val="18"/>
          <w:b w:val="1"/>
          <w:bCs w:val="1"/>
          <w:color w:val="auto"/>
        </w:rPr>
        <w:t>(statute)</w:t>
      </w:r>
      <w:r>
        <w:rPr>
          <w:rFonts w:ascii="Arial" w:cs="Arial" w:eastAsia="Arial" w:hAnsi="Arial"/>
          <w:sz w:val="18"/>
          <w:szCs w:val="18"/>
          <w:color w:val="auto"/>
        </w:rPr>
        <w:t xml:space="preserve"> is to that statute as amended, consolidated, re-enacted or replaced from time to time;</w:t>
      </w:r>
    </w:p>
    <w:p>
      <w:pPr>
        <w:spacing w:after="0" w:line="135" w:lineRule="exact"/>
        <w:rPr>
          <w:sz w:val="20"/>
          <w:szCs w:val="20"/>
          <w:color w:val="auto"/>
        </w:rPr>
      </w:pPr>
    </w:p>
    <w:p>
      <w:pPr>
        <w:ind w:left="1260" w:hanging="631"/>
        <w:spacing w:after="0"/>
        <w:tabs>
          <w:tab w:leader="none" w:pos="1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 “for example” and any similar expressions are not used, and must not be interpreted, as words of limitation;</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4" w:name="page145"/>
    <w:bookmarkEnd w:id="144"/>
    <w:p>
      <w:pPr>
        <w:ind w:left="1260" w:hanging="631"/>
        <w:spacing w:after="0"/>
        <w:tabs>
          <w:tab w:leader="none" w:pos="1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money amounts are stated in Australian currency unless otherwise specified;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reference to a time of day is to that time in Melbourne, Victoria;</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 reference to any agency or body that ceases to exist, is reconstituted, renamed or replaced, or has its powers or functions removed </w:t>
      </w:r>
      <w:r>
        <w:rPr>
          <w:rFonts w:ascii="Arial" w:cs="Arial" w:eastAsia="Arial" w:hAnsi="Arial"/>
          <w:sz w:val="18"/>
          <w:szCs w:val="18"/>
          <w:b w:val="1"/>
          <w:bCs w:val="1"/>
          <w:color w:val="auto"/>
        </w:rPr>
        <w:t>(defunct body )</w:t>
      </w:r>
      <w:r>
        <w:rPr>
          <w:rFonts w:ascii="Arial" w:cs="Arial" w:eastAsia="Arial" w:hAnsi="Arial"/>
          <w:sz w:val="18"/>
          <w:szCs w:val="18"/>
          <w:color w:val="auto"/>
        </w:rPr>
        <w:t xml:space="preserve"> is to the agency or body that performs most closely the powers or functions of the defunct body;</w:t>
      </w:r>
    </w:p>
    <w:p>
      <w:pPr>
        <w:spacing w:after="0" w:line="156"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provision in this Deed which is in favor of more than one person benefits all of them jointly and each of them severally; and</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provision in this Deed which binds more than one person binds all of them jointly and each of them severally.</w:t>
      </w:r>
    </w:p>
    <w:p>
      <w:pPr>
        <w:spacing w:after="0" w:line="149" w:lineRule="exact"/>
        <w:rPr>
          <w:sz w:val="20"/>
          <w:szCs w:val="20"/>
          <w:color w:val="auto"/>
        </w:rPr>
      </w:pPr>
    </w:p>
    <w:p>
      <w:pPr>
        <w:ind w:left="620" w:hanging="612"/>
        <w:spacing w:after="0"/>
        <w:tabs>
          <w:tab w:leader="none" w:pos="6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Terms and conditions approved by Shareholders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The parties agree that the Options are issued and governed by the terms of this Deed (including the Terms and Conditions as set out in Schedule 1).</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Agreement by Dr Perry</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Dr Perry agrees that he will hold the Options on the terms and conditions set out in this Deed (including the Terms and Conditions as set out in Schedule 1).</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Issue of Shares on exercise of the Options</w:t>
      </w:r>
    </w:p>
    <w:p>
      <w:pPr>
        <w:spacing w:after="0" w:line="193" w:lineRule="exact"/>
        <w:rPr>
          <w:sz w:val="20"/>
          <w:szCs w:val="20"/>
          <w:color w:val="auto"/>
        </w:rPr>
      </w:pPr>
    </w:p>
    <w:p>
      <w:pPr>
        <w:jc w:val="both"/>
        <w:ind w:left="640"/>
        <w:spacing w:after="0" w:line="237" w:lineRule="auto"/>
        <w:rPr>
          <w:sz w:val="20"/>
          <w:szCs w:val="20"/>
          <w:color w:val="auto"/>
        </w:rPr>
      </w:pPr>
      <w:r>
        <w:rPr>
          <w:rFonts w:ascii="Arial" w:cs="Arial" w:eastAsia="Arial" w:hAnsi="Arial"/>
          <w:sz w:val="18"/>
          <w:szCs w:val="18"/>
          <w:color w:val="auto"/>
        </w:rPr>
        <w:t>On exercise of the Options (or any of them). the Company will in accordance with the Terms and Conditions issue to Dr Perry that number of Shares represented by the exercised Options and Dr Perry agrees to hold those Shares issued in accordance with the Company's Constitution (as amended from time to time). Other than compliance with Section 1043A of the Corporations Act (possession of inside information) and the Company's then applicable securities trading policy (as applicable to all of the Company's employees), on filing a cleansing notice by the Company under section 708A of the Corporations Act (which the Company shall use its best endeavours to file on or within 5 Business Days of the relevant issue of Shares), there will be no restriction under Australian law on Dr Perry dealing in those Shares.</w:t>
      </w:r>
    </w:p>
    <w:p>
      <w:pPr>
        <w:spacing w:after="0" w:line="162"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If the Participant or the Company is liable for taxes, duties or other amounts on the issuance of the resulting Shares and as a consequence the Company is liable to make a payment(s) for whatever reason (including withholding) to the appropriate authorities on account of that liability, unless the Participant and the Company agree otherwise:</w:t>
      </w:r>
    </w:p>
    <w:p>
      <w:pPr>
        <w:spacing w:after="0" w:line="176" w:lineRule="exact"/>
        <w:rPr>
          <w:sz w:val="20"/>
          <w:szCs w:val="20"/>
          <w:color w:val="auto"/>
        </w:rPr>
      </w:pPr>
    </w:p>
    <w:p>
      <w:pPr>
        <w:ind w:left="1260" w:right="20" w:hanging="631"/>
        <w:spacing w:after="0" w:line="246" w:lineRule="auto"/>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will use its reasonable endeavours to introduce potential purchasers for some of the resulting Shares held by the Participant and</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any event, the Participant must pay to the Company within 5 Business Days of the Taxing Event an amount equal to the Tax Payment and the Company must pay the Tax Payment to the appropriate authorities.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Re-organization</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Where for any reason the Company undertakes a solvent reconstruction or re organization of the Company or its entities (including without limitation the interposition of a new holding entity to the group), Dr Perry agrees to exchange (on a “like for like” basis) his Options for new options (on substantially the same terms and conditions as provided in this Deed) in the new parent entity which arises on such solvent reconstruction or re-organization.</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5" w:name="page146"/>
    <w:bookmarkEnd w:id="145"/>
    <w:p>
      <w:pPr>
        <w:ind w:right="5920" w:firstLine="8"/>
        <w:spacing w:after="0" w:line="451" w:lineRule="auto"/>
        <w:tabs>
          <w:tab w:leader="none" w:pos="621"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of employment and other employment rights 3.1 No change to employment terms</w:t>
      </w:r>
    </w:p>
    <w:p>
      <w:pPr>
        <w:jc w:val="both"/>
        <w:ind w:left="640" w:right="20"/>
        <w:spacing w:after="0" w:line="246" w:lineRule="auto"/>
        <w:rPr>
          <w:sz w:val="20"/>
          <w:szCs w:val="20"/>
          <w:color w:val="auto"/>
        </w:rPr>
      </w:pPr>
      <w:r>
        <w:rPr>
          <w:rFonts w:ascii="Arial" w:cs="Arial" w:eastAsia="Arial" w:hAnsi="Arial"/>
          <w:sz w:val="18"/>
          <w:szCs w:val="18"/>
          <w:color w:val="auto"/>
        </w:rPr>
        <w:t>The participation in the issue of the Options does not change or vary any of the terms and conditions of employment of Dr Perry as set out in the Employment Agreement.</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No right to future employment or engagement</w:t>
      </w:r>
    </w:p>
    <w:p>
      <w:pPr>
        <w:spacing w:after="0" w:line="193" w:lineRule="exact"/>
        <w:rPr>
          <w:sz w:val="20"/>
          <w:szCs w:val="20"/>
          <w:color w:val="auto"/>
        </w:rPr>
      </w:pPr>
    </w:p>
    <w:p>
      <w:pPr>
        <w:jc w:val="both"/>
        <w:ind w:left="640" w:right="20"/>
        <w:spacing w:after="0" w:line="246" w:lineRule="auto"/>
        <w:rPr>
          <w:sz w:val="20"/>
          <w:szCs w:val="20"/>
          <w:color w:val="auto"/>
        </w:rPr>
      </w:pPr>
      <w:r>
        <w:rPr>
          <w:rFonts w:ascii="Arial" w:cs="Arial" w:eastAsia="Arial" w:hAnsi="Arial"/>
          <w:sz w:val="18"/>
          <w:szCs w:val="18"/>
          <w:color w:val="auto"/>
        </w:rPr>
        <w:t>Without limiting clause 3.1 above, this Deed does not confer on Dr Perry any right to future employment or engagement and does not affect any rights which the Company may have to terminate his employment or engagement.</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Acknowledgments</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It is acknowledged and accepted by Dr Perry and the Company that the terms of this Deed creates legally binding obligations on the parties but do not form part of the terms and conditions of Dr Perry's employment or other engagement contract, nor do the terms of this Deed constitute a contract or arrangement (including any related condition or collateral arrangement) in relation to Dr Perry's employment or other engagement contract.</w:t>
      </w:r>
    </w:p>
    <w:p>
      <w:pPr>
        <w:spacing w:after="0" w:line="142" w:lineRule="exact"/>
        <w:rPr>
          <w:sz w:val="20"/>
          <w:szCs w:val="20"/>
          <w:color w:val="auto"/>
        </w:rPr>
      </w:pPr>
    </w:p>
    <w:p>
      <w:pPr>
        <w:ind w:right="5320" w:firstLine="8"/>
        <w:spacing w:after="0" w:line="451" w:lineRule="auto"/>
        <w:tabs>
          <w:tab w:leader="none" w:pos="621"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Cessation of appointment/employment and lapsing of options 4.1 </w:t>
      </w:r>
      <w:r>
        <w:rPr>
          <w:rFonts w:ascii="Arial" w:cs="Arial" w:eastAsia="Arial" w:hAnsi="Arial"/>
          <w:sz w:val="18"/>
          <w:szCs w:val="18"/>
          <w:b w:val="1"/>
          <w:bCs w:val="1"/>
          <w:u w:val="single" w:color="auto"/>
          <w:color w:val="auto"/>
        </w:rPr>
        <w:t>Unvested</w:t>
      </w:r>
      <w:r>
        <w:rPr>
          <w:rFonts w:ascii="Arial" w:cs="Arial" w:eastAsia="Arial" w:hAnsi="Arial"/>
          <w:sz w:val="18"/>
          <w:szCs w:val="18"/>
          <w:b w:val="1"/>
          <w:bCs w:val="1"/>
          <w:color w:val="auto"/>
        </w:rPr>
        <w:t xml:space="preserve"> Options re Termination</w:t>
      </w: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Unless an Option has already vested, if Dr Perry ceases to be appointed or employed by the Company for any reason:</w:t>
      </w:r>
    </w:p>
    <w:p>
      <w:pPr>
        <w:spacing w:after="0" w:line="162"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All the Participant's unvested Options will lapse automatically;</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All the Participant's unvested Options will vest;</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All the Participant's unvested Options will vest;</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All the Participant's unvested Options will vest;</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in all other circumstances: </w:t>
      </w:r>
      <w:r>
        <w:rPr>
          <w:rFonts w:ascii="Arial" w:cs="Arial" w:eastAsia="Arial" w:hAnsi="Arial"/>
          <w:sz w:val="18"/>
          <w:szCs w:val="18"/>
          <w:color w:val="auto"/>
        </w:rPr>
        <w:t>All the Participant’s unvested Options will lapse automatically.</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 xml:space="preserve">Vested </w:t>
      </w:r>
      <w:r>
        <w:rPr>
          <w:rFonts w:ascii="Arial" w:cs="Arial" w:eastAsia="Arial" w:hAnsi="Arial"/>
          <w:sz w:val="17"/>
          <w:szCs w:val="17"/>
          <w:b w:val="1"/>
          <w:bCs w:val="1"/>
          <w:color w:val="auto"/>
        </w:rPr>
        <w:t>Options re Termination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respect of vested Options, if Dr Perry ceases to be appointed or employed by the Company for any reason:</w:t>
      </w:r>
    </w:p>
    <w:p>
      <w:pPr>
        <w:spacing w:after="0" w:line="149" w:lineRule="exact"/>
        <w:rPr>
          <w:sz w:val="20"/>
          <w:szCs w:val="20"/>
          <w:color w:val="auto"/>
        </w:rPr>
      </w:pPr>
    </w:p>
    <w:p>
      <w:pPr>
        <w:ind w:left="1260" w:right="20" w:hanging="631"/>
        <w:spacing w:after="0" w:line="271" w:lineRule="auto"/>
        <w:tabs>
          <w:tab w:leader="none" w:pos="12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The Participant may for up to 30 days exercise his vested Options and if not exercised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all unexercised Options will lapse automatically;</w:t>
      </w:r>
    </w:p>
    <w:p>
      <w:pPr>
        <w:spacing w:after="0" w:line="113"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The Participant may for up to 60 days exercise his vested Options and if not exercised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all unexercised Options will lapse automatically;</w:t>
      </w:r>
    </w:p>
    <w:p>
      <w:pPr>
        <w:spacing w:after="0" w:line="113" w:lineRule="exact"/>
        <w:rPr>
          <w:rFonts w:ascii="Arial" w:cs="Arial" w:eastAsia="Arial" w:hAnsi="Arial"/>
          <w:sz w:val="18"/>
          <w:szCs w:val="18"/>
          <w:color w:val="auto"/>
        </w:rPr>
      </w:pPr>
    </w:p>
    <w:p>
      <w:pPr>
        <w:ind w:left="1260" w:right="20" w:hanging="631"/>
        <w:spacing w:after="0" w:line="271" w:lineRule="auto"/>
        <w:tabs>
          <w:tab w:leader="none" w:pos="12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The Participant may for up to 60 days exercise his vested Options and if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in that period, all unexercised Options will lapse automatically;</w:t>
      </w:r>
    </w:p>
    <w:p>
      <w:pPr>
        <w:spacing w:after="0" w:line="113"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The Participant may for up to 30 days exercise his vested Options and if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in that period, all unexercised Options will lapse automatically;</w:t>
      </w:r>
    </w:p>
    <w:p>
      <w:pPr>
        <w:spacing w:after="0" w:line="113"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in all other circumstances: </w:t>
      </w:r>
      <w:r>
        <w:rPr>
          <w:rFonts w:ascii="Arial" w:cs="Arial" w:eastAsia="Arial" w:hAnsi="Arial"/>
          <w:sz w:val="18"/>
          <w:szCs w:val="18"/>
          <w:color w:val="auto"/>
        </w:rPr>
        <w:t>The Participant may for up to 30 days exercise his vested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if not exercised in that period, all unexercised Options will lapse automatically.</w:t>
      </w:r>
    </w:p>
    <w:p>
      <w:pPr>
        <w:spacing w:after="0" w:line="314"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46" w:name="page147"/>
    <w:bookmarkEnd w:id="146"/>
    <w:p>
      <w:pPr>
        <w:spacing w:after="0"/>
        <w:tabs>
          <w:tab w:leader="none" w:pos="6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Liquidation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Liquidation, all Options which have not been exercised will lapse with immediate effect upon such Liquidation.</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Control Event</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On the occurrence of a Control Event, all Options (notwithstanding any the existence of any vesting conditions unsatisfied immediately prior to the occurrence of a Control Event) may be exercised during the period being the lesser of the following periods:</w:t>
      </w:r>
    </w:p>
    <w:p>
      <w:pPr>
        <w:spacing w:after="0" w:line="156" w:lineRule="exact"/>
        <w:rPr>
          <w:sz w:val="20"/>
          <w:szCs w:val="20"/>
          <w:color w:val="auto"/>
        </w:rPr>
      </w:pPr>
    </w:p>
    <w:p>
      <w:pPr>
        <w:ind w:left="1260" w:hanging="631"/>
        <w:spacing w:after="0"/>
        <w:tabs>
          <w:tab w:leader="none" w:pos="12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90 day period following the occurrence of that event. or</w:t>
      </w:r>
    </w:p>
    <w:p>
      <w:pPr>
        <w:spacing w:after="0" w:line="171" w:lineRule="exact"/>
        <w:rPr>
          <w:rFonts w:ascii="Arial" w:cs="Arial" w:eastAsia="Arial" w:hAnsi="Arial"/>
          <w:sz w:val="18"/>
          <w:szCs w:val="18"/>
          <w:color w:val="auto"/>
        </w:rPr>
      </w:pPr>
    </w:p>
    <w:p>
      <w:pPr>
        <w:ind w:left="640" w:right="3840" w:hanging="11"/>
        <w:spacing w:after="0" w:line="450" w:lineRule="auto"/>
        <w:tabs>
          <w:tab w:leader="none" w:pos="125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period from the occurrence of that event to the expiry date of the Options, after the expiry of which all unexercised Options shall lapse with immediate effect.</w:t>
      </w:r>
    </w:p>
    <w:p>
      <w:pPr>
        <w:ind w:left="620" w:hanging="612"/>
        <w:spacing w:after="0"/>
        <w:tabs>
          <w:tab w:leader="none" w:pos="6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the Board</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Powers of the Board</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Deed will be managed by the Board. which will have power (which must be exercised reasonably and in good faith) to:</w:t>
      </w:r>
    </w:p>
    <w:p>
      <w:pPr>
        <w:spacing w:after="0" w:line="185" w:lineRule="exact"/>
        <w:rPr>
          <w:sz w:val="20"/>
          <w:szCs w:val="20"/>
          <w:color w:val="auto"/>
        </w:rPr>
      </w:pPr>
    </w:p>
    <w:p>
      <w:pPr>
        <w:ind w:left="1260" w:hanging="631"/>
        <w:spacing w:after="0"/>
        <w:tabs>
          <w:tab w:leader="none" w:pos="12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determine appropriate procedures for the administration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resolve conclusively all questions of fact or interpretation arising in connection with this Deed;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determine matters falling for determination under this clause in its discretion having regard to the interests of and for the benefit of the Company;</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exercise the discretions conferred on it by this clause or which may otherwise be required in relation to this Deed; and</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delegate to any one or more persons (for such period and on such conditions as it may determine) the exercise of any of its powers or discretions arising under this Deed.</w:t>
      </w:r>
    </w:p>
    <w:p>
      <w:pPr>
        <w:spacing w:after="0" w:line="134" w:lineRule="exact"/>
        <w:rPr>
          <w:rFonts w:ascii="Arial" w:cs="Arial" w:eastAsia="Arial" w:hAnsi="Arial"/>
          <w:sz w:val="18"/>
          <w:szCs w:val="18"/>
          <w:color w:val="auto"/>
        </w:rPr>
      </w:pPr>
    </w:p>
    <w:p>
      <w:pPr>
        <w:ind w:left="620" w:hanging="612"/>
        <w:spacing w:after="0"/>
        <w:tabs>
          <w:tab w:leader="none" w:pos="62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9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Any notice or other communication to or by a party under this Deed:</w:t>
      </w:r>
    </w:p>
    <w:p>
      <w:pPr>
        <w:spacing w:after="0" w:line="171"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must be given in accordance with this clause;</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may be given by personal service, or certified return post (signature required by Dr Perry or Mrs. Arlene Perry);</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must be in writing, legible and in English addressed (depending on the manner in which it is given) as shown below:</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If to Dr Perry:</w:t>
      </w:r>
    </w:p>
    <w:p>
      <w:pPr>
        <w:spacing w:after="0" w:line="171" w:lineRule="exact"/>
        <w:rPr>
          <w:rFonts w:ascii="Arial" w:cs="Arial" w:eastAsia="Arial" w:hAnsi="Arial"/>
          <w:sz w:val="18"/>
          <w:szCs w:val="18"/>
          <w:color w:val="auto"/>
        </w:rPr>
      </w:pPr>
    </w:p>
    <w:p>
      <w:pPr>
        <w:ind w:left="1880" w:right="4800"/>
        <w:spacing w:after="0" w:line="246" w:lineRule="auto"/>
        <w:rPr>
          <w:rFonts w:ascii="Arial" w:cs="Arial" w:eastAsia="Arial" w:hAnsi="Arial"/>
          <w:sz w:val="18"/>
          <w:szCs w:val="18"/>
          <w:color w:val="auto"/>
        </w:rPr>
      </w:pPr>
      <w:r>
        <w:rPr>
          <w:rFonts w:ascii="Arial" w:cs="Arial" w:eastAsia="Arial" w:hAnsi="Arial"/>
          <w:sz w:val="18"/>
          <w:szCs w:val="18"/>
          <w:color w:val="auto"/>
        </w:rPr>
        <w:t>Address:300 Cook St., Denver. CO, 80206. United States Attention:Dr. Michael Perry or Mrs. Arlene Perry</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47" w:name="page148"/>
    <w:bookmarkEnd w:id="147"/>
    <w:p>
      <w:pPr>
        <w:ind w:left="1880" w:hanging="630"/>
        <w:spacing w:after="0"/>
        <w:tabs>
          <w:tab w:leader="none" w:pos="18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ind w:left="1880" w:right="3040"/>
        <w:spacing w:after="0" w:line="246" w:lineRule="auto"/>
        <w:rPr>
          <w:sz w:val="20"/>
          <w:szCs w:val="20"/>
          <w:color w:val="auto"/>
        </w:rPr>
      </w:pPr>
      <w:r>
        <w:rPr>
          <w:rFonts w:ascii="Arial" w:cs="Arial" w:eastAsia="Arial" w:hAnsi="Arial"/>
          <w:sz w:val="18"/>
          <w:szCs w:val="18"/>
          <w:color w:val="auto"/>
        </w:rPr>
        <w:t>Address:28159 Avenue Stanford, Suite 220, Valencia, CA 91355, United States Attention:Chief Financial Officer</w:t>
      </w:r>
    </w:p>
    <w:p>
      <w:pPr>
        <w:spacing w:after="0" w:line="134" w:lineRule="exact"/>
        <w:rPr>
          <w:sz w:val="20"/>
          <w:szCs w:val="20"/>
          <w:color w:val="auto"/>
        </w:rPr>
      </w:pPr>
    </w:p>
    <w:p>
      <w:pPr>
        <w:ind w:left="1260"/>
        <w:spacing w:after="0" w:line="271" w:lineRule="auto"/>
        <w:rPr>
          <w:sz w:val="20"/>
          <w:szCs w:val="20"/>
          <w:color w:val="auto"/>
        </w:rPr>
      </w:pPr>
      <w:r>
        <w:rPr>
          <w:rFonts w:ascii="Arial" w:cs="Arial" w:eastAsia="Arial" w:hAnsi="Arial"/>
          <w:sz w:val="18"/>
          <w:szCs w:val="18"/>
          <w:color w:val="auto"/>
        </w:rPr>
        <w:t xml:space="preserve">or addressed in accordance </w:t>
      </w:r>
      <w:r>
        <w:rPr>
          <w:rFonts w:ascii="Arial" w:cs="Arial" w:eastAsia="Arial" w:hAnsi="Arial"/>
          <w:sz w:val="18"/>
          <w:szCs w:val="18"/>
          <w:b w:val="1"/>
          <w:bCs w:val="1"/>
          <w:color w:val="auto"/>
        </w:rPr>
        <w:t>with</w:t>
      </w:r>
      <w:r>
        <w:rPr>
          <w:rFonts w:ascii="Arial" w:cs="Arial" w:eastAsia="Arial" w:hAnsi="Arial"/>
          <w:sz w:val="18"/>
          <w:szCs w:val="18"/>
          <w:color w:val="auto"/>
        </w:rPr>
        <w:t xml:space="preserve"> any updated details last notified by the party to the sender by notice given in accordance with this clause;</w:t>
      </w:r>
    </w:p>
    <w:p>
      <w:pPr>
        <w:spacing w:after="0" w:line="149" w:lineRule="exact"/>
        <w:rPr>
          <w:sz w:val="20"/>
          <w:szCs w:val="20"/>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must be signed:</w:t>
      </w:r>
    </w:p>
    <w:p>
      <w:pPr>
        <w:spacing w:after="0" w:line="171" w:lineRule="exact"/>
        <w:rPr>
          <w:rFonts w:ascii="Arial" w:cs="Arial" w:eastAsia="Arial" w:hAnsi="Arial"/>
          <w:sz w:val="18"/>
          <w:szCs w:val="18"/>
          <w:color w:val="auto"/>
        </w:rPr>
      </w:pPr>
    </w:p>
    <w:p>
      <w:pPr>
        <w:ind w:left="1880" w:right="20" w:hanging="630"/>
        <w:spacing w:after="0" w:line="246" w:lineRule="auto"/>
        <w:tabs>
          <w:tab w:leader="none" w:pos="18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the case of a corporation registered in Australia, by any authorized representative or by the appropriate office holders of that corporation under section 127 of the Corporations Act; or</w:t>
      </w:r>
    </w:p>
    <w:p>
      <w:pPr>
        <w:spacing w:after="0" w:line="156" w:lineRule="exact"/>
        <w:rPr>
          <w:rFonts w:ascii="Arial" w:cs="Arial" w:eastAsia="Arial" w:hAnsi="Arial"/>
          <w:sz w:val="18"/>
          <w:szCs w:val="18"/>
          <w:color w:val="auto"/>
        </w:rPr>
      </w:pPr>
    </w:p>
    <w:p>
      <w:pPr>
        <w:ind w:left="1880" w:right="20" w:hanging="630"/>
        <w:spacing w:after="0" w:line="246" w:lineRule="auto"/>
        <w:tabs>
          <w:tab w:leader="none" w:pos="18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the case of a corporation registered outside of Australia, by a person duly authorized by the sender in accordance with the laws governing the place of registration of that corporation; and</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is deemed to be given by the sender and received by the addressee:</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delivered in person, when delivered to the addressee;</w:t>
      </w:r>
    </w:p>
    <w:p>
      <w:pPr>
        <w:spacing w:after="0" w:line="171" w:lineRule="exact"/>
        <w:rPr>
          <w:rFonts w:ascii="Arial" w:cs="Arial" w:eastAsia="Arial" w:hAnsi="Arial"/>
          <w:sz w:val="18"/>
          <w:szCs w:val="18"/>
          <w:color w:val="auto"/>
        </w:rPr>
      </w:pPr>
    </w:p>
    <w:p>
      <w:pPr>
        <w:ind w:left="1880" w:hanging="630"/>
        <w:spacing w:after="0" w:line="246" w:lineRule="auto"/>
        <w:tabs>
          <w:tab w:leader="none" w:pos="18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posted, at 9.00 am on the fourth Business Day after the date of posting to the addressee whether delivered or not; or</w:t>
      </w:r>
    </w:p>
    <w:p>
      <w:pPr>
        <w:spacing w:after="0" w:line="156" w:lineRule="exact"/>
        <w:rPr>
          <w:sz w:val="20"/>
          <w:szCs w:val="20"/>
          <w:color w:val="auto"/>
        </w:rPr>
      </w:pPr>
    </w:p>
    <w:p>
      <w:pPr>
        <w:ind w:left="1860" w:right="1440" w:hanging="4"/>
        <w:spacing w:after="0" w:line="246" w:lineRule="auto"/>
        <w:rPr>
          <w:sz w:val="20"/>
          <w:szCs w:val="20"/>
          <w:color w:val="auto"/>
        </w:rPr>
      </w:pPr>
      <w:r>
        <w:rPr>
          <w:rFonts w:ascii="Arial" w:cs="Arial" w:eastAsia="Arial" w:hAnsi="Arial"/>
          <w:sz w:val="18"/>
          <w:szCs w:val="18"/>
          <w:color w:val="auto"/>
        </w:rPr>
        <w:t>but if the delivery or receipt is on a day which is not a Business Day or is after 4.00 pm (addressee's time), it is deemed to have been received at 9.00 am on the next Business Day.</w:t>
      </w:r>
    </w:p>
    <w:p>
      <w:pPr>
        <w:spacing w:after="0" w:line="134" w:lineRule="exact"/>
        <w:rPr>
          <w:sz w:val="20"/>
          <w:szCs w:val="20"/>
          <w:color w:val="auto"/>
        </w:rPr>
      </w:pPr>
    </w:p>
    <w:p>
      <w:pPr>
        <w:ind w:left="620" w:hanging="612"/>
        <w:spacing w:after="0"/>
        <w:tabs>
          <w:tab w:leader="none" w:pos="6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Entire understanding</w:t>
      </w:r>
    </w:p>
    <w:p>
      <w:pPr>
        <w:spacing w:after="0" w:line="193" w:lineRule="exact"/>
        <w:rPr>
          <w:sz w:val="20"/>
          <w:szCs w:val="20"/>
          <w:color w:val="auto"/>
        </w:rPr>
      </w:pPr>
    </w:p>
    <w:p>
      <w:pPr>
        <w:ind w:left="1260" w:right="20" w:hanging="631"/>
        <w:spacing w:after="0" w:line="246" w:lineRule="auto"/>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Deed contains the entire understanding between the parties concerning the subject matter of this Deed and supersedes, terminates and replaces all prior agreements and communications between the parties concerning that subject matter.</w:t>
      </w:r>
    </w:p>
    <w:p>
      <w:pPr>
        <w:spacing w:after="0" w:line="156"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terms, warranties and conditions implied or imposed by statute or general law are excluded from this Deed, except any term, warranty or condition the exclusion of which would:</w:t>
      </w:r>
    </w:p>
    <w:p>
      <w:pPr>
        <w:spacing w:after="0" w:line="156" w:lineRule="exact"/>
        <w:rPr>
          <w:rFonts w:ascii="Arial" w:cs="Arial" w:eastAsia="Arial" w:hAnsi="Arial"/>
          <w:sz w:val="18"/>
          <w:szCs w:val="18"/>
          <w:color w:val="auto"/>
        </w:rPr>
      </w:pPr>
    </w:p>
    <w:p>
      <w:pPr>
        <w:ind w:left="1880" w:hanging="630"/>
        <w:spacing w:after="0"/>
        <w:tabs>
          <w:tab w:leader="none" w:pos="18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contravene the statute or general law which implied or imposed it; or</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cause this clause to be void.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party acknowledges that, except as expressly stated in this Deed, it has not relied on any representation, warranty, undertaking or statement made by or on behalf of another party in relation to this Deed or its subject matter.</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No adverse construction</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No provision of this Deed is to be construed to the disadvantage of a party solely because that party was responsible for preparing or proposing this Deed or the provision.</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No waiver</w:t>
      </w:r>
    </w:p>
    <w:p>
      <w:pPr>
        <w:spacing w:after="0" w:line="193" w:lineRule="exact"/>
        <w:rPr>
          <w:sz w:val="20"/>
          <w:szCs w:val="20"/>
          <w:color w:val="auto"/>
        </w:rPr>
      </w:pPr>
    </w:p>
    <w:p>
      <w:pPr>
        <w:ind w:left="1260" w:hanging="631"/>
        <w:spacing w:after="0" w:line="246" w:lineRule="auto"/>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failure to exercise, a delay in exercising or partially exercising any power, right or remedy conferred on a party by or in respect of this Deed does not operate as a waiver by that party of the power, right or remedy.</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48" w:name="page149"/>
    <w:bookmarkEnd w:id="148"/>
    <w:p>
      <w:pPr>
        <w:ind w:left="1260" w:hanging="631"/>
        <w:spacing w:after="0" w:line="246" w:lineRule="auto"/>
        <w:tabs>
          <w:tab w:leader="none" w:pos="1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single or partial exercise of any power, right or remedy does not preclude a further exercise of it or the exercise of any other power, right or remedy.</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waiver of a breach does not operate as a waiver of any other breach.</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Remedies cumulative</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Except as set out in this Deed, the powers, rights and remedies under this Deed are cumulative with and not exclusive of any powers, rights and remedies provided by law independently of this Deed.</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Severability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provision of this Deed which is invalid in any jurisdiction must, in relation to that jurisdiction, be:</w:t>
      </w:r>
    </w:p>
    <w:p>
      <w:pPr>
        <w:spacing w:after="0" w:line="171" w:lineRule="exact"/>
        <w:rPr>
          <w:sz w:val="20"/>
          <w:szCs w:val="20"/>
          <w:color w:val="auto"/>
        </w:rPr>
      </w:pPr>
    </w:p>
    <w:p>
      <w:pPr>
        <w:ind w:left="1260" w:hanging="631"/>
        <w:spacing w:after="0"/>
        <w:tabs>
          <w:tab w:leader="none" w:pos="1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read down to the minimum extent necessary to achieve its validity, if applicable;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severed from this Deed in any other case,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without invalidating or affecting the remaining provisions of this Deed or the validity of that provision in any other jurisdiction.</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Consents and approvals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provides otherwise, where anything depends on the consent or approval of a party, then that consent or approval may be given conditionally, unconditionally or withheld, in the absolute discretion of that party.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No variation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Deed cannot be amended or varied except in writing signed by the parties.</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b w:val="1"/>
          <w:bCs w:val="1"/>
          <w:color w:val="auto"/>
        </w:rPr>
        <w:t>Assignment</w:t>
      </w:r>
    </w:p>
    <w:p>
      <w:pPr>
        <w:spacing w:after="0" w:line="19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Except to a designated beneficiary upon Dr Perry's death or by will or the laws of descent and distribution, Dr Perry may not without prior written approval of the Board sell, assign, transfer or otherwise deal with, or grant a Security Interest over, an Option granted to Dr Perry.</w:t>
      </w:r>
    </w:p>
    <w:p>
      <w:pPr>
        <w:spacing w:after="0" w:line="162"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Except to a designated beneficiary upon Dr Perry's death or by will or the laws of descent and distribution, the Option lapses immediately on purported sale, assignment transfer, dealing or the grant of Security Interest, unless the Board in its absolute discretion approves the dealing, or the transfer or transmission is effected by force of law on death or legal incapacity to Dr Perry's legal personal representative.</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color w:val="auto"/>
        </w:rPr>
        <w:t>Execution and delivery</w:t>
      </w:r>
    </w:p>
    <w:p>
      <w:pPr>
        <w:spacing w:after="0" w:line="193" w:lineRule="exact"/>
        <w:rPr>
          <w:sz w:val="20"/>
          <w:szCs w:val="20"/>
          <w:color w:val="auto"/>
        </w:rPr>
      </w:pPr>
    </w:p>
    <w:p>
      <w:pPr>
        <w:ind w:left="1260" w:hanging="631"/>
        <w:spacing w:after="0"/>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By executing this Deed, a party intends:</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be immediately bound by this Deed; and</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for such execution to constitute delivery of this Deed to each other party.</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Nothing in this clause 7.9 should be taken to exclude any statutory or common law principle applicable to the proper execution and delivery of a deed.</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clause 7.9 supersedes, terminates and replaces any prior agreements and communications between the parties which indicate that the agreements recorded in this Deed are “subject to contract” or similar arrangements .</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9" w:name="page150"/>
    <w:bookmarkEnd w:id="149"/>
    <w:p>
      <w:pPr>
        <w:spacing w:after="0"/>
        <w:tabs>
          <w:tab w:leader="none" w:pos="60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7"/>
          <w:szCs w:val="17"/>
          <w:b w:val="1"/>
          <w:bCs w:val="1"/>
          <w:color w:val="auto"/>
        </w:rPr>
        <w:t>Conflicting provisions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If there is any conflict between the main body of this Deed and any schedules or annexures comprising it, then the provisions of the schedules and annexures of this Deed prevail.</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7.11</w:t>
        <w:tab/>
        <w:t>No right of set-off</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a party has no right of set-off against a payment due to another party under this Deed.</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7"/>
          <w:szCs w:val="17"/>
          <w:b w:val="1"/>
          <w:bCs w:val="1"/>
          <w:color w:val="auto"/>
        </w:rPr>
        <w:t>Relationship of parties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nothing in this Deed may be construed as creating a relationship of partnership, of principal and agent or of trustee and beneficiary.</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7.13</w:t>
        <w:tab/>
        <w:t>Counterparts</w:t>
      </w:r>
    </w:p>
    <w:p>
      <w:pPr>
        <w:spacing w:after="0" w:line="19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If this Deed consists of a number of signed counterparts, each is an original and all of the counterparts together constitute the same document. A party may sign a counterpart by executing a signature page and electronically transmitting a copy of the signed page to each other party or their authorized representative.</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7.14</w:t>
        <w:tab/>
        <w:t>Section 409A of the Code</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The Company makes no representation or warranty regarding the proper treatment of the Options issued under this Deed or Shares issued on exercise of the Options for purposes of Code Section 409A. Notwithstanding the foregoing, in no event shall the Company be liable for all or any portion of any taxes, penalties, interest or other expenses that may be incurred by Or. Perry on account of non-compliance with Section 409A.</w:t>
      </w:r>
    </w:p>
    <w:p>
      <w:pPr>
        <w:spacing w:after="0" w:line="1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7.15</w:t>
        <w:tab/>
        <w:t>Governing law and jurisdiction</w:t>
      </w:r>
    </w:p>
    <w:p>
      <w:pPr>
        <w:spacing w:after="0" w:line="193" w:lineRule="exact"/>
        <w:rPr>
          <w:sz w:val="20"/>
          <w:szCs w:val="20"/>
          <w:color w:val="auto"/>
        </w:rPr>
      </w:pPr>
    </w:p>
    <w:p>
      <w:pPr>
        <w:ind w:left="1260" w:hanging="631"/>
        <w:spacing w:after="0"/>
        <w:tabs>
          <w:tab w:leader="none" w:pos="12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This Deed is governed by and must be construed in accordance with the laws of the State of Victoria, Australia.</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parties submit to the exclusive jurisdiction of the courts of that State and the Commonwealth of Australia in respect of all matters arising out of or relating to this Deed, its performance or subject matter.</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party waives any rights to:</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object to the venue of any proceedings; or</w:t>
      </w:r>
    </w:p>
    <w:p>
      <w:pPr>
        <w:spacing w:after="0" w:line="171" w:lineRule="exact"/>
        <w:rPr>
          <w:rFonts w:ascii="Arial" w:cs="Arial" w:eastAsia="Arial" w:hAnsi="Arial"/>
          <w:sz w:val="18"/>
          <w:szCs w:val="18"/>
          <w:color w:val="auto"/>
        </w:rPr>
      </w:pPr>
    </w:p>
    <w:p>
      <w:pPr>
        <w:ind w:left="1880" w:hanging="630"/>
        <w:spacing w:after="0" w:line="246" w:lineRule="auto"/>
        <w:tabs>
          <w:tab w:leader="none" w:pos="18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claim that the proceedings have been brought in an inconvenient forum or that the courts of another place are a more convenient forum,</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proceedings have been brought in a court referred to in clause 7.15(b).</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tc>
        <w:tc>
          <w:tcPr>
            <w:tcW w:w="4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 xml:space="preserve">Signed, Sealed and Delivered </w:t>
            </w:r>
            <w:r>
              <w:rPr>
                <w:rFonts w:ascii="Arial" w:cs="Arial" w:eastAsia="Arial" w:hAnsi="Arial"/>
                <w:sz w:val="18"/>
                <w:szCs w:val="18"/>
                <w:color w:val="auto"/>
              </w:rPr>
              <w:t>by</w:t>
            </w:r>
            <w:r>
              <w:rPr>
                <w:rFonts w:ascii="Arial" w:cs="Arial" w:eastAsia="Arial" w:hAnsi="Arial"/>
                <w:sz w:val="18"/>
                <w:szCs w:val="18"/>
                <w:b w:val="1"/>
                <w:bCs w:val="1"/>
                <w:color w:val="auto"/>
              </w:rPr>
              <w:t xml:space="preserve"> Dr Michael</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 Soto</w:t>
            </w:r>
          </w:p>
        </w:tc>
      </w:tr>
      <w:tr>
        <w:trPr>
          <w:trHeight w:val="219"/>
        </w:trPr>
        <w:tc>
          <w:tcPr>
            <w:tcW w:w="5620" w:type="dxa"/>
            <w:vAlign w:val="bottom"/>
          </w:tcPr>
          <w:p>
            <w:pPr>
              <w:spacing w:after="0"/>
              <w:rPr>
                <w:sz w:val="20"/>
                <w:szCs w:val="20"/>
                <w:color w:val="auto"/>
              </w:rPr>
            </w:pPr>
            <w:r>
              <w:rPr>
                <w:rFonts w:ascii="Arial" w:cs="Arial" w:eastAsia="Arial" w:hAnsi="Arial"/>
                <w:sz w:val="18"/>
                <w:szCs w:val="18"/>
                <w:b w:val="1"/>
                <w:bCs w:val="1"/>
                <w:color w:val="auto"/>
              </w:rPr>
              <w:t xml:space="preserve">Perry </w:t>
            </w:r>
            <w:r>
              <w:rPr>
                <w:rFonts w:ascii="Arial" w:cs="Arial" w:eastAsia="Arial" w:hAnsi="Arial"/>
                <w:sz w:val="18"/>
                <w:szCs w:val="18"/>
                <w:color w:val="auto"/>
              </w:rPr>
              <w:t>in the presence of:</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5180" w:type="dxa"/>
            <w:vAlign w:val="bottom"/>
          </w:tcPr>
          <w:p>
            <w:pPr>
              <w:jc w:val="center"/>
              <w:spacing w:after="0"/>
              <w:rPr>
                <w:sz w:val="20"/>
                <w:szCs w:val="20"/>
                <w:color w:val="auto"/>
              </w:rPr>
            </w:pPr>
            <w:r>
              <w:rPr>
                <w:rFonts w:ascii="Arial" w:cs="Arial" w:eastAsia="Arial" w:hAnsi="Arial"/>
                <w:sz w:val="18"/>
                <w:szCs w:val="18"/>
                <w:color w:val="auto"/>
              </w:rPr>
              <w:t>Signature</w:t>
            </w:r>
          </w:p>
        </w:tc>
      </w:tr>
      <w:tr>
        <w:trPr>
          <w:trHeight w:val="63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Donna Perry</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0"/>
        </w:trPr>
        <w:tc>
          <w:tcPr>
            <w:tcW w:w="5620" w:type="dxa"/>
            <w:vAlign w:val="bottom"/>
          </w:tcPr>
          <w:p>
            <w:pPr>
              <w:jc w:val="center"/>
              <w:spacing w:after="0"/>
              <w:rPr>
                <w:sz w:val="20"/>
                <w:szCs w:val="20"/>
                <w:color w:val="auto"/>
              </w:rPr>
            </w:pPr>
            <w:r>
              <w:rPr>
                <w:rFonts w:ascii="Arial" w:cs="Arial" w:eastAsia="Arial" w:hAnsi="Arial"/>
                <w:sz w:val="18"/>
                <w:szCs w:val="18"/>
                <w:color w:val="auto"/>
                <w:w w:val="99"/>
              </w:rPr>
              <w:t>Signature of Witness</w:t>
            </w:r>
          </w:p>
        </w:tc>
        <w:tc>
          <w:tcPr>
            <w:tcW w:w="4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647"/>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DONNA PERRY</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0"/>
        </w:trPr>
        <w:tc>
          <w:tcPr>
            <w:tcW w:w="5620" w:type="dxa"/>
            <w:vAlign w:val="bottom"/>
          </w:tcPr>
          <w:p>
            <w:pPr>
              <w:jc w:val="center"/>
              <w:spacing w:after="0"/>
              <w:rPr>
                <w:sz w:val="20"/>
                <w:szCs w:val="20"/>
                <w:color w:val="auto"/>
              </w:rPr>
            </w:pPr>
            <w:r>
              <w:rPr>
                <w:rFonts w:ascii="Arial" w:cs="Arial" w:eastAsia="Arial" w:hAnsi="Arial"/>
                <w:sz w:val="18"/>
                <w:szCs w:val="18"/>
                <w:color w:val="auto"/>
              </w:rPr>
              <w:t>Name of Witness (please print)</w:t>
            </w:r>
          </w:p>
        </w:tc>
        <w:tc>
          <w:tcPr>
            <w:tcW w:w="4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633"/>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Avita Medical Limited ACN 058 466 523 </w:t>
            </w:r>
            <w:r>
              <w:rPr>
                <w:rFonts w:ascii="Arial" w:cs="Arial" w:eastAsia="Arial" w:hAnsi="Arial"/>
                <w:sz w:val="18"/>
                <w:szCs w:val="18"/>
                <w:color w:val="auto"/>
              </w:rPr>
              <w:t>in accordance</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with section 127(1) of the Corporations Act 2001 (Cth):</w:t>
            </w:r>
          </w:p>
        </w:tc>
        <w:tc>
          <w:tcPr>
            <w:tcW w:w="4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63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Lou Panaccio</w:t>
            </w: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Crowe</w:t>
            </w:r>
          </w:p>
        </w:tc>
      </w:tr>
      <w:tr>
        <w:trPr>
          <w:trHeight w:val="209"/>
        </w:trPr>
        <w:tc>
          <w:tcPr>
            <w:tcW w:w="5620" w:type="dxa"/>
            <w:vAlign w:val="bottom"/>
          </w:tcPr>
          <w:p>
            <w:pPr>
              <w:jc w:val="center"/>
              <w:spacing w:after="0"/>
              <w:rPr>
                <w:sz w:val="20"/>
                <w:szCs w:val="20"/>
                <w:color w:val="auto"/>
              </w:rPr>
            </w:pPr>
            <w:r>
              <w:rPr>
                <w:rFonts w:ascii="Arial" w:cs="Arial" w:eastAsia="Arial" w:hAnsi="Arial"/>
                <w:sz w:val="18"/>
                <w:szCs w:val="18"/>
                <w:color w:val="auto"/>
                <w:w w:val="99"/>
              </w:rPr>
              <w:t>Signature of director</w:t>
            </w:r>
          </w:p>
        </w:tc>
        <w:tc>
          <w:tcPr>
            <w:tcW w:w="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Signature of director or company secretary*</w:t>
            </w:r>
          </w:p>
        </w:tc>
      </w:tr>
      <w:tr>
        <w:trPr>
          <w:trHeight w:val="217"/>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*delete whichever does not apply</w:t>
            </w:r>
          </w:p>
        </w:tc>
      </w:tr>
      <w:tr>
        <w:trPr>
          <w:trHeight w:val="864"/>
        </w:trPr>
        <w:tc>
          <w:tcPr>
            <w:tcW w:w="5620" w:type="dxa"/>
            <w:vAlign w:val="bottom"/>
          </w:tcPr>
          <w:p>
            <w:pPr>
              <w:jc w:val="center"/>
              <w:spacing w:after="0"/>
              <w:rPr>
                <w:sz w:val="20"/>
                <w:szCs w:val="20"/>
                <w:color w:val="auto"/>
              </w:rPr>
            </w:pPr>
            <w:r>
              <w:rPr>
                <w:rFonts w:ascii="Arial" w:cs="Arial" w:eastAsia="Arial" w:hAnsi="Arial"/>
                <w:sz w:val="18"/>
                <w:szCs w:val="18"/>
                <w:color w:val="auto"/>
                <w:w w:val="99"/>
              </w:rPr>
              <w:t>Lou Panaccio. Chairman of the Board</w:t>
            </w: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SUZANNE CROWE</w:t>
            </w:r>
          </w:p>
        </w:tc>
      </w:tr>
      <w:tr>
        <w:trPr>
          <w:trHeight w:val="210"/>
        </w:trPr>
        <w:tc>
          <w:tcPr>
            <w:tcW w:w="5620" w:type="dxa"/>
            <w:vAlign w:val="bottom"/>
          </w:tcPr>
          <w:p>
            <w:pPr>
              <w:jc w:val="center"/>
              <w:spacing w:after="0"/>
              <w:rPr>
                <w:sz w:val="20"/>
                <w:szCs w:val="20"/>
                <w:color w:val="auto"/>
              </w:rPr>
            </w:pPr>
            <w:r>
              <w:rPr>
                <w:rFonts w:ascii="Arial" w:cs="Arial" w:eastAsia="Arial" w:hAnsi="Arial"/>
                <w:sz w:val="18"/>
                <w:szCs w:val="18"/>
                <w:color w:val="auto"/>
                <w:w w:val="99"/>
              </w:rPr>
              <w:t>Name (please print)</w:t>
            </w:r>
          </w:p>
        </w:tc>
        <w:tc>
          <w:tcPr>
            <w:tcW w:w="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Name (please print)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Schedule 1 — Terms and Conditions of the Options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Each Option entitles the holder (</w:t>
      </w:r>
      <w:r>
        <w:rPr>
          <w:rFonts w:ascii="Arial" w:cs="Arial" w:eastAsia="Arial" w:hAnsi="Arial"/>
          <w:sz w:val="18"/>
          <w:szCs w:val="18"/>
          <w:b w:val="1"/>
          <w:bCs w:val="1"/>
          <w:color w:val="auto"/>
        </w:rPr>
        <w:t>Option Holder</w:t>
      </w:r>
      <w:r>
        <w:rPr>
          <w:rFonts w:ascii="Arial" w:cs="Arial" w:eastAsia="Arial" w:hAnsi="Arial"/>
          <w:sz w:val="18"/>
          <w:szCs w:val="18"/>
          <w:color w:val="auto"/>
        </w:rPr>
        <w:t xml:space="preserve">) to subscribe for and be issued one fully paid ordinary share </w:t>
      </w:r>
      <w:r>
        <w:rPr>
          <w:rFonts w:ascii="Arial" w:cs="Arial" w:eastAsia="Arial" w:hAnsi="Arial"/>
          <w:sz w:val="18"/>
          <w:szCs w:val="18"/>
          <w:b w:val="1"/>
          <w:bCs w:val="1"/>
          <w:color w:val="auto"/>
        </w:rPr>
        <w:t>(Share)</w:t>
      </w:r>
      <w:r>
        <w:rPr>
          <w:rFonts w:ascii="Arial" w:cs="Arial" w:eastAsia="Arial" w:hAnsi="Arial"/>
          <w:sz w:val="18"/>
          <w:szCs w:val="18"/>
          <w:color w:val="auto"/>
        </w:rPr>
        <w:t xml:space="preserve"> in </w:t>
      </w:r>
      <w:r>
        <w:rPr>
          <w:rFonts w:ascii="Arial" w:cs="Arial" w:eastAsia="Arial" w:hAnsi="Arial"/>
          <w:sz w:val="18"/>
          <w:szCs w:val="18"/>
          <w:b w:val="1"/>
          <w:bCs w:val="1"/>
          <w:color w:val="auto"/>
        </w:rPr>
        <w:t>Avita Medical</w:t>
      </w:r>
      <w:r>
        <w:rPr>
          <w:rFonts w:ascii="Arial" w:cs="Arial" w:eastAsia="Arial" w:hAnsi="Arial"/>
          <w:sz w:val="18"/>
          <w:szCs w:val="18"/>
          <w:color w:val="auto"/>
        </w:rPr>
        <w:t xml:space="preserve"> Ltd ACN </w:t>
      </w:r>
      <w:r>
        <w:rPr>
          <w:rFonts w:ascii="Arial" w:cs="Arial" w:eastAsia="Arial" w:hAnsi="Arial"/>
          <w:sz w:val="18"/>
          <w:szCs w:val="18"/>
          <w:b w:val="1"/>
          <w:bCs w:val="1"/>
          <w:color w:val="auto"/>
        </w:rPr>
        <w:t>058 466 523 (Company)</w:t>
      </w:r>
      <w:r>
        <w:rPr>
          <w:rFonts w:ascii="Arial" w:cs="Arial" w:eastAsia="Arial" w:hAnsi="Arial"/>
          <w:sz w:val="18"/>
          <w:szCs w:val="18"/>
          <w:color w:val="auto"/>
        </w:rPr>
        <w:t xml:space="preserve"> on terms including the following:</w:t>
      </w:r>
    </w:p>
    <w:p>
      <w:pPr>
        <w:spacing w:after="0" w:line="127" w:lineRule="exact"/>
        <w:rPr>
          <w:sz w:val="20"/>
          <w:szCs w:val="20"/>
          <w:color w:val="auto"/>
        </w:rPr>
      </w:pPr>
    </w:p>
    <w:p>
      <w:pPr>
        <w:jc w:val="both"/>
        <w:ind w:left="580" w:hanging="572"/>
        <w:spacing w:after="0" w:line="253" w:lineRule="auto"/>
        <w:tabs>
          <w:tab w:leader="none" w:pos="5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Subject to clauses 2 and 3 of this Schedule and any restrictions imposed by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xml:space="preserve"> each Option is exercisable at any time after the date on which the relevant Option has vested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up and until the expiry date being 30 November 2028 </w:t>
      </w:r>
      <w:r>
        <w:rPr>
          <w:rFonts w:ascii="Arial" w:cs="Arial" w:eastAsia="Arial" w:hAnsi="Arial"/>
          <w:sz w:val="18"/>
          <w:szCs w:val="18"/>
          <w:b w:val="1"/>
          <w:bCs w:val="1"/>
          <w:color w:val="auto"/>
        </w:rPr>
        <w:t>(Expiry Date).</w:t>
      </w:r>
      <w:r>
        <w:rPr>
          <w:rFonts w:ascii="Arial" w:cs="Arial" w:eastAsia="Arial" w:hAnsi="Arial"/>
          <w:sz w:val="18"/>
          <w:szCs w:val="18"/>
          <w:color w:val="auto"/>
        </w:rPr>
        <w:t xml:space="preserve"> Any Options not exercised by the Expiry Date will automatically lapse on the Expiry Date.</w:t>
      </w:r>
    </w:p>
    <w:p>
      <w:pPr>
        <w:spacing w:after="0" w:line="150" w:lineRule="exact"/>
        <w:rPr>
          <w:rFonts w:ascii="Arial" w:cs="Arial" w:eastAsia="Arial" w:hAnsi="Arial"/>
          <w:sz w:val="18"/>
          <w:szCs w:val="18"/>
          <w:color w:val="auto"/>
        </w:rPr>
      </w:pPr>
    </w:p>
    <w:p>
      <w:pPr>
        <w:ind w:left="580" w:right="20" w:hanging="572"/>
        <w:spacing w:after="0" w:line="246" w:lineRule="auto"/>
        <w:tabs>
          <w:tab w:leader="none" w:pos="5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aggregate of 15,000,000 Options is subject to vesting conditions based on tenure of Dr Perry, (ii) the Company's Share Price and (iii) milestone performance by the Company as follows:</w:t>
      </w:r>
    </w:p>
    <w:p>
      <w:pPr>
        <w:spacing w:after="0" w:line="138" w:lineRule="exact"/>
        <w:rPr>
          <w:sz w:val="20"/>
          <w:szCs w:val="20"/>
          <w:color w:val="auto"/>
        </w:rPr>
      </w:pPr>
    </w:p>
    <w:p>
      <w:pPr>
        <w:jc w:val="both"/>
        <w:ind w:left="1160" w:hanging="572"/>
        <w:spacing w:after="0" w:line="250" w:lineRule="auto"/>
        <w:tabs>
          <w:tab w:leader="none" w:pos="1160" w:val="left"/>
        </w:tabs>
        <w:numPr>
          <w:ilvl w:val="1"/>
          <w:numId w:val="1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tranche of 3,333.333 Options, with 1,666,666 which the Company acknowledges have already vested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this deed in accordance with the tenure conditions as specified in the Company's 2018 AGM notice, and 1,666,667 to vest on 1 June 2020;</w:t>
      </w:r>
    </w:p>
    <w:p>
      <w:pPr>
        <w:spacing w:after="0" w:line="136" w:lineRule="exact"/>
        <w:rPr>
          <w:rFonts w:ascii="Arial" w:cs="Arial" w:eastAsia="Arial" w:hAnsi="Arial"/>
          <w:sz w:val="18"/>
          <w:szCs w:val="18"/>
          <w:i w:val="1"/>
          <w:iCs w:val="1"/>
          <w:color w:val="auto"/>
        </w:rPr>
      </w:pPr>
    </w:p>
    <w:p>
      <w:pPr>
        <w:jc w:val="both"/>
        <w:ind w:left="1160" w:hanging="572"/>
        <w:spacing w:after="0" w:line="250" w:lineRule="auto"/>
        <w:tabs>
          <w:tab w:leader="none" w:pos="1160" w:val="left"/>
        </w:tabs>
        <w:numPr>
          <w:ilvl w:val="1"/>
          <w:numId w:val="1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In aggregate the Company acknowledges that a further 9,166,667 Options have prior to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deed already vested in Dr Perry in accordance with the share price vesting conditions as specified in the Company's 2018 AGM notice;</w:t>
      </w:r>
    </w:p>
    <w:p>
      <w:pPr>
        <w:spacing w:after="0" w:line="136" w:lineRule="exact"/>
        <w:rPr>
          <w:rFonts w:ascii="Arial" w:cs="Arial" w:eastAsia="Arial" w:hAnsi="Arial"/>
          <w:sz w:val="18"/>
          <w:szCs w:val="18"/>
          <w:i w:val="1"/>
          <w:iCs w:val="1"/>
          <w:color w:val="auto"/>
        </w:rPr>
      </w:pPr>
    </w:p>
    <w:p>
      <w:pPr>
        <w:jc w:val="both"/>
        <w:ind w:left="1160" w:hanging="572"/>
        <w:spacing w:after="0" w:line="250" w:lineRule="auto"/>
        <w:tabs>
          <w:tab w:leader="none" w:pos="116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Provided Dr Perry is still employed by the Company, a further tranche of 2,500,000Options to vest</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achievement of the milestones “Initial procurement under the BARDA contract” under CLIN2 of the BARDA contract for 5,614 ReCell devices totaling USD $7,594,620.</w:t>
      </w:r>
    </w:p>
    <w:p>
      <w:pPr>
        <w:spacing w:after="0" w:line="154" w:lineRule="exact"/>
        <w:rPr>
          <w:rFonts w:ascii="Arial" w:cs="Arial" w:eastAsia="Arial" w:hAnsi="Arial"/>
          <w:sz w:val="18"/>
          <w:szCs w:val="18"/>
          <w:color w:val="auto"/>
        </w:rPr>
      </w:pPr>
    </w:p>
    <w:p>
      <w:pPr>
        <w:ind w:left="580" w:hanging="572"/>
        <w:spacing w:after="0" w:line="246" w:lineRule="auto"/>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Options may be exercised for part or all of the Options issued by the Option Holder giving written notice in the form set out below </w:t>
      </w: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to the Company at its registered office prior to the Expiry Date.</w:t>
      </w:r>
    </w:p>
    <w:p>
      <w:pPr>
        <w:spacing w:after="0" w:line="156" w:lineRule="exact"/>
        <w:rPr>
          <w:rFonts w:ascii="Arial" w:cs="Arial" w:eastAsia="Arial" w:hAnsi="Arial"/>
          <w:sz w:val="18"/>
          <w:szCs w:val="18"/>
          <w:color w:val="auto"/>
        </w:rPr>
      </w:pPr>
    </w:p>
    <w:p>
      <w:pPr>
        <w:ind w:left="580" w:hanging="572"/>
        <w:spacing w:after="0" w:line="246" w:lineRule="auto"/>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 xml:space="preserve">On exercise the Company will issue to the holder for each Option exercised one ordinary share in the capital of the Company credited as fully paid. The exercise price per Option is $0.082 per Share </w:t>
      </w:r>
      <w:r>
        <w:rPr>
          <w:rFonts w:ascii="Arial" w:cs="Arial" w:eastAsia="Arial" w:hAnsi="Arial"/>
          <w:sz w:val="18"/>
          <w:szCs w:val="18"/>
          <w:b w:val="1"/>
          <w:bCs w:val="1"/>
          <w:color w:val="auto"/>
        </w:rPr>
        <w:t>(Exercise Price).</w:t>
      </w:r>
    </w:p>
    <w:p>
      <w:pPr>
        <w:spacing w:after="0" w:line="156" w:lineRule="exact"/>
        <w:rPr>
          <w:rFonts w:ascii="Arial" w:cs="Arial" w:eastAsia="Arial" w:hAnsi="Arial"/>
          <w:sz w:val="18"/>
          <w:szCs w:val="18"/>
          <w:b w:val="1"/>
          <w:bCs w:val="1"/>
          <w:color w:val="auto"/>
        </w:rPr>
      </w:pPr>
    </w:p>
    <w:p>
      <w:pPr>
        <w:ind w:left="580" w:hanging="572"/>
        <w:spacing w:after="0" w:line="246" w:lineRule="auto"/>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On receipt by the Company of the Notice of Exercise and payment of the Exercise Price, the Company must, within 3 Business Days and if the Shares are listed on the ASX within the time period prescribed by the Listing Rules of the ASX </w:t>
      </w:r>
      <w:r>
        <w:rPr>
          <w:rFonts w:ascii="Arial" w:cs="Arial" w:eastAsia="Arial" w:hAnsi="Arial"/>
          <w:sz w:val="18"/>
          <w:szCs w:val="18"/>
          <w:b w:val="1"/>
          <w:bCs w:val="1"/>
          <w:color w:val="auto"/>
        </w:rPr>
        <w:t>(ASX</w:t>
      </w:r>
      <w:r>
        <w:rPr>
          <w:rFonts w:ascii="Arial" w:cs="Arial" w:eastAsia="Arial" w:hAnsi="Arial"/>
          <w:sz w:val="18"/>
          <w:szCs w:val="18"/>
          <w:color w:val="auto"/>
        </w:rPr>
        <w:t xml:space="preserve"> Listing Rules):</w:t>
      </w:r>
    </w:p>
    <w:p>
      <w:pPr>
        <w:spacing w:after="0" w:line="156" w:lineRule="exact"/>
        <w:rPr>
          <w:rFonts w:ascii="Arial" w:cs="Arial" w:eastAsia="Arial" w:hAnsi="Arial"/>
          <w:sz w:val="18"/>
          <w:szCs w:val="18"/>
          <w:color w:val="auto"/>
        </w:rPr>
      </w:pPr>
    </w:p>
    <w:p>
      <w:pPr>
        <w:ind w:left="1160" w:hanging="572"/>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allot to the Option Holder one Share in the Company for each Option exercised by the Option Holder;</w:t>
      </w:r>
    </w:p>
    <w:p>
      <w:pPr>
        <w:spacing w:after="0" w:line="171" w:lineRule="exact"/>
        <w:rPr>
          <w:rFonts w:ascii="Arial" w:cs="Arial" w:eastAsia="Arial" w:hAnsi="Arial"/>
          <w:sz w:val="18"/>
          <w:szCs w:val="18"/>
          <w:color w:val="auto"/>
        </w:rPr>
      </w:pPr>
    </w:p>
    <w:p>
      <w:pPr>
        <w:ind w:left="1160" w:hanging="572"/>
        <w:spacing w:after="0" w:line="246" w:lineRule="auto"/>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cause to be dispatched to the Option Holder the relevant acknowledgement of issue, a holding statement or share certificate (as applicable) as soon as is reasonably practicable detailing the issue of the relevant Share/s; and</w:t>
      </w:r>
    </w:p>
    <w:p>
      <w:pPr>
        <w:spacing w:after="0" w:line="156" w:lineRule="exact"/>
        <w:rPr>
          <w:rFonts w:ascii="Arial" w:cs="Arial" w:eastAsia="Arial" w:hAnsi="Arial"/>
          <w:sz w:val="18"/>
          <w:szCs w:val="18"/>
          <w:color w:val="auto"/>
        </w:rPr>
      </w:pPr>
    </w:p>
    <w:p>
      <w:pPr>
        <w:ind w:left="1160" w:hanging="572"/>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issue (if applicable) a new holding statement (or option certificate) for the balance of the Options that remain unexercised.</w:t>
      </w:r>
    </w:p>
    <w:p>
      <w:pPr>
        <w:spacing w:after="0" w:line="171" w:lineRule="exact"/>
        <w:rPr>
          <w:rFonts w:ascii="Arial" w:cs="Arial" w:eastAsia="Arial" w:hAnsi="Arial"/>
          <w:sz w:val="18"/>
          <w:szCs w:val="18"/>
          <w:color w:val="auto"/>
        </w:rPr>
      </w:pPr>
    </w:p>
    <w:p>
      <w:pPr>
        <w:jc w:val="both"/>
        <w:ind w:left="580" w:hanging="572"/>
        <w:spacing w:after="0"/>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Shares allotted on the exercise of Options will rank equally in all respects with the then existing issued ordinary fully paid shares in the capital of the Company (except in respect to any dividends which shall have been declared but not yet distributed before the actual exercise of an Option) and will be subject to the provisions of the Constitution of the Company.</w:t>
      </w:r>
    </w:p>
    <w:p>
      <w:pPr>
        <w:spacing w:after="0" w:line="162" w:lineRule="exact"/>
        <w:rPr>
          <w:rFonts w:ascii="Arial" w:cs="Arial" w:eastAsia="Arial" w:hAnsi="Arial"/>
          <w:sz w:val="18"/>
          <w:szCs w:val="18"/>
          <w:color w:val="auto"/>
        </w:rPr>
      </w:pPr>
    </w:p>
    <w:p>
      <w:pPr>
        <w:ind w:left="580" w:hanging="572"/>
        <w:spacing w:after="0" w:line="246" w:lineRule="auto"/>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any Reorganization (including consolidation, subdivision, reduction, return or cancellation) of the issued capital of the Company occurs before the expiry of any Options, the number of Options to</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2" w:name="page153"/>
    <w:bookmarkEnd w:id="152"/>
    <w:p>
      <w:pPr>
        <w:jc w:val="both"/>
        <w:ind w:left="572"/>
        <w:spacing w:after="0"/>
        <w:rPr>
          <w:sz w:val="20"/>
          <w:szCs w:val="20"/>
          <w:color w:val="auto"/>
        </w:rPr>
      </w:pPr>
      <w:r>
        <w:rPr>
          <w:rFonts w:ascii="Arial" w:cs="Arial" w:eastAsia="Arial" w:hAnsi="Arial"/>
          <w:sz w:val="18"/>
          <w:szCs w:val="18"/>
          <w:color w:val="auto"/>
        </w:rPr>
        <w:t>which each Option Holder is entitled or the Exercise Price of his or her Options or both must be reorganized in accordance with the ASX Listing Rules applying to a Reorganization at the time of the Reorganization (which adjustment formula will apply even where the Company is not admitted to the ASX Official List).</w:t>
      </w:r>
    </w:p>
    <w:p>
      <w:pPr>
        <w:spacing w:after="0" w:line="140" w:lineRule="exact"/>
        <w:rPr>
          <w:sz w:val="20"/>
          <w:szCs w:val="20"/>
          <w:color w:val="auto"/>
        </w:rPr>
      </w:pPr>
    </w:p>
    <w:p>
      <w:pPr>
        <w:jc w:val="both"/>
        <w:ind w:left="572" w:hanging="572"/>
        <w:spacing w:after="0" w:line="244" w:lineRule="auto"/>
        <w:tabs>
          <w:tab w:leader="none" w:pos="5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An Option does not confer the right to participate in new issues of capital offered to holders of Shares </w:t>
      </w:r>
      <w:r>
        <w:rPr>
          <w:rFonts w:ascii="Arial" w:cs="Arial" w:eastAsia="Arial" w:hAnsi="Arial"/>
          <w:sz w:val="18"/>
          <w:szCs w:val="18"/>
          <w:b w:val="1"/>
          <w:bCs w:val="1"/>
          <w:color w:val="auto"/>
        </w:rPr>
        <w:t>(Rights Entitlement)</w:t>
      </w:r>
      <w:r>
        <w:rPr>
          <w:rFonts w:ascii="Arial" w:cs="Arial" w:eastAsia="Arial" w:hAnsi="Arial"/>
          <w:sz w:val="18"/>
          <w:szCs w:val="18"/>
          <w:color w:val="auto"/>
        </w:rPr>
        <w:t xml:space="preserve"> during the currency of the Options without exercising the Options. However, the Company will ensure that for the purpose of determining Rights Entitlements to any such issue, the Option Holder is to receive at least 10 Business Days written notice from the Company of the pending closing or record date and sufficient time for the Option Holder to exercise the Options prior to that closing or record date in order to qualify for the participation in the Rights Entitlement.</w:t>
      </w:r>
    </w:p>
    <w:p>
      <w:pPr>
        <w:spacing w:after="0" w:line="157" w:lineRule="exact"/>
        <w:rPr>
          <w:rFonts w:ascii="Arial" w:cs="Arial" w:eastAsia="Arial" w:hAnsi="Arial"/>
          <w:sz w:val="18"/>
          <w:szCs w:val="18"/>
          <w:color w:val="auto"/>
        </w:rPr>
      </w:pPr>
    </w:p>
    <w:p>
      <w:pPr>
        <w:jc w:val="both"/>
        <w:ind w:left="572" w:hanging="572"/>
        <w:spacing w:after="0" w:line="238" w:lineRule="auto"/>
        <w:tabs>
          <w:tab w:leader="none" w:pos="5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If the Shares are listed for quotation on the ASX, the Company will apply to the ASX for, and will use its best endeavours to obtain, quotation or listing of all Shares allotted on the exercise of any Options within 10 Business Days (as defined in the Listing Rules of the ASX) of allotment. In the event that the Company undergoes a reorganization that results in the conversion of Shares quoted on the ASX into shares quoted on another exchange, then the Company will apply to the relevant exchange and </w:t>
      </w:r>
      <w:r>
        <w:rPr>
          <w:rFonts w:ascii="Arial" w:cs="Arial" w:eastAsia="Arial" w:hAnsi="Arial"/>
          <w:sz w:val="18"/>
          <w:szCs w:val="18"/>
          <w:i w:val="1"/>
          <w:iCs w:val="1"/>
          <w:color w:val="auto"/>
        </w:rPr>
        <w:t>for</w:t>
      </w:r>
      <w:r>
        <w:rPr>
          <w:rFonts w:ascii="Arial" w:cs="Arial" w:eastAsia="Arial" w:hAnsi="Arial"/>
          <w:sz w:val="18"/>
          <w:szCs w:val="18"/>
          <w:color w:val="auto"/>
        </w:rPr>
        <w:t xml:space="preserve"> securities regulator as required for those converted shares related to the Option shares to be quoted.</w:t>
      </w:r>
    </w:p>
    <w:p>
      <w:pPr>
        <w:spacing w:after="0" w:line="161" w:lineRule="exact"/>
        <w:rPr>
          <w:rFonts w:ascii="Arial" w:cs="Arial" w:eastAsia="Arial" w:hAnsi="Arial"/>
          <w:sz w:val="18"/>
          <w:szCs w:val="18"/>
          <w:color w:val="auto"/>
        </w:rPr>
      </w:pPr>
    </w:p>
    <w:p>
      <w:pPr>
        <w:ind w:left="572" w:hanging="572"/>
        <w:spacing w:after="0"/>
        <w:tabs>
          <w:tab w:leader="none" w:pos="5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event of the Liquidation of the Company, all unexercised Options will lapse upon the occurrence of that Liquidation.</w:t>
      </w:r>
    </w:p>
    <w:p>
      <w:pPr>
        <w:spacing w:after="0" w:line="171" w:lineRule="exact"/>
        <w:rPr>
          <w:rFonts w:ascii="Arial" w:cs="Arial" w:eastAsia="Arial" w:hAnsi="Arial"/>
          <w:sz w:val="18"/>
          <w:szCs w:val="18"/>
          <w:color w:val="auto"/>
        </w:rPr>
      </w:pPr>
    </w:p>
    <w:p>
      <w:pPr>
        <w:ind w:left="572" w:hanging="572"/>
        <w:spacing w:after="0"/>
        <w:tabs>
          <w:tab w:leader="none" w:pos="5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Options do not provide any entitlement to dividends paid to ordinary shareholders.</w:t>
      </w:r>
    </w:p>
    <w:p>
      <w:pPr>
        <w:spacing w:after="0" w:line="171" w:lineRule="exact"/>
        <w:rPr>
          <w:rFonts w:ascii="Arial" w:cs="Arial" w:eastAsia="Arial" w:hAnsi="Arial"/>
          <w:sz w:val="18"/>
          <w:szCs w:val="18"/>
          <w:color w:val="auto"/>
        </w:rPr>
      </w:pPr>
    </w:p>
    <w:p>
      <w:pPr>
        <w:ind w:left="572" w:hanging="572"/>
        <w:spacing w:after="0"/>
        <w:tabs>
          <w:tab w:leader="none" w:pos="5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Options do not entitle the Option Holder to vote at any meeting of shareholders.</w:t>
      </w:r>
    </w:p>
    <w:p>
      <w:pPr>
        <w:spacing w:after="0" w:line="171" w:lineRule="exact"/>
        <w:rPr>
          <w:rFonts w:ascii="Arial" w:cs="Arial" w:eastAsia="Arial" w:hAnsi="Arial"/>
          <w:sz w:val="18"/>
          <w:szCs w:val="18"/>
          <w:color w:val="auto"/>
        </w:rPr>
      </w:pPr>
    </w:p>
    <w:p>
      <w:pPr>
        <w:jc w:val="both"/>
        <w:ind w:left="572" w:hanging="572"/>
        <w:spacing w:after="0"/>
        <w:tabs>
          <w:tab w:leader="none" w:pos="5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the extent (if any) that any of these Option Terms and Conditions or this Deed are inconsistent with or contrary to the ASX Listing Rules, the ASX Listing Rules provisions will prevail and these Option Terms and Conditions are deemed to incorporate the relevant ASX Listing Rules provisions as an amendment to these terms; and</w:t>
      </w:r>
    </w:p>
    <w:p>
      <w:pPr>
        <w:spacing w:after="0" w:line="162"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These Terms and Conditions are governed by the laws of Victoria. The parties submit to the non-exclusive jurisdiction of the courts of Victoria.</w:t>
      </w:r>
    </w:p>
    <w:p>
      <w:pPr>
        <w:spacing w:after="0" w:line="335" w:lineRule="exact"/>
        <w:rPr>
          <w:sz w:val="20"/>
          <w:szCs w:val="20"/>
          <w:color w:val="auto"/>
        </w:rPr>
      </w:pPr>
    </w:p>
    <w:p>
      <w:pPr>
        <w:ind w:left="32"/>
        <w:spacing w:after="0"/>
        <w:rPr>
          <w:sz w:val="20"/>
          <w:szCs w:val="20"/>
          <w:color w:val="auto"/>
        </w:rPr>
      </w:pPr>
      <w:r>
        <w:rPr>
          <w:rFonts w:ascii="Arial" w:cs="Arial" w:eastAsia="Arial" w:hAnsi="Arial"/>
          <w:sz w:val="12"/>
          <w:szCs w:val="12"/>
          <w:color w:val="auto"/>
        </w:rPr>
        <w:t>AU_Active01 903886972v15 MILLERN</w:t>
      </w:r>
    </w:p>
    <w:p>
      <w:pPr>
        <w:sectPr>
          <w:pgSz w:w="11900" w:h="16838" w:orient="portrait"/>
          <w:cols w:equalWidth="0" w:num="1">
            <w:col w:w="11232"/>
          </w:cols>
          <w:pgMar w:left="328" w:top="746"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1"/>
          <w:szCs w:val="21"/>
          <w:b w:val="1"/>
          <w:bCs w:val="1"/>
          <w:color w:val="auto"/>
        </w:rPr>
        <w:t>Exhibit 10.14</w:t>
      </w:r>
    </w:p>
    <w:p>
      <w:pPr>
        <w:spacing w:after="0" w:line="322"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232323"/>
        </w:rPr>
        <w:t>EXECUTIVE EMPLOYMENT AGREEMENT</w:t>
      </w:r>
    </w:p>
    <w:p>
      <w:pPr>
        <w:spacing w:after="0" w:line="319" w:lineRule="exact"/>
        <w:rPr>
          <w:sz w:val="20"/>
          <w:szCs w:val="20"/>
          <w:color w:val="auto"/>
        </w:rPr>
      </w:pPr>
    </w:p>
    <w:p>
      <w:pPr>
        <w:ind w:left="20" w:right="1160" w:firstLine="723"/>
        <w:spacing w:after="0" w:line="252" w:lineRule="auto"/>
        <w:rPr>
          <w:sz w:val="20"/>
          <w:szCs w:val="20"/>
          <w:color w:val="auto"/>
        </w:rPr>
      </w:pPr>
      <w:r>
        <w:rPr>
          <w:rFonts w:ascii="Arial" w:cs="Arial" w:eastAsia="Arial" w:hAnsi="Arial"/>
          <w:sz w:val="21"/>
          <w:szCs w:val="21"/>
          <w:color w:val="333333"/>
        </w:rPr>
        <w:t xml:space="preserve">This EXECUTIVE EMPLOYMENT AGREEMENT (the </w:t>
      </w:r>
      <w:r>
        <w:rPr>
          <w:rFonts w:ascii="Arial" w:cs="Arial" w:eastAsia="Arial" w:hAnsi="Arial"/>
          <w:sz w:val="21"/>
          <w:szCs w:val="21"/>
          <w:color w:val="424242"/>
        </w:rPr>
        <w:t>"</w:t>
      </w:r>
      <w:r>
        <w:rPr>
          <w:rFonts w:ascii="Arial" w:cs="Arial" w:eastAsia="Arial" w:hAnsi="Arial"/>
          <w:sz w:val="21"/>
          <w:szCs w:val="21"/>
          <w:color w:val="232323"/>
        </w:rPr>
        <w:t>Agreement</w:t>
      </w:r>
      <w:r>
        <w:rPr>
          <w:rFonts w:ascii="Arial" w:cs="Arial" w:eastAsia="Arial" w:hAnsi="Arial"/>
          <w:sz w:val="21"/>
          <w:szCs w:val="21"/>
          <w:color w:val="424242"/>
        </w:rPr>
        <w:t>")</w:t>
      </w:r>
      <w:r>
        <w:rPr>
          <w:rFonts w:ascii="Arial" w:cs="Arial" w:eastAsia="Arial" w:hAnsi="Arial"/>
          <w:sz w:val="21"/>
          <w:szCs w:val="21"/>
          <w:color w:val="333333"/>
        </w:rPr>
        <w:t xml:space="preserve"> </w:t>
      </w:r>
      <w:r>
        <w:rPr>
          <w:rFonts w:ascii="Arial" w:cs="Arial" w:eastAsia="Arial" w:hAnsi="Arial"/>
          <w:sz w:val="21"/>
          <w:szCs w:val="21"/>
          <w:color w:val="232323"/>
        </w:rPr>
        <w:t>is</w:t>
      </w:r>
      <w:r>
        <w:rPr>
          <w:rFonts w:ascii="Arial" w:cs="Arial" w:eastAsia="Arial" w:hAnsi="Arial"/>
          <w:sz w:val="21"/>
          <w:szCs w:val="21"/>
          <w:color w:val="333333"/>
        </w:rPr>
        <w:t xml:space="preserve"> made and entered </w:t>
      </w:r>
      <w:r>
        <w:rPr>
          <w:rFonts w:ascii="Arial" w:cs="Arial" w:eastAsia="Arial" w:hAnsi="Arial"/>
          <w:sz w:val="21"/>
          <w:szCs w:val="21"/>
          <w:color w:val="232323"/>
        </w:rPr>
        <w:t>into by and</w:t>
      </w:r>
      <w:r>
        <w:rPr>
          <w:rFonts w:ascii="Arial" w:cs="Arial" w:eastAsia="Arial" w:hAnsi="Arial"/>
          <w:sz w:val="21"/>
          <w:szCs w:val="21"/>
          <w:color w:val="333333"/>
        </w:rPr>
        <w:t xml:space="preserve"> </w:t>
      </w:r>
      <w:r>
        <w:rPr>
          <w:rFonts w:ascii="Arial" w:cs="Arial" w:eastAsia="Arial" w:hAnsi="Arial"/>
          <w:sz w:val="21"/>
          <w:szCs w:val="21"/>
          <w:color w:val="232323"/>
        </w:rPr>
        <w:t>between AVITA Medical</w:t>
      </w:r>
      <w:r>
        <w:rPr>
          <w:rFonts w:ascii="Arial" w:cs="Arial" w:eastAsia="Arial" w:hAnsi="Arial"/>
          <w:sz w:val="21"/>
          <w:szCs w:val="21"/>
          <w:color w:val="424242"/>
        </w:rPr>
        <w:t>,</w:t>
      </w:r>
      <w:r>
        <w:rPr>
          <w:rFonts w:ascii="Arial" w:cs="Arial" w:eastAsia="Arial" w:hAnsi="Arial"/>
          <w:sz w:val="21"/>
          <w:szCs w:val="21"/>
          <w:color w:val="232323"/>
        </w:rPr>
        <w:t xml:space="preserve"> Inc</w:t>
      </w:r>
      <w:r>
        <w:rPr>
          <w:rFonts w:ascii="Arial" w:cs="Arial" w:eastAsia="Arial" w:hAnsi="Arial"/>
          <w:sz w:val="21"/>
          <w:szCs w:val="21"/>
          <w:color w:val="565656"/>
        </w:rPr>
        <w:t>.</w:t>
      </w:r>
      <w:r>
        <w:rPr>
          <w:rFonts w:ascii="Arial" w:cs="Arial" w:eastAsia="Arial" w:hAnsi="Arial"/>
          <w:sz w:val="21"/>
          <w:szCs w:val="21"/>
          <w:color w:val="232323"/>
        </w:rPr>
        <w:t xml:space="preserve"> </w:t>
      </w:r>
      <w:r>
        <w:rPr>
          <w:rFonts w:ascii="Arial" w:cs="Arial" w:eastAsia="Arial" w:hAnsi="Arial"/>
          <w:sz w:val="21"/>
          <w:szCs w:val="21"/>
          <w:color w:val="333333"/>
        </w:rPr>
        <w:t>and AVITA Medical Americas, LLC. (collectively,</w:t>
      </w:r>
      <w:r>
        <w:rPr>
          <w:rFonts w:ascii="Arial" w:cs="Arial" w:eastAsia="Arial" w:hAnsi="Arial"/>
          <w:sz w:val="21"/>
          <w:szCs w:val="21"/>
          <w:color w:val="232323"/>
        </w:rPr>
        <w:t xml:space="preserve"> the </w:t>
      </w:r>
      <w:r>
        <w:rPr>
          <w:rFonts w:ascii="Arial" w:cs="Arial" w:eastAsia="Arial" w:hAnsi="Arial"/>
          <w:sz w:val="21"/>
          <w:szCs w:val="21"/>
          <w:color w:val="333333"/>
        </w:rPr>
        <w:t>"Company")</w:t>
      </w:r>
      <w:r>
        <w:rPr>
          <w:rFonts w:ascii="Arial" w:cs="Arial" w:eastAsia="Arial" w:hAnsi="Arial"/>
          <w:sz w:val="21"/>
          <w:szCs w:val="21"/>
          <w:color w:val="232323"/>
        </w:rPr>
        <w:t xml:space="preserve"> and Michael Holder, </w:t>
      </w:r>
      <w:r>
        <w:rPr>
          <w:rFonts w:ascii="Arial" w:cs="Arial" w:eastAsia="Arial" w:hAnsi="Arial"/>
          <w:sz w:val="21"/>
          <w:szCs w:val="21"/>
          <w:color w:val="333333"/>
        </w:rPr>
        <w:t xml:space="preserve">an </w:t>
      </w:r>
      <w:r>
        <w:rPr>
          <w:rFonts w:ascii="Arial" w:cs="Arial" w:eastAsia="Arial" w:hAnsi="Arial"/>
          <w:sz w:val="21"/>
          <w:szCs w:val="21"/>
          <w:color w:val="232323"/>
        </w:rPr>
        <w:t>individual</w:t>
      </w:r>
      <w:r>
        <w:rPr>
          <w:rFonts w:ascii="Arial" w:cs="Arial" w:eastAsia="Arial" w:hAnsi="Arial"/>
          <w:sz w:val="21"/>
          <w:szCs w:val="21"/>
          <w:color w:val="333333"/>
        </w:rPr>
        <w:t xml:space="preserve"> (the "Executive") with reference </w:t>
      </w:r>
      <w:r>
        <w:rPr>
          <w:rFonts w:ascii="Arial" w:cs="Arial" w:eastAsia="Arial" w:hAnsi="Arial"/>
          <w:sz w:val="21"/>
          <w:szCs w:val="21"/>
          <w:color w:val="232323"/>
        </w:rPr>
        <w:t>to the</w:t>
      </w:r>
      <w:r>
        <w:rPr>
          <w:rFonts w:ascii="Arial" w:cs="Arial" w:eastAsia="Arial" w:hAnsi="Arial"/>
          <w:sz w:val="21"/>
          <w:szCs w:val="21"/>
          <w:color w:val="333333"/>
        </w:rPr>
        <w:t xml:space="preserve"> following:</w:t>
      </w:r>
    </w:p>
    <w:p>
      <w:pPr>
        <w:spacing w:after="0" w:line="175"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232323"/>
        </w:rPr>
        <w:t>RECITALS</w:t>
      </w:r>
    </w:p>
    <w:p>
      <w:pPr>
        <w:spacing w:after="0" w:line="306" w:lineRule="exact"/>
        <w:rPr>
          <w:sz w:val="20"/>
          <w:szCs w:val="20"/>
          <w:color w:val="auto"/>
        </w:rPr>
      </w:pPr>
    </w:p>
    <w:p>
      <w:pPr>
        <w:ind w:left="740"/>
        <w:spacing w:after="0"/>
        <w:rPr>
          <w:sz w:val="20"/>
          <w:szCs w:val="20"/>
          <w:color w:val="auto"/>
        </w:rPr>
      </w:pPr>
      <w:r>
        <w:rPr>
          <w:rFonts w:ascii="Arial" w:cs="Arial" w:eastAsia="Arial" w:hAnsi="Arial"/>
          <w:sz w:val="21"/>
          <w:szCs w:val="21"/>
          <w:color w:val="232323"/>
        </w:rPr>
        <w:t xml:space="preserve">WHEREAS the </w:t>
      </w:r>
      <w:r>
        <w:rPr>
          <w:rFonts w:ascii="Arial" w:cs="Arial" w:eastAsia="Arial" w:hAnsi="Arial"/>
          <w:sz w:val="21"/>
          <w:szCs w:val="21"/>
          <w:color w:val="333333"/>
        </w:rPr>
        <w:t>Company</w:t>
      </w:r>
      <w:r>
        <w:rPr>
          <w:rFonts w:ascii="Arial" w:cs="Arial" w:eastAsia="Arial" w:hAnsi="Arial"/>
          <w:sz w:val="21"/>
          <w:szCs w:val="21"/>
          <w:color w:val="232323"/>
        </w:rPr>
        <w:t xml:space="preserve"> desires to </w:t>
      </w:r>
      <w:r>
        <w:rPr>
          <w:rFonts w:ascii="Arial" w:cs="Arial" w:eastAsia="Arial" w:hAnsi="Arial"/>
          <w:sz w:val="21"/>
          <w:szCs w:val="21"/>
          <w:color w:val="333333"/>
        </w:rPr>
        <w:t>employ Executive</w:t>
      </w:r>
      <w:r>
        <w:rPr>
          <w:rFonts w:ascii="Arial" w:cs="Arial" w:eastAsia="Arial" w:hAnsi="Arial"/>
          <w:sz w:val="21"/>
          <w:szCs w:val="21"/>
          <w:color w:val="232323"/>
        </w:rPr>
        <w:t xml:space="preserve"> to </w:t>
      </w:r>
      <w:r>
        <w:rPr>
          <w:rFonts w:ascii="Arial" w:cs="Arial" w:eastAsia="Arial" w:hAnsi="Arial"/>
          <w:sz w:val="21"/>
          <w:szCs w:val="21"/>
          <w:color w:val="333333"/>
        </w:rPr>
        <w:t>serve as the Chief Financial</w:t>
      </w:r>
      <w:r>
        <w:rPr>
          <w:rFonts w:ascii="Arial" w:cs="Arial" w:eastAsia="Arial" w:hAnsi="Arial"/>
          <w:sz w:val="21"/>
          <w:szCs w:val="21"/>
          <w:color w:val="232323"/>
        </w:rPr>
        <w:t xml:space="preserve"> Officer of the </w:t>
      </w:r>
      <w:r>
        <w:rPr>
          <w:rFonts w:ascii="Arial" w:cs="Arial" w:eastAsia="Arial" w:hAnsi="Arial"/>
          <w:sz w:val="21"/>
          <w:szCs w:val="21"/>
          <w:color w:val="333333"/>
        </w:rPr>
        <w:t>Company;</w:t>
      </w:r>
    </w:p>
    <w:p>
      <w:pPr>
        <w:spacing w:after="0" w:line="164" w:lineRule="exact"/>
        <w:rPr>
          <w:sz w:val="20"/>
          <w:szCs w:val="20"/>
          <w:color w:val="auto"/>
        </w:rPr>
      </w:pPr>
    </w:p>
    <w:p>
      <w:pPr>
        <w:ind w:left="20" w:right="760" w:firstLine="740"/>
        <w:spacing w:after="0" w:line="289" w:lineRule="auto"/>
        <w:rPr>
          <w:sz w:val="20"/>
          <w:szCs w:val="20"/>
          <w:color w:val="auto"/>
        </w:rPr>
      </w:pPr>
      <w:r>
        <w:rPr>
          <w:rFonts w:ascii="Arial" w:cs="Arial" w:eastAsia="Arial" w:hAnsi="Arial"/>
          <w:sz w:val="20"/>
          <w:szCs w:val="20"/>
          <w:color w:val="333333"/>
        </w:rPr>
        <w:t xml:space="preserve">WHEREAS </w:t>
      </w:r>
      <w:r>
        <w:rPr>
          <w:rFonts w:ascii="Arial" w:cs="Arial" w:eastAsia="Arial" w:hAnsi="Arial"/>
          <w:sz w:val="20"/>
          <w:szCs w:val="20"/>
          <w:color w:val="232323"/>
        </w:rPr>
        <w:t>the</w:t>
      </w:r>
      <w:r>
        <w:rPr>
          <w:rFonts w:ascii="Arial" w:cs="Arial" w:eastAsia="Arial" w:hAnsi="Arial"/>
          <w:sz w:val="20"/>
          <w:szCs w:val="20"/>
          <w:color w:val="333333"/>
        </w:rPr>
        <w:t xml:space="preserve"> Executive </w:t>
      </w:r>
      <w:r>
        <w:rPr>
          <w:rFonts w:ascii="Arial" w:cs="Arial" w:eastAsia="Arial" w:hAnsi="Arial"/>
          <w:sz w:val="20"/>
          <w:szCs w:val="20"/>
          <w:color w:val="232323"/>
        </w:rPr>
        <w:t>is</w:t>
      </w:r>
      <w:r>
        <w:rPr>
          <w:rFonts w:ascii="Arial" w:cs="Arial" w:eastAsia="Arial" w:hAnsi="Arial"/>
          <w:sz w:val="20"/>
          <w:szCs w:val="20"/>
          <w:color w:val="333333"/>
        </w:rPr>
        <w:t xml:space="preserve"> willing </w:t>
      </w:r>
      <w:r>
        <w:rPr>
          <w:rFonts w:ascii="Arial" w:cs="Arial" w:eastAsia="Arial" w:hAnsi="Arial"/>
          <w:sz w:val="20"/>
          <w:szCs w:val="20"/>
          <w:color w:val="232323"/>
        </w:rPr>
        <w:t>to</w:t>
      </w:r>
      <w:r>
        <w:rPr>
          <w:rFonts w:ascii="Arial" w:cs="Arial" w:eastAsia="Arial" w:hAnsi="Arial"/>
          <w:sz w:val="20"/>
          <w:szCs w:val="20"/>
          <w:color w:val="333333"/>
        </w:rPr>
        <w:t xml:space="preserve"> serve </w:t>
      </w:r>
      <w:r>
        <w:rPr>
          <w:rFonts w:ascii="Arial" w:cs="Arial" w:eastAsia="Arial" w:hAnsi="Arial"/>
          <w:sz w:val="20"/>
          <w:szCs w:val="20"/>
          <w:color w:val="232323"/>
        </w:rPr>
        <w:t>in the</w:t>
      </w:r>
      <w:r>
        <w:rPr>
          <w:rFonts w:ascii="Arial" w:cs="Arial" w:eastAsia="Arial" w:hAnsi="Arial"/>
          <w:sz w:val="20"/>
          <w:szCs w:val="20"/>
          <w:color w:val="333333"/>
        </w:rPr>
        <w:t xml:space="preserve"> role of Chief Financial Officer of </w:t>
      </w:r>
      <w:r>
        <w:rPr>
          <w:rFonts w:ascii="Arial" w:cs="Arial" w:eastAsia="Arial" w:hAnsi="Arial"/>
          <w:sz w:val="20"/>
          <w:szCs w:val="20"/>
          <w:color w:val="232323"/>
        </w:rPr>
        <w:t>the</w:t>
      </w:r>
      <w:r>
        <w:rPr>
          <w:rFonts w:ascii="Arial" w:cs="Arial" w:eastAsia="Arial" w:hAnsi="Arial"/>
          <w:sz w:val="20"/>
          <w:szCs w:val="20"/>
          <w:color w:val="333333"/>
        </w:rPr>
        <w:t xml:space="preserve"> Company and </w:t>
      </w:r>
      <w:r>
        <w:rPr>
          <w:rFonts w:ascii="Arial" w:cs="Arial" w:eastAsia="Arial" w:hAnsi="Arial"/>
          <w:sz w:val="20"/>
          <w:szCs w:val="20"/>
          <w:color w:val="232323"/>
        </w:rPr>
        <w:t>pro</w:t>
      </w:r>
      <w:r>
        <w:rPr>
          <w:rFonts w:ascii="Arial" w:cs="Arial" w:eastAsia="Arial" w:hAnsi="Arial"/>
          <w:sz w:val="20"/>
          <w:szCs w:val="20"/>
          <w:color w:val="424242"/>
        </w:rPr>
        <w:t>v</w:t>
      </w:r>
      <w:r>
        <w:rPr>
          <w:rFonts w:ascii="Arial" w:cs="Arial" w:eastAsia="Arial" w:hAnsi="Arial"/>
          <w:sz w:val="20"/>
          <w:szCs w:val="20"/>
          <w:color w:val="232323"/>
        </w:rPr>
        <w:t>ide</w:t>
      </w:r>
      <w:r>
        <w:rPr>
          <w:rFonts w:ascii="Arial" w:cs="Arial" w:eastAsia="Arial" w:hAnsi="Arial"/>
          <w:sz w:val="20"/>
          <w:szCs w:val="20"/>
          <w:color w:val="333333"/>
        </w:rPr>
        <w:t xml:space="preserve"> </w:t>
      </w:r>
      <w:r>
        <w:rPr>
          <w:rFonts w:ascii="Arial" w:cs="Arial" w:eastAsia="Arial" w:hAnsi="Arial"/>
          <w:sz w:val="20"/>
          <w:szCs w:val="20"/>
          <w:color w:val="424242"/>
        </w:rPr>
        <w:t>s</w:t>
      </w:r>
      <w:r>
        <w:rPr>
          <w:rFonts w:ascii="Arial" w:cs="Arial" w:eastAsia="Arial" w:hAnsi="Arial"/>
          <w:sz w:val="20"/>
          <w:szCs w:val="20"/>
          <w:color w:val="232323"/>
        </w:rPr>
        <w:t>ervices to the</w:t>
      </w:r>
      <w:r>
        <w:rPr>
          <w:rFonts w:ascii="Arial" w:cs="Arial" w:eastAsia="Arial" w:hAnsi="Arial"/>
          <w:sz w:val="20"/>
          <w:szCs w:val="20"/>
          <w:color w:val="424242"/>
        </w:rPr>
        <w:t xml:space="preserve"> </w:t>
      </w:r>
      <w:r>
        <w:rPr>
          <w:rFonts w:ascii="Arial" w:cs="Arial" w:eastAsia="Arial" w:hAnsi="Arial"/>
          <w:sz w:val="20"/>
          <w:szCs w:val="20"/>
          <w:color w:val="333333"/>
        </w:rPr>
        <w:t>Company and its</w:t>
      </w:r>
      <w:r>
        <w:rPr>
          <w:rFonts w:ascii="Arial" w:cs="Arial" w:eastAsia="Arial" w:hAnsi="Arial"/>
          <w:sz w:val="20"/>
          <w:szCs w:val="20"/>
          <w:color w:val="424242"/>
        </w:rPr>
        <w:t xml:space="preserve"> s</w:t>
      </w:r>
      <w:r>
        <w:rPr>
          <w:rFonts w:ascii="Arial" w:cs="Arial" w:eastAsia="Arial" w:hAnsi="Arial"/>
          <w:sz w:val="20"/>
          <w:szCs w:val="20"/>
          <w:color w:val="232323"/>
        </w:rPr>
        <w:t>ubsidiaries</w:t>
      </w:r>
      <w:r>
        <w:rPr>
          <w:rFonts w:ascii="Arial" w:cs="Arial" w:eastAsia="Arial" w:hAnsi="Arial"/>
          <w:sz w:val="20"/>
          <w:szCs w:val="20"/>
          <w:color w:val="424242"/>
        </w:rPr>
        <w:t xml:space="preserve"> </w:t>
      </w:r>
      <w:r>
        <w:rPr>
          <w:rFonts w:ascii="Arial" w:cs="Arial" w:eastAsia="Arial" w:hAnsi="Arial"/>
          <w:sz w:val="20"/>
          <w:szCs w:val="20"/>
          <w:color w:val="333333"/>
        </w:rPr>
        <w:t>and affiliates</w:t>
      </w:r>
      <w:r>
        <w:rPr>
          <w:rFonts w:ascii="Arial" w:cs="Arial" w:eastAsia="Arial" w:hAnsi="Arial"/>
          <w:sz w:val="20"/>
          <w:szCs w:val="20"/>
          <w:color w:val="424242"/>
        </w:rPr>
        <w:t xml:space="preserve"> </w:t>
      </w:r>
      <w:r>
        <w:rPr>
          <w:rFonts w:ascii="Arial" w:cs="Arial" w:eastAsia="Arial" w:hAnsi="Arial"/>
          <w:sz w:val="20"/>
          <w:szCs w:val="20"/>
          <w:color w:val="232323"/>
        </w:rPr>
        <w:t>under the terms</w:t>
      </w:r>
      <w:r>
        <w:rPr>
          <w:rFonts w:ascii="Arial" w:cs="Arial" w:eastAsia="Arial" w:hAnsi="Arial"/>
          <w:sz w:val="20"/>
          <w:szCs w:val="20"/>
          <w:color w:val="424242"/>
        </w:rPr>
        <w:t xml:space="preserve"> </w:t>
      </w:r>
      <w:r>
        <w:rPr>
          <w:rFonts w:ascii="Arial" w:cs="Arial" w:eastAsia="Arial" w:hAnsi="Arial"/>
          <w:sz w:val="20"/>
          <w:szCs w:val="20"/>
          <w:color w:val="333333"/>
        </w:rPr>
        <w:t>and</w:t>
      </w:r>
      <w:r>
        <w:rPr>
          <w:rFonts w:ascii="Arial" w:cs="Arial" w:eastAsia="Arial" w:hAnsi="Arial"/>
          <w:sz w:val="20"/>
          <w:szCs w:val="20"/>
          <w:color w:val="424242"/>
        </w:rPr>
        <w:t xml:space="preserve"> </w:t>
      </w:r>
      <w:r>
        <w:rPr>
          <w:rFonts w:ascii="Arial" w:cs="Arial" w:eastAsia="Arial" w:hAnsi="Arial"/>
          <w:sz w:val="20"/>
          <w:szCs w:val="20"/>
          <w:color w:val="232323"/>
        </w:rPr>
        <w:t>conditions</w:t>
      </w:r>
      <w:r>
        <w:rPr>
          <w:rFonts w:ascii="Arial" w:cs="Arial" w:eastAsia="Arial" w:hAnsi="Arial"/>
          <w:sz w:val="20"/>
          <w:szCs w:val="20"/>
          <w:color w:val="424242"/>
        </w:rPr>
        <w:t xml:space="preserve"> </w:t>
      </w:r>
      <w:r>
        <w:rPr>
          <w:rFonts w:ascii="Arial" w:cs="Arial" w:eastAsia="Arial" w:hAnsi="Arial"/>
          <w:sz w:val="20"/>
          <w:szCs w:val="20"/>
          <w:color w:val="333333"/>
        </w:rPr>
        <w:t>stated</w:t>
      </w:r>
      <w:r>
        <w:rPr>
          <w:rFonts w:ascii="Arial" w:cs="Arial" w:eastAsia="Arial" w:hAnsi="Arial"/>
          <w:sz w:val="20"/>
          <w:szCs w:val="20"/>
          <w:color w:val="424242"/>
        </w:rPr>
        <w:t xml:space="preserve"> </w:t>
      </w:r>
      <w:r>
        <w:rPr>
          <w:rFonts w:ascii="Arial" w:cs="Arial" w:eastAsia="Arial" w:hAnsi="Arial"/>
          <w:sz w:val="20"/>
          <w:szCs w:val="20"/>
          <w:color w:val="232323"/>
        </w:rPr>
        <w:t>herein</w:t>
      </w:r>
      <w:r>
        <w:rPr>
          <w:rFonts w:ascii="Arial" w:cs="Arial" w:eastAsia="Arial" w:hAnsi="Arial"/>
          <w:sz w:val="20"/>
          <w:szCs w:val="20"/>
          <w:color w:val="424242"/>
        </w:rPr>
        <w:t>,</w:t>
      </w:r>
    </w:p>
    <w:p>
      <w:pPr>
        <w:spacing w:after="0" w:line="121" w:lineRule="exact"/>
        <w:rPr>
          <w:sz w:val="20"/>
          <w:szCs w:val="20"/>
          <w:color w:val="auto"/>
        </w:rPr>
      </w:pPr>
    </w:p>
    <w:p>
      <w:pPr>
        <w:ind w:left="20" w:right="1240" w:firstLine="734"/>
        <w:spacing w:after="0" w:line="264" w:lineRule="auto"/>
        <w:rPr>
          <w:sz w:val="20"/>
          <w:szCs w:val="20"/>
          <w:color w:val="auto"/>
        </w:rPr>
      </w:pPr>
      <w:r>
        <w:rPr>
          <w:rFonts w:ascii="Arial" w:cs="Arial" w:eastAsia="Arial" w:hAnsi="Arial"/>
          <w:sz w:val="21"/>
          <w:szCs w:val="21"/>
          <w:color w:val="232323"/>
        </w:rPr>
        <w:t>WHEREAS</w:t>
      </w:r>
      <w:r>
        <w:rPr>
          <w:rFonts w:ascii="Arial" w:cs="Arial" w:eastAsia="Arial" w:hAnsi="Arial"/>
          <w:sz w:val="21"/>
          <w:szCs w:val="21"/>
          <w:color w:val="565656"/>
        </w:rPr>
        <w:t>,</w:t>
      </w:r>
      <w:r>
        <w:rPr>
          <w:rFonts w:ascii="Arial" w:cs="Arial" w:eastAsia="Arial" w:hAnsi="Arial"/>
          <w:sz w:val="21"/>
          <w:szCs w:val="21"/>
          <w:color w:val="232323"/>
        </w:rPr>
        <w:t xml:space="preserve"> the </w:t>
      </w:r>
      <w:r>
        <w:rPr>
          <w:rFonts w:ascii="Arial" w:cs="Arial" w:eastAsia="Arial" w:hAnsi="Arial"/>
          <w:sz w:val="21"/>
          <w:szCs w:val="21"/>
          <w:color w:val="333333"/>
        </w:rPr>
        <w:t>Executive would serve</w:t>
      </w:r>
      <w:r>
        <w:rPr>
          <w:rFonts w:ascii="Arial" w:cs="Arial" w:eastAsia="Arial" w:hAnsi="Arial"/>
          <w:sz w:val="21"/>
          <w:szCs w:val="21"/>
          <w:color w:val="232323"/>
        </w:rPr>
        <w:t xml:space="preserve"> as </w:t>
      </w:r>
      <w:r>
        <w:rPr>
          <w:rFonts w:ascii="Arial" w:cs="Arial" w:eastAsia="Arial" w:hAnsi="Arial"/>
          <w:sz w:val="21"/>
          <w:szCs w:val="21"/>
          <w:color w:val="333333"/>
        </w:rPr>
        <w:t>Chief Financial</w:t>
      </w:r>
      <w:r>
        <w:rPr>
          <w:rFonts w:ascii="Arial" w:cs="Arial" w:eastAsia="Arial" w:hAnsi="Arial"/>
          <w:sz w:val="21"/>
          <w:szCs w:val="21"/>
          <w:color w:val="232323"/>
        </w:rPr>
        <w:t xml:space="preserve"> Officer of the </w:t>
      </w:r>
      <w:r>
        <w:rPr>
          <w:rFonts w:ascii="Arial" w:cs="Arial" w:eastAsia="Arial" w:hAnsi="Arial"/>
          <w:sz w:val="21"/>
          <w:szCs w:val="21"/>
          <w:color w:val="333333"/>
        </w:rPr>
        <w:t>Company, effective as of March 22,</w:t>
      </w:r>
      <w:r>
        <w:rPr>
          <w:rFonts w:ascii="Arial" w:cs="Arial" w:eastAsia="Arial" w:hAnsi="Arial"/>
          <w:sz w:val="21"/>
          <w:szCs w:val="21"/>
          <w:color w:val="232323"/>
        </w:rPr>
        <w:t xml:space="preserve"> 2021 </w:t>
      </w:r>
      <w:r>
        <w:rPr>
          <w:rFonts w:ascii="Arial" w:cs="Arial" w:eastAsia="Arial" w:hAnsi="Arial"/>
          <w:sz w:val="21"/>
          <w:szCs w:val="21"/>
          <w:color w:val="333333"/>
        </w:rPr>
        <w:t>(the "Effective</w:t>
      </w:r>
      <w:r>
        <w:rPr>
          <w:rFonts w:ascii="Arial" w:cs="Arial" w:eastAsia="Arial" w:hAnsi="Arial"/>
          <w:sz w:val="21"/>
          <w:szCs w:val="21"/>
          <w:color w:val="232323"/>
        </w:rPr>
        <w:t xml:space="preserve"> Date")</w:t>
      </w:r>
      <w:r>
        <w:rPr>
          <w:rFonts w:ascii="Arial" w:cs="Arial" w:eastAsia="Arial" w:hAnsi="Arial"/>
          <w:sz w:val="21"/>
          <w:szCs w:val="21"/>
          <w:color w:val="565656"/>
        </w:rPr>
        <w:t>,</w:t>
      </w:r>
    </w:p>
    <w:p>
      <w:pPr>
        <w:spacing w:after="0" w:line="144" w:lineRule="exact"/>
        <w:rPr>
          <w:sz w:val="20"/>
          <w:szCs w:val="20"/>
          <w:color w:val="auto"/>
        </w:rPr>
      </w:pPr>
    </w:p>
    <w:p>
      <w:pPr>
        <w:ind w:right="960" w:firstLine="732"/>
        <w:spacing w:after="0" w:line="264" w:lineRule="auto"/>
        <w:rPr>
          <w:sz w:val="20"/>
          <w:szCs w:val="20"/>
          <w:color w:val="auto"/>
        </w:rPr>
      </w:pPr>
      <w:r>
        <w:rPr>
          <w:rFonts w:ascii="Arial" w:cs="Arial" w:eastAsia="Arial" w:hAnsi="Arial"/>
          <w:sz w:val="21"/>
          <w:szCs w:val="21"/>
          <w:color w:val="333333"/>
        </w:rPr>
        <w:t xml:space="preserve">NOW, </w:t>
      </w:r>
      <w:r>
        <w:rPr>
          <w:rFonts w:ascii="Arial" w:cs="Arial" w:eastAsia="Arial" w:hAnsi="Arial"/>
          <w:sz w:val="21"/>
          <w:szCs w:val="21"/>
          <w:color w:val="232323"/>
        </w:rPr>
        <w:t>THEREFORE, in consideration of</w:t>
      </w:r>
      <w:r>
        <w:rPr>
          <w:rFonts w:ascii="Arial" w:cs="Arial" w:eastAsia="Arial" w:hAnsi="Arial"/>
          <w:sz w:val="21"/>
          <w:szCs w:val="21"/>
          <w:color w:val="333333"/>
        </w:rPr>
        <w:t xml:space="preserve"> the </w:t>
      </w:r>
      <w:r>
        <w:rPr>
          <w:rFonts w:ascii="Arial" w:cs="Arial" w:eastAsia="Arial" w:hAnsi="Arial"/>
          <w:sz w:val="21"/>
          <w:szCs w:val="21"/>
          <w:color w:val="232323"/>
        </w:rPr>
        <w:t>mutual</w:t>
      </w:r>
      <w:r>
        <w:rPr>
          <w:rFonts w:ascii="Arial" w:cs="Arial" w:eastAsia="Arial" w:hAnsi="Arial"/>
          <w:sz w:val="21"/>
          <w:szCs w:val="21"/>
          <w:color w:val="333333"/>
        </w:rPr>
        <w:t xml:space="preserve"> covenants </w:t>
      </w:r>
      <w:r>
        <w:rPr>
          <w:rFonts w:ascii="Arial" w:cs="Arial" w:eastAsia="Arial" w:hAnsi="Arial"/>
          <w:sz w:val="21"/>
          <w:szCs w:val="21"/>
          <w:color w:val="232323"/>
        </w:rPr>
        <w:t>and promise</w:t>
      </w:r>
      <w:r>
        <w:rPr>
          <w:rFonts w:ascii="Arial" w:cs="Arial" w:eastAsia="Arial" w:hAnsi="Arial"/>
          <w:sz w:val="21"/>
          <w:szCs w:val="21"/>
          <w:color w:val="424242"/>
        </w:rPr>
        <w:t>s</w:t>
      </w:r>
      <w:r>
        <w:rPr>
          <w:rFonts w:ascii="Arial" w:cs="Arial" w:eastAsia="Arial" w:hAnsi="Arial"/>
          <w:sz w:val="21"/>
          <w:szCs w:val="21"/>
          <w:color w:val="333333"/>
        </w:rPr>
        <w:t xml:space="preserve"> contained </w:t>
      </w:r>
      <w:r>
        <w:rPr>
          <w:rFonts w:ascii="Arial" w:cs="Arial" w:eastAsia="Arial" w:hAnsi="Arial"/>
          <w:sz w:val="21"/>
          <w:szCs w:val="21"/>
          <w:color w:val="232323"/>
        </w:rPr>
        <w:t>herein</w:t>
      </w:r>
      <w:r>
        <w:rPr>
          <w:rFonts w:ascii="Arial" w:cs="Arial" w:eastAsia="Arial" w:hAnsi="Arial"/>
          <w:sz w:val="21"/>
          <w:szCs w:val="21"/>
          <w:color w:val="565656"/>
        </w:rPr>
        <w:t>,</w:t>
      </w:r>
      <w:r>
        <w:rPr>
          <w:rFonts w:ascii="Arial" w:cs="Arial" w:eastAsia="Arial" w:hAnsi="Arial"/>
          <w:sz w:val="21"/>
          <w:szCs w:val="21"/>
          <w:color w:val="333333"/>
        </w:rPr>
        <w:t xml:space="preserve"> and intending to </w:t>
      </w:r>
      <w:r>
        <w:rPr>
          <w:rFonts w:ascii="Arial" w:cs="Arial" w:eastAsia="Arial" w:hAnsi="Arial"/>
          <w:sz w:val="21"/>
          <w:szCs w:val="21"/>
          <w:color w:val="232323"/>
        </w:rPr>
        <w:t>be legally bound</w:t>
      </w:r>
      <w:r>
        <w:rPr>
          <w:rFonts w:ascii="Arial" w:cs="Arial" w:eastAsia="Arial" w:hAnsi="Arial"/>
          <w:sz w:val="21"/>
          <w:szCs w:val="21"/>
          <w:color w:val="565656"/>
        </w:rPr>
        <w:t>,</w:t>
      </w:r>
      <w:r>
        <w:rPr>
          <w:rFonts w:ascii="Arial" w:cs="Arial" w:eastAsia="Arial" w:hAnsi="Arial"/>
          <w:sz w:val="21"/>
          <w:szCs w:val="21"/>
          <w:color w:val="232323"/>
        </w:rPr>
        <w:t xml:space="preserve"> it i</w:t>
      </w:r>
      <w:r>
        <w:rPr>
          <w:rFonts w:ascii="Arial" w:cs="Arial" w:eastAsia="Arial" w:hAnsi="Arial"/>
          <w:sz w:val="21"/>
          <w:szCs w:val="21"/>
          <w:color w:val="424242"/>
        </w:rPr>
        <w:t>s</w:t>
      </w:r>
      <w:r>
        <w:rPr>
          <w:rFonts w:ascii="Arial" w:cs="Arial" w:eastAsia="Arial" w:hAnsi="Arial"/>
          <w:sz w:val="21"/>
          <w:szCs w:val="21"/>
          <w:color w:val="232323"/>
        </w:rPr>
        <w:t xml:space="preserve"> </w:t>
      </w:r>
      <w:r>
        <w:rPr>
          <w:rFonts w:ascii="Arial" w:cs="Arial" w:eastAsia="Arial" w:hAnsi="Arial"/>
          <w:sz w:val="21"/>
          <w:szCs w:val="21"/>
          <w:color w:val="333333"/>
        </w:rPr>
        <w:t>hereby agreed</w:t>
      </w:r>
      <w:r>
        <w:rPr>
          <w:rFonts w:ascii="Arial" w:cs="Arial" w:eastAsia="Arial" w:hAnsi="Arial"/>
          <w:sz w:val="21"/>
          <w:szCs w:val="21"/>
          <w:color w:val="232323"/>
        </w:rPr>
        <w:t xml:space="preserve"> by </w:t>
      </w:r>
      <w:r>
        <w:rPr>
          <w:rFonts w:ascii="Arial" w:cs="Arial" w:eastAsia="Arial" w:hAnsi="Arial"/>
          <w:sz w:val="21"/>
          <w:szCs w:val="21"/>
          <w:color w:val="333333"/>
        </w:rPr>
        <w:t>and</w:t>
      </w:r>
      <w:r>
        <w:rPr>
          <w:rFonts w:ascii="Arial" w:cs="Arial" w:eastAsia="Arial" w:hAnsi="Arial"/>
          <w:sz w:val="21"/>
          <w:szCs w:val="21"/>
          <w:color w:val="232323"/>
        </w:rPr>
        <w:t xml:space="preserve"> between the parties hereto </w:t>
      </w:r>
      <w:r>
        <w:rPr>
          <w:rFonts w:ascii="Arial" w:cs="Arial" w:eastAsia="Arial" w:hAnsi="Arial"/>
          <w:sz w:val="21"/>
          <w:szCs w:val="21"/>
          <w:color w:val="333333"/>
        </w:rPr>
        <w:t>as follows:</w:t>
      </w:r>
    </w:p>
    <w:p>
      <w:pPr>
        <w:spacing w:after="0" w:line="121" w:lineRule="exact"/>
        <w:rPr>
          <w:sz w:val="20"/>
          <w:szCs w:val="20"/>
          <w:color w:val="auto"/>
        </w:rPr>
      </w:pPr>
    </w:p>
    <w:p>
      <w:pPr>
        <w:ind w:left="800" w:hanging="791"/>
        <w:spacing w:after="0"/>
        <w:tabs>
          <w:tab w:leader="none" w:pos="800" w:val="left"/>
        </w:tabs>
        <w:numPr>
          <w:ilvl w:val="0"/>
          <w:numId w:val="166"/>
        </w:numPr>
        <w:rPr>
          <w:rFonts w:ascii="Arial" w:cs="Arial" w:eastAsia="Arial" w:hAnsi="Arial"/>
          <w:sz w:val="20"/>
          <w:szCs w:val="20"/>
          <w:b w:val="1"/>
          <w:bCs w:val="1"/>
          <w:color w:val="333333"/>
        </w:rPr>
      </w:pPr>
      <w:r>
        <w:rPr>
          <w:rFonts w:ascii="Arial" w:cs="Arial" w:eastAsia="Arial" w:hAnsi="Arial"/>
          <w:sz w:val="20"/>
          <w:szCs w:val="20"/>
          <w:b w:val="1"/>
          <w:bCs w:val="1"/>
          <w:color w:val="232323"/>
        </w:rPr>
        <w:t>Employment and Duties</w:t>
      </w:r>
    </w:p>
    <w:p>
      <w:pPr>
        <w:spacing w:after="0" w:line="211" w:lineRule="exact"/>
        <w:rPr>
          <w:rFonts w:ascii="Arial" w:cs="Arial" w:eastAsia="Arial" w:hAnsi="Arial"/>
          <w:sz w:val="20"/>
          <w:szCs w:val="20"/>
          <w:b w:val="1"/>
          <w:bCs w:val="1"/>
          <w:color w:val="333333"/>
        </w:rPr>
      </w:pPr>
    </w:p>
    <w:p>
      <w:pPr>
        <w:jc w:val="both"/>
        <w:ind w:right="900" w:firstLine="751"/>
        <w:spacing w:after="0" w:line="271" w:lineRule="auto"/>
        <w:tabs>
          <w:tab w:leader="none" w:pos="1541" w:val="left"/>
        </w:tabs>
        <w:numPr>
          <w:ilvl w:val="1"/>
          <w:numId w:val="166"/>
        </w:numPr>
        <w:rPr>
          <w:rFonts w:ascii="Arial" w:cs="Arial" w:eastAsia="Arial" w:hAnsi="Arial"/>
          <w:sz w:val="20"/>
          <w:szCs w:val="20"/>
          <w:color w:val="232323"/>
        </w:rPr>
      </w:pPr>
      <w:r>
        <w:rPr>
          <w:rFonts w:ascii="Arial" w:cs="Arial" w:eastAsia="Arial" w:hAnsi="Arial"/>
          <w:sz w:val="20"/>
          <w:szCs w:val="20"/>
          <w:color w:val="232323"/>
        </w:rPr>
        <w:t xml:space="preserve">1 </w:t>
      </w:r>
      <w:r>
        <w:rPr>
          <w:rFonts w:ascii="Arial" w:cs="Arial" w:eastAsia="Arial" w:hAnsi="Arial"/>
          <w:sz w:val="20"/>
          <w:szCs w:val="20"/>
          <w:u w:val="single" w:color="auto"/>
          <w:color w:val="333333"/>
        </w:rPr>
        <w:t>Employment.</w:t>
      </w:r>
      <w:r>
        <w:rPr>
          <w:rFonts w:ascii="Arial" w:cs="Arial" w:eastAsia="Arial" w:hAnsi="Arial"/>
          <w:sz w:val="20"/>
          <w:szCs w:val="20"/>
          <w:color w:val="232323"/>
        </w:rPr>
        <w:t xml:space="preserve"> </w:t>
      </w:r>
      <w:r>
        <w:rPr>
          <w:rFonts w:ascii="Arial" w:cs="Arial" w:eastAsia="Arial" w:hAnsi="Arial"/>
          <w:sz w:val="20"/>
          <w:szCs w:val="20"/>
          <w:color w:val="333333"/>
        </w:rPr>
        <w:t>The Company</w:t>
      </w:r>
      <w:r>
        <w:rPr>
          <w:rFonts w:ascii="Arial" w:cs="Arial" w:eastAsia="Arial" w:hAnsi="Arial"/>
          <w:sz w:val="20"/>
          <w:szCs w:val="20"/>
          <w:color w:val="232323"/>
        </w:rPr>
        <w:t xml:space="preserve"> hereby employs the </w:t>
      </w:r>
      <w:r>
        <w:rPr>
          <w:rFonts w:ascii="Arial" w:cs="Arial" w:eastAsia="Arial" w:hAnsi="Arial"/>
          <w:sz w:val="20"/>
          <w:szCs w:val="20"/>
          <w:color w:val="333333"/>
        </w:rPr>
        <w:t>Executive as</w:t>
      </w:r>
      <w:r>
        <w:rPr>
          <w:rFonts w:ascii="Arial" w:cs="Arial" w:eastAsia="Arial" w:hAnsi="Arial"/>
          <w:sz w:val="20"/>
          <w:szCs w:val="20"/>
          <w:color w:val="232323"/>
        </w:rPr>
        <w:t xml:space="preserve"> the </w:t>
      </w:r>
      <w:r>
        <w:rPr>
          <w:rFonts w:ascii="Arial" w:cs="Arial" w:eastAsia="Arial" w:hAnsi="Arial"/>
          <w:sz w:val="20"/>
          <w:szCs w:val="20"/>
          <w:color w:val="333333"/>
        </w:rPr>
        <w:t>Chief Financial</w:t>
      </w:r>
      <w:r>
        <w:rPr>
          <w:rFonts w:ascii="Arial" w:cs="Arial" w:eastAsia="Arial" w:hAnsi="Arial"/>
          <w:sz w:val="20"/>
          <w:szCs w:val="20"/>
          <w:color w:val="232323"/>
        </w:rPr>
        <w:t xml:space="preserve"> Officer </w:t>
      </w:r>
      <w:r>
        <w:rPr>
          <w:rFonts w:ascii="Arial" w:cs="Arial" w:eastAsia="Arial" w:hAnsi="Arial"/>
          <w:sz w:val="20"/>
          <w:szCs w:val="20"/>
          <w:color w:val="333333"/>
        </w:rPr>
        <w:t>of</w:t>
      </w:r>
      <w:r>
        <w:rPr>
          <w:rFonts w:ascii="Arial" w:cs="Arial" w:eastAsia="Arial" w:hAnsi="Arial"/>
          <w:sz w:val="20"/>
          <w:szCs w:val="20"/>
          <w:color w:val="232323"/>
        </w:rPr>
        <w:t xml:space="preserve"> the Company </w:t>
      </w:r>
      <w:r>
        <w:rPr>
          <w:rFonts w:ascii="Arial" w:cs="Arial" w:eastAsia="Arial" w:hAnsi="Arial"/>
          <w:sz w:val="20"/>
          <w:szCs w:val="20"/>
          <w:color w:val="333333"/>
        </w:rPr>
        <w:t>and</w:t>
      </w:r>
      <w:r>
        <w:rPr>
          <w:rFonts w:ascii="Arial" w:cs="Arial" w:eastAsia="Arial" w:hAnsi="Arial"/>
          <w:sz w:val="20"/>
          <w:szCs w:val="20"/>
          <w:color w:val="232323"/>
        </w:rPr>
        <w:t xml:space="preserve"> the </w:t>
      </w:r>
      <w:r>
        <w:rPr>
          <w:rFonts w:ascii="Arial" w:cs="Arial" w:eastAsia="Arial" w:hAnsi="Arial"/>
          <w:sz w:val="20"/>
          <w:szCs w:val="20"/>
          <w:color w:val="333333"/>
        </w:rPr>
        <w:t>Executive</w:t>
      </w:r>
      <w:r>
        <w:rPr>
          <w:rFonts w:ascii="Arial" w:cs="Arial" w:eastAsia="Arial" w:hAnsi="Arial"/>
          <w:sz w:val="20"/>
          <w:szCs w:val="20"/>
          <w:color w:val="232323"/>
        </w:rPr>
        <w:t xml:space="preserve"> hereby accepts </w:t>
      </w:r>
      <w:r>
        <w:rPr>
          <w:rFonts w:ascii="Arial" w:cs="Arial" w:eastAsia="Arial" w:hAnsi="Arial"/>
          <w:sz w:val="20"/>
          <w:szCs w:val="20"/>
          <w:color w:val="333333"/>
        </w:rPr>
        <w:t>such employment</w:t>
      </w:r>
      <w:r>
        <w:rPr>
          <w:rFonts w:ascii="Arial" w:cs="Arial" w:eastAsia="Arial" w:hAnsi="Arial"/>
          <w:sz w:val="20"/>
          <w:szCs w:val="20"/>
          <w:color w:val="232323"/>
        </w:rPr>
        <w:t xml:space="preserve"> as of the </w:t>
      </w:r>
      <w:r>
        <w:rPr>
          <w:rFonts w:ascii="Arial" w:cs="Arial" w:eastAsia="Arial" w:hAnsi="Arial"/>
          <w:sz w:val="20"/>
          <w:szCs w:val="20"/>
          <w:color w:val="424242"/>
        </w:rPr>
        <w:t>Effect</w:t>
      </w:r>
      <w:r>
        <w:rPr>
          <w:rFonts w:ascii="Arial" w:cs="Arial" w:eastAsia="Arial" w:hAnsi="Arial"/>
          <w:sz w:val="20"/>
          <w:szCs w:val="20"/>
          <w:color w:val="232323"/>
        </w:rPr>
        <w:t>i</w:t>
      </w:r>
      <w:r>
        <w:rPr>
          <w:rFonts w:ascii="Arial" w:cs="Arial" w:eastAsia="Arial" w:hAnsi="Arial"/>
          <w:sz w:val="20"/>
          <w:szCs w:val="20"/>
          <w:color w:val="424242"/>
        </w:rPr>
        <w:t>ve</w:t>
      </w:r>
      <w:r>
        <w:rPr>
          <w:rFonts w:ascii="Arial" w:cs="Arial" w:eastAsia="Arial" w:hAnsi="Arial"/>
          <w:sz w:val="20"/>
          <w:szCs w:val="20"/>
          <w:color w:val="232323"/>
        </w:rPr>
        <w:t xml:space="preserve"> Date pursuant </w:t>
      </w:r>
      <w:r>
        <w:rPr>
          <w:rFonts w:ascii="Arial" w:cs="Arial" w:eastAsia="Arial" w:hAnsi="Arial"/>
          <w:sz w:val="20"/>
          <w:szCs w:val="20"/>
          <w:color w:val="333333"/>
        </w:rPr>
        <w:t>to</w:t>
      </w:r>
      <w:r>
        <w:rPr>
          <w:rFonts w:ascii="Arial" w:cs="Arial" w:eastAsia="Arial" w:hAnsi="Arial"/>
          <w:sz w:val="20"/>
          <w:szCs w:val="20"/>
          <w:color w:val="232323"/>
        </w:rPr>
        <w:t xml:space="preserve"> the terms </w:t>
      </w:r>
      <w:r>
        <w:rPr>
          <w:rFonts w:ascii="Arial" w:cs="Arial" w:eastAsia="Arial" w:hAnsi="Arial"/>
          <w:sz w:val="20"/>
          <w:szCs w:val="20"/>
          <w:color w:val="333333"/>
        </w:rPr>
        <w:t>and conditions</w:t>
      </w:r>
      <w:r>
        <w:rPr>
          <w:rFonts w:ascii="Arial" w:cs="Arial" w:eastAsia="Arial" w:hAnsi="Arial"/>
          <w:sz w:val="20"/>
          <w:szCs w:val="20"/>
          <w:color w:val="232323"/>
        </w:rPr>
        <w:t xml:space="preserve"> </w:t>
      </w:r>
      <w:r>
        <w:rPr>
          <w:rFonts w:ascii="Arial" w:cs="Arial" w:eastAsia="Arial" w:hAnsi="Arial"/>
          <w:sz w:val="20"/>
          <w:szCs w:val="20"/>
          <w:color w:val="424242"/>
        </w:rPr>
        <w:t xml:space="preserve">set </w:t>
      </w:r>
      <w:r>
        <w:rPr>
          <w:rFonts w:ascii="Arial" w:cs="Arial" w:eastAsia="Arial" w:hAnsi="Arial"/>
          <w:sz w:val="20"/>
          <w:szCs w:val="20"/>
          <w:color w:val="333333"/>
        </w:rPr>
        <w:t>forth herein. The Executive</w:t>
      </w:r>
      <w:r>
        <w:rPr>
          <w:rFonts w:ascii="Arial" w:cs="Arial" w:eastAsia="Arial" w:hAnsi="Arial"/>
          <w:sz w:val="20"/>
          <w:szCs w:val="20"/>
          <w:color w:val="424242"/>
        </w:rPr>
        <w:t xml:space="preserve"> sha</w:t>
      </w:r>
      <w:r>
        <w:rPr>
          <w:rFonts w:ascii="Arial" w:cs="Arial" w:eastAsia="Arial" w:hAnsi="Arial"/>
          <w:sz w:val="20"/>
          <w:szCs w:val="20"/>
          <w:color w:val="232323"/>
        </w:rPr>
        <w:t>ll</w:t>
      </w:r>
      <w:r>
        <w:rPr>
          <w:rFonts w:ascii="Arial" w:cs="Arial" w:eastAsia="Arial" w:hAnsi="Arial"/>
          <w:sz w:val="20"/>
          <w:szCs w:val="20"/>
          <w:color w:val="424242"/>
        </w:rPr>
        <w:t xml:space="preserve"> </w:t>
      </w:r>
      <w:r>
        <w:rPr>
          <w:rFonts w:ascii="Arial" w:cs="Arial" w:eastAsia="Arial" w:hAnsi="Arial"/>
          <w:sz w:val="20"/>
          <w:szCs w:val="20"/>
          <w:color w:val="333333"/>
        </w:rPr>
        <w:t>report directly</w:t>
      </w:r>
      <w:r>
        <w:rPr>
          <w:rFonts w:ascii="Arial" w:cs="Arial" w:eastAsia="Arial" w:hAnsi="Arial"/>
          <w:sz w:val="20"/>
          <w:szCs w:val="20"/>
          <w:color w:val="424242"/>
        </w:rPr>
        <w:t xml:space="preserve"> </w:t>
      </w:r>
      <w:r>
        <w:rPr>
          <w:rFonts w:ascii="Arial" w:cs="Arial" w:eastAsia="Arial" w:hAnsi="Arial"/>
          <w:sz w:val="20"/>
          <w:szCs w:val="20"/>
          <w:color w:val="232323"/>
        </w:rPr>
        <w:t>to</w:t>
      </w:r>
      <w:r>
        <w:rPr>
          <w:rFonts w:ascii="Arial" w:cs="Arial" w:eastAsia="Arial" w:hAnsi="Arial"/>
          <w:sz w:val="20"/>
          <w:szCs w:val="20"/>
          <w:color w:val="424242"/>
        </w:rPr>
        <w:t xml:space="preserve"> </w:t>
      </w:r>
      <w:r>
        <w:rPr>
          <w:rFonts w:ascii="Arial" w:cs="Arial" w:eastAsia="Arial" w:hAnsi="Arial"/>
          <w:sz w:val="20"/>
          <w:szCs w:val="20"/>
          <w:color w:val="333333"/>
        </w:rPr>
        <w:t>the Chief Executive</w:t>
      </w:r>
      <w:r>
        <w:rPr>
          <w:rFonts w:ascii="Arial" w:cs="Arial" w:eastAsia="Arial" w:hAnsi="Arial"/>
          <w:sz w:val="20"/>
          <w:szCs w:val="20"/>
          <w:color w:val="424242"/>
        </w:rPr>
        <w:t xml:space="preserve"> </w:t>
      </w:r>
      <w:r>
        <w:rPr>
          <w:rFonts w:ascii="Arial" w:cs="Arial" w:eastAsia="Arial" w:hAnsi="Arial"/>
          <w:sz w:val="20"/>
          <w:szCs w:val="20"/>
          <w:color w:val="232323"/>
        </w:rPr>
        <w:t>Offic</w:t>
      </w:r>
      <w:r>
        <w:rPr>
          <w:rFonts w:ascii="Arial" w:cs="Arial" w:eastAsia="Arial" w:hAnsi="Arial"/>
          <w:sz w:val="20"/>
          <w:szCs w:val="20"/>
          <w:color w:val="424242"/>
        </w:rPr>
        <w:t>e</w:t>
      </w:r>
      <w:r>
        <w:rPr>
          <w:rFonts w:ascii="Arial" w:cs="Arial" w:eastAsia="Arial" w:hAnsi="Arial"/>
          <w:sz w:val="20"/>
          <w:szCs w:val="20"/>
          <w:color w:val="232323"/>
        </w:rPr>
        <w:t>r</w:t>
      </w:r>
      <w:r>
        <w:rPr>
          <w:rFonts w:ascii="Arial" w:cs="Arial" w:eastAsia="Arial" w:hAnsi="Arial"/>
          <w:sz w:val="20"/>
          <w:szCs w:val="20"/>
          <w:color w:val="424242"/>
        </w:rPr>
        <w:t xml:space="preserve"> </w:t>
      </w:r>
      <w:r>
        <w:rPr>
          <w:rFonts w:ascii="Arial" w:cs="Arial" w:eastAsia="Arial" w:hAnsi="Arial"/>
          <w:sz w:val="20"/>
          <w:szCs w:val="20"/>
          <w:color w:val="333333"/>
        </w:rPr>
        <w:t>("CEO</w:t>
      </w:r>
      <w:r>
        <w:rPr>
          <w:rFonts w:ascii="Arial" w:cs="Arial" w:eastAsia="Arial" w:hAnsi="Arial"/>
          <w:sz w:val="20"/>
          <w:szCs w:val="20"/>
          <w:color w:val="565656"/>
        </w:rPr>
        <w:t>"</w:t>
      </w:r>
      <w:r>
        <w:rPr>
          <w:rFonts w:ascii="Arial" w:cs="Arial" w:eastAsia="Arial" w:hAnsi="Arial"/>
          <w:sz w:val="20"/>
          <w:szCs w:val="20"/>
          <w:color w:val="232323"/>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Pr>
          <w:p>
            <w:pPr>
              <w:jc w:val="right"/>
              <w:ind w:right="117"/>
              <w:spacing w:after="0"/>
              <w:rPr>
                <w:sz w:val="20"/>
                <w:szCs w:val="20"/>
                <w:color w:val="auto"/>
              </w:rPr>
            </w:pPr>
            <w:r>
              <w:rPr>
                <w:rFonts w:ascii="Arial" w:cs="Arial" w:eastAsia="Arial" w:hAnsi="Arial"/>
                <w:sz w:val="21"/>
                <w:szCs w:val="21"/>
                <w:color w:val="232323"/>
              </w:rPr>
              <w:t>1.2</w:t>
            </w:r>
          </w:p>
        </w:tc>
        <w:tc>
          <w:tcPr>
            <w:tcW w:w="420" w:type="dxa"/>
            <w:vAlign w:val="bottom"/>
          </w:tcPr>
          <w:p>
            <w:pPr>
              <w:spacing w:after="0"/>
              <w:rPr>
                <w:sz w:val="21"/>
                <w:szCs w:val="21"/>
                <w:color w:val="auto"/>
              </w:rPr>
            </w:pPr>
          </w:p>
        </w:tc>
        <w:tc>
          <w:tcPr>
            <w:tcW w:w="8580" w:type="dxa"/>
            <w:vAlign w:val="bottom"/>
            <w:gridSpan w:val="2"/>
          </w:tcPr>
          <w:p>
            <w:pPr>
              <w:spacing w:after="0"/>
              <w:rPr>
                <w:sz w:val="20"/>
                <w:szCs w:val="20"/>
                <w:color w:val="auto"/>
              </w:rPr>
            </w:pPr>
            <w:r>
              <w:rPr>
                <w:rFonts w:ascii="Arial" w:cs="Arial" w:eastAsia="Arial" w:hAnsi="Arial"/>
                <w:sz w:val="21"/>
                <w:szCs w:val="21"/>
                <w:color w:val="232323"/>
                <w:w w:val="90"/>
              </w:rPr>
              <w:t>Duties</w:t>
            </w:r>
            <w:r>
              <w:rPr>
                <w:rFonts w:ascii="Arial" w:cs="Arial" w:eastAsia="Arial" w:hAnsi="Arial"/>
                <w:sz w:val="21"/>
                <w:szCs w:val="21"/>
                <w:color w:val="565656"/>
                <w:w w:val="90"/>
              </w:rPr>
              <w:t>.</w:t>
            </w:r>
            <w:r>
              <w:rPr>
                <w:rFonts w:ascii="Arial" w:cs="Arial" w:eastAsia="Arial" w:hAnsi="Arial"/>
                <w:sz w:val="21"/>
                <w:szCs w:val="21"/>
                <w:color w:val="232323"/>
                <w:w w:val="90"/>
              </w:rPr>
              <w:t xml:space="preserve"> </w:t>
            </w:r>
            <w:r>
              <w:rPr>
                <w:rFonts w:ascii="Arial" w:cs="Arial" w:eastAsia="Arial" w:hAnsi="Arial"/>
                <w:sz w:val="21"/>
                <w:szCs w:val="21"/>
                <w:color w:val="333333"/>
                <w:w w:val="90"/>
              </w:rPr>
              <w:t>The Executive shall</w:t>
            </w:r>
            <w:r>
              <w:rPr>
                <w:rFonts w:ascii="Arial" w:cs="Arial" w:eastAsia="Arial" w:hAnsi="Arial"/>
                <w:sz w:val="21"/>
                <w:szCs w:val="21"/>
                <w:color w:val="232323"/>
                <w:w w:val="90"/>
              </w:rPr>
              <w:t xml:space="preserve"> perform</w:t>
            </w:r>
            <w:r>
              <w:rPr>
                <w:rFonts w:ascii="Arial" w:cs="Arial" w:eastAsia="Arial" w:hAnsi="Arial"/>
                <w:sz w:val="21"/>
                <w:szCs w:val="21"/>
                <w:color w:val="565656"/>
                <w:w w:val="90"/>
              </w:rPr>
              <w:t>,</w:t>
            </w:r>
            <w:r>
              <w:rPr>
                <w:rFonts w:ascii="Arial" w:cs="Arial" w:eastAsia="Arial" w:hAnsi="Arial"/>
                <w:sz w:val="21"/>
                <w:szCs w:val="21"/>
                <w:color w:val="232323"/>
                <w:w w:val="90"/>
              </w:rPr>
              <w:t xml:space="preserve"> to the best </w:t>
            </w:r>
            <w:r>
              <w:rPr>
                <w:rFonts w:ascii="Arial" w:cs="Arial" w:eastAsia="Arial" w:hAnsi="Arial"/>
                <w:sz w:val="21"/>
                <w:szCs w:val="21"/>
                <w:color w:val="424242"/>
                <w:w w:val="90"/>
              </w:rPr>
              <w:t>of</w:t>
            </w:r>
            <w:r>
              <w:rPr>
                <w:rFonts w:ascii="Arial" w:cs="Arial" w:eastAsia="Arial" w:hAnsi="Arial"/>
                <w:sz w:val="21"/>
                <w:szCs w:val="21"/>
                <w:color w:val="232323"/>
                <w:w w:val="90"/>
              </w:rPr>
              <w:t xml:space="preserve"> </w:t>
            </w:r>
            <w:r>
              <w:rPr>
                <w:rFonts w:ascii="Arial" w:cs="Arial" w:eastAsia="Arial" w:hAnsi="Arial"/>
                <w:sz w:val="21"/>
                <w:szCs w:val="21"/>
                <w:color w:val="333333"/>
                <w:w w:val="90"/>
              </w:rPr>
              <w:t>his ability and</w:t>
            </w:r>
            <w:r>
              <w:rPr>
                <w:rFonts w:ascii="Arial" w:cs="Arial" w:eastAsia="Arial" w:hAnsi="Arial"/>
                <w:sz w:val="21"/>
                <w:szCs w:val="21"/>
                <w:color w:val="232323"/>
                <w:w w:val="90"/>
              </w:rPr>
              <w:t xml:space="preserve"> in </w:t>
            </w:r>
            <w:r>
              <w:rPr>
                <w:rFonts w:ascii="Arial" w:cs="Arial" w:eastAsia="Arial" w:hAnsi="Arial"/>
                <w:sz w:val="21"/>
                <w:szCs w:val="21"/>
                <w:color w:val="333333"/>
                <w:w w:val="90"/>
              </w:rPr>
              <w:t>a manner satisfactory</w:t>
            </w:r>
            <w:r>
              <w:rPr>
                <w:rFonts w:ascii="Arial" w:cs="Arial" w:eastAsia="Arial" w:hAnsi="Arial"/>
                <w:sz w:val="21"/>
                <w:szCs w:val="21"/>
                <w:color w:val="232323"/>
                <w:w w:val="90"/>
              </w:rPr>
              <w:t xml:space="preserve"> to the </w:t>
            </w:r>
            <w:r>
              <w:rPr>
                <w:rFonts w:ascii="Arial" w:cs="Arial" w:eastAsia="Arial" w:hAnsi="Arial"/>
                <w:sz w:val="21"/>
                <w:szCs w:val="21"/>
                <w:color w:val="333333"/>
                <w:w w:val="90"/>
              </w:rPr>
              <w:t>CEO,</w:t>
            </w:r>
          </w:p>
        </w:tc>
      </w:tr>
      <w:tr>
        <w:trPr>
          <w:trHeight w:val="20"/>
        </w:trPr>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232323"/>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68"/>
        </w:trPr>
        <w:tc>
          <w:tcPr>
            <w:tcW w:w="1240" w:type="dxa"/>
            <w:vAlign w:val="bottom"/>
          </w:tcPr>
          <w:p>
            <w:pPr>
              <w:jc w:val="right"/>
              <w:spacing w:after="0"/>
              <w:rPr>
                <w:sz w:val="20"/>
                <w:szCs w:val="20"/>
                <w:color w:val="auto"/>
              </w:rPr>
            </w:pPr>
            <w:r>
              <w:rPr>
                <w:rFonts w:ascii="Arial" w:cs="Arial" w:eastAsia="Arial" w:hAnsi="Arial"/>
                <w:sz w:val="21"/>
                <w:szCs w:val="21"/>
                <w:color w:val="333333"/>
                <w:w w:val="87"/>
              </w:rPr>
              <w:t xml:space="preserve">all such </w:t>
            </w:r>
            <w:r>
              <w:rPr>
                <w:rFonts w:ascii="Arial" w:cs="Arial" w:eastAsia="Arial" w:hAnsi="Arial"/>
                <w:sz w:val="21"/>
                <w:szCs w:val="21"/>
                <w:color w:val="232323"/>
                <w:w w:val="87"/>
              </w:rPr>
              <w:t>duties</w:t>
            </w:r>
          </w:p>
        </w:tc>
        <w:tc>
          <w:tcPr>
            <w:tcW w:w="9000" w:type="dxa"/>
            <w:vAlign w:val="bottom"/>
            <w:gridSpan w:val="3"/>
          </w:tcPr>
          <w:p>
            <w:pPr>
              <w:ind w:left="60"/>
              <w:spacing w:after="0"/>
              <w:rPr>
                <w:sz w:val="20"/>
                <w:szCs w:val="20"/>
                <w:color w:val="auto"/>
              </w:rPr>
            </w:pPr>
            <w:r>
              <w:rPr>
                <w:rFonts w:ascii="Arial" w:cs="Arial" w:eastAsia="Arial" w:hAnsi="Arial"/>
                <w:sz w:val="21"/>
                <w:szCs w:val="21"/>
                <w:color w:val="232323"/>
                <w:w w:val="89"/>
              </w:rPr>
              <w:t xml:space="preserve">that </w:t>
            </w:r>
            <w:r>
              <w:rPr>
                <w:rFonts w:ascii="Arial" w:cs="Arial" w:eastAsia="Arial" w:hAnsi="Arial"/>
                <w:sz w:val="21"/>
                <w:szCs w:val="21"/>
                <w:color w:val="333333"/>
                <w:w w:val="89"/>
              </w:rPr>
              <w:t>are</w:t>
            </w:r>
            <w:r>
              <w:rPr>
                <w:rFonts w:ascii="Arial" w:cs="Arial" w:eastAsia="Arial" w:hAnsi="Arial"/>
                <w:sz w:val="21"/>
                <w:szCs w:val="21"/>
                <w:color w:val="232323"/>
                <w:w w:val="89"/>
              </w:rPr>
              <w:t xml:space="preserve"> consistent </w:t>
            </w:r>
            <w:r>
              <w:rPr>
                <w:rFonts w:ascii="Arial" w:cs="Arial" w:eastAsia="Arial" w:hAnsi="Arial"/>
                <w:sz w:val="21"/>
                <w:szCs w:val="21"/>
                <w:color w:val="333333"/>
                <w:w w:val="89"/>
              </w:rPr>
              <w:t>with Executive's</w:t>
            </w:r>
            <w:r>
              <w:rPr>
                <w:rFonts w:ascii="Arial" w:cs="Arial" w:eastAsia="Arial" w:hAnsi="Arial"/>
                <w:sz w:val="21"/>
                <w:szCs w:val="21"/>
                <w:color w:val="232323"/>
                <w:w w:val="89"/>
              </w:rPr>
              <w:t xml:space="preserve"> title </w:t>
            </w:r>
            <w:r>
              <w:rPr>
                <w:rFonts w:ascii="Arial" w:cs="Arial" w:eastAsia="Arial" w:hAnsi="Arial"/>
                <w:sz w:val="21"/>
                <w:szCs w:val="21"/>
                <w:color w:val="333333"/>
                <w:w w:val="89"/>
              </w:rPr>
              <w:t>and</w:t>
            </w:r>
            <w:r>
              <w:rPr>
                <w:rFonts w:ascii="Arial" w:cs="Arial" w:eastAsia="Arial" w:hAnsi="Arial"/>
                <w:sz w:val="21"/>
                <w:szCs w:val="21"/>
                <w:color w:val="232323"/>
                <w:w w:val="89"/>
              </w:rPr>
              <w:t xml:space="preserve"> position</w:t>
            </w:r>
            <w:r>
              <w:rPr>
                <w:rFonts w:ascii="Arial" w:cs="Arial" w:eastAsia="Arial" w:hAnsi="Arial"/>
                <w:sz w:val="21"/>
                <w:szCs w:val="21"/>
                <w:color w:val="424242"/>
                <w:w w:val="89"/>
              </w:rPr>
              <w:t>, a</w:t>
            </w:r>
            <w:r>
              <w:rPr>
                <w:rFonts w:ascii="Arial" w:cs="Arial" w:eastAsia="Arial" w:hAnsi="Arial"/>
                <w:sz w:val="21"/>
                <w:szCs w:val="21"/>
                <w:color w:val="232323"/>
                <w:w w:val="89"/>
              </w:rPr>
              <w:t xml:space="preserve">nd </w:t>
            </w:r>
            <w:r>
              <w:rPr>
                <w:rFonts w:ascii="Arial" w:cs="Arial" w:eastAsia="Arial" w:hAnsi="Arial"/>
                <w:sz w:val="21"/>
                <w:szCs w:val="21"/>
                <w:color w:val="333333"/>
                <w:w w:val="89"/>
              </w:rPr>
              <w:t>such other</w:t>
            </w:r>
            <w:r>
              <w:rPr>
                <w:rFonts w:ascii="Arial" w:cs="Arial" w:eastAsia="Arial" w:hAnsi="Arial"/>
                <w:sz w:val="21"/>
                <w:szCs w:val="21"/>
                <w:color w:val="232323"/>
                <w:w w:val="89"/>
              </w:rPr>
              <w:t xml:space="preserve"> duties </w:t>
            </w:r>
            <w:r>
              <w:rPr>
                <w:rFonts w:ascii="Arial" w:cs="Arial" w:eastAsia="Arial" w:hAnsi="Arial"/>
                <w:sz w:val="21"/>
                <w:szCs w:val="21"/>
                <w:color w:val="333333"/>
                <w:w w:val="89"/>
              </w:rPr>
              <w:t>as may</w:t>
            </w:r>
            <w:r>
              <w:rPr>
                <w:rFonts w:ascii="Arial" w:cs="Arial" w:eastAsia="Arial" w:hAnsi="Arial"/>
                <w:sz w:val="21"/>
                <w:szCs w:val="21"/>
                <w:color w:val="232323"/>
                <w:w w:val="89"/>
              </w:rPr>
              <w:t xml:space="preserve"> reason</w:t>
            </w:r>
            <w:r>
              <w:rPr>
                <w:rFonts w:ascii="Arial" w:cs="Arial" w:eastAsia="Arial" w:hAnsi="Arial"/>
                <w:sz w:val="21"/>
                <w:szCs w:val="21"/>
                <w:color w:val="424242"/>
                <w:w w:val="89"/>
              </w:rPr>
              <w:t>a</w:t>
            </w:r>
            <w:r>
              <w:rPr>
                <w:rFonts w:ascii="Arial" w:cs="Arial" w:eastAsia="Arial" w:hAnsi="Arial"/>
                <w:sz w:val="21"/>
                <w:szCs w:val="21"/>
                <w:color w:val="232323"/>
                <w:w w:val="89"/>
              </w:rPr>
              <w:t xml:space="preserve">bly be </w:t>
            </w:r>
            <w:r>
              <w:rPr>
                <w:rFonts w:ascii="Arial" w:cs="Arial" w:eastAsia="Arial" w:hAnsi="Arial"/>
                <w:sz w:val="21"/>
                <w:szCs w:val="21"/>
                <w:color w:val="333333"/>
                <w:w w:val="89"/>
              </w:rPr>
              <w:t>assigned</w:t>
            </w:r>
          </w:p>
        </w:tc>
      </w:tr>
    </w:tbl>
    <w:p>
      <w:pPr>
        <w:ind w:right="840"/>
        <w:spacing w:after="0" w:line="262" w:lineRule="auto"/>
        <w:rPr>
          <w:sz w:val="20"/>
          <w:szCs w:val="20"/>
          <w:color w:val="auto"/>
        </w:rPr>
      </w:pPr>
      <w:r>
        <w:rPr>
          <w:rFonts w:ascii="Arial" w:cs="Arial" w:eastAsia="Arial" w:hAnsi="Arial"/>
          <w:sz w:val="20"/>
          <w:szCs w:val="20"/>
          <w:color w:val="333333"/>
        </w:rPr>
        <w:t xml:space="preserve">to </w:t>
      </w:r>
      <w:r>
        <w:rPr>
          <w:rFonts w:ascii="Arial" w:cs="Arial" w:eastAsia="Arial" w:hAnsi="Arial"/>
          <w:sz w:val="20"/>
          <w:szCs w:val="20"/>
          <w:color w:val="232323"/>
        </w:rPr>
        <w:t>him</w:t>
      </w:r>
      <w:r>
        <w:rPr>
          <w:rFonts w:ascii="Arial" w:cs="Arial" w:eastAsia="Arial" w:hAnsi="Arial"/>
          <w:sz w:val="20"/>
          <w:szCs w:val="20"/>
          <w:color w:val="333333"/>
        </w:rPr>
        <w:t xml:space="preserve"> by the C</w:t>
      </w:r>
      <w:r>
        <w:rPr>
          <w:rFonts w:ascii="Arial" w:cs="Arial" w:eastAsia="Arial" w:hAnsi="Arial"/>
          <w:sz w:val="20"/>
          <w:szCs w:val="20"/>
          <w:color w:val="565656"/>
        </w:rPr>
        <w:t>E</w:t>
      </w:r>
      <w:r>
        <w:rPr>
          <w:rFonts w:ascii="Arial" w:cs="Arial" w:eastAsia="Arial" w:hAnsi="Arial"/>
          <w:sz w:val="20"/>
          <w:szCs w:val="20"/>
          <w:color w:val="333333"/>
        </w:rPr>
        <w:t xml:space="preserve">O. The </w:t>
      </w:r>
      <w:r>
        <w:rPr>
          <w:rFonts w:ascii="Arial" w:cs="Arial" w:eastAsia="Arial" w:hAnsi="Arial"/>
          <w:sz w:val="20"/>
          <w:szCs w:val="20"/>
          <w:color w:val="565656"/>
        </w:rPr>
        <w:t>Ex</w:t>
      </w:r>
      <w:r>
        <w:rPr>
          <w:rFonts w:ascii="Arial" w:cs="Arial" w:eastAsia="Arial" w:hAnsi="Arial"/>
          <w:sz w:val="20"/>
          <w:szCs w:val="20"/>
          <w:color w:val="333333"/>
        </w:rPr>
        <w:t xml:space="preserve">ecutive's duties will </w:t>
      </w:r>
      <w:r>
        <w:rPr>
          <w:rFonts w:ascii="Arial" w:cs="Arial" w:eastAsia="Arial" w:hAnsi="Arial"/>
          <w:sz w:val="20"/>
          <w:szCs w:val="20"/>
          <w:color w:val="232323"/>
        </w:rPr>
        <w:t>be</w:t>
      </w:r>
      <w:r>
        <w:rPr>
          <w:rFonts w:ascii="Arial" w:cs="Arial" w:eastAsia="Arial" w:hAnsi="Arial"/>
          <w:sz w:val="20"/>
          <w:szCs w:val="20"/>
          <w:color w:val="333333"/>
        </w:rPr>
        <w:t xml:space="preserve"> conducted principally </w:t>
      </w:r>
      <w:r>
        <w:rPr>
          <w:rFonts w:ascii="Arial" w:cs="Arial" w:eastAsia="Arial" w:hAnsi="Arial"/>
          <w:sz w:val="20"/>
          <w:szCs w:val="20"/>
          <w:color w:val="232323"/>
        </w:rPr>
        <w:t>from the</w:t>
      </w:r>
      <w:r>
        <w:rPr>
          <w:rFonts w:ascii="Arial" w:cs="Arial" w:eastAsia="Arial" w:hAnsi="Arial"/>
          <w:sz w:val="20"/>
          <w:szCs w:val="20"/>
          <w:color w:val="333333"/>
        </w:rPr>
        <w:t xml:space="preserve"> Company's North </w:t>
      </w:r>
      <w:r>
        <w:rPr>
          <w:rFonts w:ascii="Arial" w:cs="Arial" w:eastAsia="Arial" w:hAnsi="Arial"/>
          <w:sz w:val="20"/>
          <w:szCs w:val="20"/>
          <w:color w:val="232323"/>
        </w:rPr>
        <w:t>America office</w:t>
      </w:r>
      <w:r>
        <w:rPr>
          <w:rFonts w:ascii="Arial" w:cs="Arial" w:eastAsia="Arial" w:hAnsi="Arial"/>
          <w:sz w:val="20"/>
          <w:szCs w:val="20"/>
          <w:color w:val="424242"/>
        </w:rPr>
        <w:t>,</w:t>
      </w:r>
      <w:r>
        <w:rPr>
          <w:rFonts w:ascii="Arial" w:cs="Arial" w:eastAsia="Arial" w:hAnsi="Arial"/>
          <w:sz w:val="20"/>
          <w:szCs w:val="20"/>
          <w:color w:val="333333"/>
        </w:rPr>
        <w:t xml:space="preserve"> </w:t>
      </w:r>
      <w:r>
        <w:rPr>
          <w:rFonts w:ascii="Arial" w:cs="Arial" w:eastAsia="Arial" w:hAnsi="Arial"/>
          <w:sz w:val="20"/>
          <w:szCs w:val="20"/>
          <w:color w:val="232323"/>
        </w:rPr>
        <w:t xml:space="preserve">currently located </w:t>
      </w:r>
      <w:r>
        <w:rPr>
          <w:rFonts w:ascii="Arial" w:cs="Arial" w:eastAsia="Arial" w:hAnsi="Arial"/>
          <w:sz w:val="20"/>
          <w:szCs w:val="20"/>
          <w:color w:val="333333"/>
        </w:rPr>
        <w:t>in Valencia, California</w:t>
      </w:r>
      <w:r>
        <w:rPr>
          <w:rFonts w:ascii="Arial" w:cs="Arial" w:eastAsia="Arial" w:hAnsi="Arial"/>
          <w:sz w:val="20"/>
          <w:szCs w:val="20"/>
          <w:color w:val="565656"/>
        </w:rPr>
        <w:t>,</w:t>
      </w:r>
      <w:r>
        <w:rPr>
          <w:rFonts w:ascii="Arial" w:cs="Arial" w:eastAsia="Arial" w:hAnsi="Arial"/>
          <w:sz w:val="20"/>
          <w:szCs w:val="20"/>
          <w:color w:val="232323"/>
        </w:rPr>
        <w:t xml:space="preserve"> </w:t>
      </w:r>
      <w:r>
        <w:rPr>
          <w:rFonts w:ascii="Arial" w:cs="Arial" w:eastAsia="Arial" w:hAnsi="Arial"/>
          <w:sz w:val="20"/>
          <w:szCs w:val="20"/>
          <w:color w:val="333333"/>
        </w:rPr>
        <w:t>or at such other</w:t>
      </w:r>
      <w:r>
        <w:rPr>
          <w:rFonts w:ascii="Arial" w:cs="Arial" w:eastAsia="Arial" w:hAnsi="Arial"/>
          <w:sz w:val="20"/>
          <w:szCs w:val="20"/>
          <w:color w:val="232323"/>
        </w:rPr>
        <w:t xml:space="preserve"> location </w:t>
      </w:r>
      <w:r>
        <w:rPr>
          <w:rFonts w:ascii="Arial" w:cs="Arial" w:eastAsia="Arial" w:hAnsi="Arial"/>
          <w:sz w:val="20"/>
          <w:szCs w:val="20"/>
          <w:color w:val="333333"/>
        </w:rPr>
        <w:t>as</w:t>
      </w:r>
      <w:r>
        <w:rPr>
          <w:rFonts w:ascii="Arial" w:cs="Arial" w:eastAsia="Arial" w:hAnsi="Arial"/>
          <w:sz w:val="20"/>
          <w:szCs w:val="20"/>
          <w:color w:val="232323"/>
        </w:rPr>
        <w:t xml:space="preserve"> determined </w:t>
      </w:r>
      <w:r>
        <w:rPr>
          <w:rFonts w:ascii="Arial" w:cs="Arial" w:eastAsia="Arial" w:hAnsi="Arial"/>
          <w:sz w:val="20"/>
          <w:szCs w:val="20"/>
          <w:color w:val="333333"/>
        </w:rPr>
        <w:t>by</w:t>
      </w:r>
      <w:r>
        <w:rPr>
          <w:rFonts w:ascii="Arial" w:cs="Arial" w:eastAsia="Arial" w:hAnsi="Arial"/>
          <w:sz w:val="20"/>
          <w:szCs w:val="20"/>
          <w:color w:val="232323"/>
        </w:rPr>
        <w:t xml:space="preserve"> the </w:t>
      </w:r>
      <w:r>
        <w:rPr>
          <w:rFonts w:ascii="Arial" w:cs="Arial" w:eastAsia="Arial" w:hAnsi="Arial"/>
          <w:sz w:val="20"/>
          <w:szCs w:val="20"/>
          <w:color w:val="333333"/>
        </w:rPr>
        <w:t>CEO (but subject to the</w:t>
      </w:r>
      <w:r>
        <w:rPr>
          <w:rFonts w:ascii="Arial" w:cs="Arial" w:eastAsia="Arial" w:hAnsi="Arial"/>
          <w:sz w:val="20"/>
          <w:szCs w:val="20"/>
          <w:color w:val="232323"/>
        </w:rPr>
        <w:t xml:space="preserve"> terms </w:t>
      </w:r>
      <w:r>
        <w:rPr>
          <w:rFonts w:ascii="Arial" w:cs="Arial" w:eastAsia="Arial" w:hAnsi="Arial"/>
          <w:sz w:val="20"/>
          <w:szCs w:val="20"/>
          <w:color w:val="333333"/>
        </w:rPr>
        <w:t>of</w:t>
      </w:r>
      <w:r>
        <w:rPr>
          <w:rFonts w:ascii="Arial" w:cs="Arial" w:eastAsia="Arial" w:hAnsi="Arial"/>
          <w:sz w:val="20"/>
          <w:szCs w:val="20"/>
          <w:color w:val="232323"/>
        </w:rPr>
        <w:t xml:space="preserve"> this </w:t>
      </w:r>
      <w:r>
        <w:rPr>
          <w:rFonts w:ascii="Arial" w:cs="Arial" w:eastAsia="Arial" w:hAnsi="Arial"/>
          <w:sz w:val="20"/>
          <w:szCs w:val="20"/>
          <w:color w:val="333333"/>
        </w:rPr>
        <w:t>Agreement)</w:t>
      </w:r>
      <w:r>
        <w:rPr>
          <w:rFonts w:ascii="Arial" w:cs="Arial" w:eastAsia="Arial" w:hAnsi="Arial"/>
          <w:sz w:val="20"/>
          <w:szCs w:val="20"/>
          <w:color w:val="565656"/>
        </w:rPr>
        <w:t>,</w:t>
      </w:r>
      <w:r>
        <w:rPr>
          <w:rFonts w:ascii="Arial" w:cs="Arial" w:eastAsia="Arial" w:hAnsi="Arial"/>
          <w:sz w:val="20"/>
          <w:szCs w:val="20"/>
          <w:color w:val="333333"/>
        </w:rPr>
        <w:t xml:space="preserve"> with </w:t>
      </w:r>
      <w:r>
        <w:rPr>
          <w:rFonts w:ascii="Arial" w:cs="Arial" w:eastAsia="Arial" w:hAnsi="Arial"/>
          <w:sz w:val="20"/>
          <w:szCs w:val="20"/>
          <w:color w:val="232323"/>
        </w:rPr>
        <w:t>travel to</w:t>
      </w:r>
      <w:r>
        <w:rPr>
          <w:rFonts w:ascii="Arial" w:cs="Arial" w:eastAsia="Arial" w:hAnsi="Arial"/>
          <w:sz w:val="20"/>
          <w:szCs w:val="20"/>
          <w:color w:val="333333"/>
        </w:rPr>
        <w:t xml:space="preserve"> </w:t>
      </w:r>
      <w:r>
        <w:rPr>
          <w:rFonts w:ascii="Arial" w:cs="Arial" w:eastAsia="Arial" w:hAnsi="Arial"/>
          <w:sz w:val="20"/>
          <w:szCs w:val="20"/>
          <w:color w:val="424242"/>
        </w:rPr>
        <w:t>s</w:t>
      </w:r>
      <w:r>
        <w:rPr>
          <w:rFonts w:ascii="Arial" w:cs="Arial" w:eastAsia="Arial" w:hAnsi="Arial"/>
          <w:sz w:val="20"/>
          <w:szCs w:val="20"/>
          <w:color w:val="232323"/>
        </w:rPr>
        <w:t>uch</w:t>
      </w:r>
      <w:r>
        <w:rPr>
          <w:rFonts w:ascii="Arial" w:cs="Arial" w:eastAsia="Arial" w:hAnsi="Arial"/>
          <w:sz w:val="20"/>
          <w:szCs w:val="20"/>
          <w:color w:val="333333"/>
        </w:rPr>
        <w:t xml:space="preserve"> other </w:t>
      </w:r>
      <w:r>
        <w:rPr>
          <w:rFonts w:ascii="Arial" w:cs="Arial" w:eastAsia="Arial" w:hAnsi="Arial"/>
          <w:sz w:val="20"/>
          <w:szCs w:val="20"/>
          <w:color w:val="232323"/>
        </w:rPr>
        <w:t>location</w:t>
      </w:r>
      <w:r>
        <w:rPr>
          <w:rFonts w:ascii="Arial" w:cs="Arial" w:eastAsia="Arial" w:hAnsi="Arial"/>
          <w:sz w:val="20"/>
          <w:szCs w:val="20"/>
          <w:color w:val="424242"/>
        </w:rPr>
        <w:t>s</w:t>
      </w:r>
      <w:r>
        <w:rPr>
          <w:rFonts w:ascii="Arial" w:cs="Arial" w:eastAsia="Arial" w:hAnsi="Arial"/>
          <w:sz w:val="20"/>
          <w:szCs w:val="20"/>
          <w:color w:val="333333"/>
        </w:rPr>
        <w:t xml:space="preserve"> </w:t>
      </w:r>
      <w:r>
        <w:rPr>
          <w:rFonts w:ascii="Arial" w:cs="Arial" w:eastAsia="Arial" w:hAnsi="Arial"/>
          <w:sz w:val="20"/>
          <w:szCs w:val="20"/>
          <w:color w:val="232323"/>
        </w:rPr>
        <w:t>from time</w:t>
      </w:r>
      <w:r>
        <w:rPr>
          <w:rFonts w:ascii="Arial" w:cs="Arial" w:eastAsia="Arial" w:hAnsi="Arial"/>
          <w:sz w:val="20"/>
          <w:szCs w:val="20"/>
          <w:color w:val="333333"/>
        </w:rPr>
        <w:t xml:space="preserve"> to </w:t>
      </w:r>
      <w:r>
        <w:rPr>
          <w:rFonts w:ascii="Arial" w:cs="Arial" w:eastAsia="Arial" w:hAnsi="Arial"/>
          <w:sz w:val="20"/>
          <w:szCs w:val="20"/>
          <w:color w:val="232323"/>
        </w:rPr>
        <w:t>time</w:t>
      </w:r>
      <w:r>
        <w:rPr>
          <w:rFonts w:ascii="Arial" w:cs="Arial" w:eastAsia="Arial" w:hAnsi="Arial"/>
          <w:sz w:val="20"/>
          <w:szCs w:val="20"/>
          <w:color w:val="333333"/>
        </w:rPr>
        <w:t xml:space="preserve"> as </w:t>
      </w:r>
      <w:r>
        <w:rPr>
          <w:rFonts w:ascii="Arial" w:cs="Arial" w:eastAsia="Arial" w:hAnsi="Arial"/>
          <w:sz w:val="20"/>
          <w:szCs w:val="20"/>
          <w:color w:val="232323"/>
        </w:rPr>
        <w:t>reasonabl</w:t>
      </w:r>
      <w:r>
        <w:rPr>
          <w:rFonts w:ascii="Arial" w:cs="Arial" w:eastAsia="Arial" w:hAnsi="Arial"/>
          <w:sz w:val="20"/>
          <w:szCs w:val="20"/>
          <w:color w:val="424242"/>
        </w:rPr>
        <w:t>y</w:t>
      </w:r>
      <w:r>
        <w:rPr>
          <w:rFonts w:ascii="Arial" w:cs="Arial" w:eastAsia="Arial" w:hAnsi="Arial"/>
          <w:sz w:val="20"/>
          <w:szCs w:val="20"/>
          <w:color w:val="333333"/>
        </w:rPr>
        <w:t xml:space="preserve"> </w:t>
      </w:r>
      <w:r>
        <w:rPr>
          <w:rFonts w:ascii="Arial" w:cs="Arial" w:eastAsia="Arial" w:hAnsi="Arial"/>
          <w:sz w:val="20"/>
          <w:szCs w:val="20"/>
          <w:color w:val="232323"/>
        </w:rPr>
        <w:t>required.</w:t>
      </w:r>
    </w:p>
    <w:p>
      <w:pPr>
        <w:spacing w:after="0" w:line="160" w:lineRule="exact"/>
        <w:rPr>
          <w:sz w:val="20"/>
          <w:szCs w:val="20"/>
          <w:color w:val="auto"/>
        </w:rPr>
      </w:pPr>
    </w:p>
    <w:p>
      <w:pPr>
        <w:ind w:left="760"/>
        <w:spacing w:after="0"/>
        <w:tabs>
          <w:tab w:leader="none" w:pos="1640" w:val="left"/>
        </w:tabs>
        <w:rPr>
          <w:sz w:val="20"/>
          <w:szCs w:val="20"/>
          <w:color w:val="auto"/>
        </w:rPr>
      </w:pPr>
      <w:r>
        <w:rPr>
          <w:rFonts w:ascii="Arial" w:cs="Arial" w:eastAsia="Arial" w:hAnsi="Arial"/>
          <w:sz w:val="21"/>
          <w:szCs w:val="21"/>
          <w:color w:val="232323"/>
        </w:rPr>
        <w:t>1.3</w:t>
      </w:r>
      <w:r>
        <w:rPr>
          <w:sz w:val="20"/>
          <w:szCs w:val="20"/>
          <w:color w:val="auto"/>
        </w:rPr>
        <w:tab/>
      </w:r>
      <w:r>
        <w:rPr>
          <w:rFonts w:ascii="Arial" w:cs="Arial" w:eastAsia="Arial" w:hAnsi="Arial"/>
          <w:sz w:val="19"/>
          <w:szCs w:val="19"/>
          <w:u w:val="single" w:color="auto"/>
          <w:color w:val="232323"/>
        </w:rPr>
        <w:t xml:space="preserve">Time and </w:t>
      </w:r>
      <w:r>
        <w:rPr>
          <w:rFonts w:ascii="Arial" w:cs="Arial" w:eastAsia="Arial" w:hAnsi="Arial"/>
          <w:sz w:val="19"/>
          <w:szCs w:val="19"/>
          <w:u w:val="single" w:color="auto"/>
          <w:color w:val="333333"/>
        </w:rPr>
        <w:t>Efforts</w:t>
      </w:r>
      <w:r>
        <w:rPr>
          <w:rFonts w:ascii="Arial" w:cs="Arial" w:eastAsia="Arial" w:hAnsi="Arial"/>
          <w:sz w:val="19"/>
          <w:szCs w:val="19"/>
          <w:color w:val="030303"/>
        </w:rPr>
        <w:t>.</w:t>
      </w:r>
      <w:r>
        <w:rPr>
          <w:rFonts w:ascii="Arial" w:cs="Arial" w:eastAsia="Arial" w:hAnsi="Arial"/>
          <w:sz w:val="19"/>
          <w:szCs w:val="19"/>
          <w:u w:val="single" w:color="auto"/>
          <w:color w:val="232323"/>
        </w:rPr>
        <w:t xml:space="preserve"> </w:t>
      </w:r>
      <w:r>
        <w:rPr>
          <w:rFonts w:ascii="Arial" w:cs="Arial" w:eastAsia="Arial" w:hAnsi="Arial"/>
          <w:sz w:val="19"/>
          <w:szCs w:val="19"/>
          <w:color w:val="333333"/>
        </w:rPr>
        <w:t>The Executive shall</w:t>
      </w:r>
      <w:r>
        <w:rPr>
          <w:rFonts w:ascii="Arial" w:cs="Arial" w:eastAsia="Arial" w:hAnsi="Arial"/>
          <w:sz w:val="19"/>
          <w:szCs w:val="19"/>
          <w:u w:val="single" w:color="auto"/>
          <w:color w:val="232323"/>
        </w:rPr>
        <w:t xml:space="preserve"> </w:t>
      </w:r>
      <w:r>
        <w:rPr>
          <w:rFonts w:ascii="Arial" w:cs="Arial" w:eastAsia="Arial" w:hAnsi="Arial"/>
          <w:sz w:val="19"/>
          <w:szCs w:val="19"/>
          <w:color w:val="232323"/>
        </w:rPr>
        <w:t>devot</w:t>
      </w:r>
      <w:r>
        <w:rPr>
          <w:rFonts w:ascii="Arial" w:cs="Arial" w:eastAsia="Arial" w:hAnsi="Arial"/>
          <w:sz w:val="19"/>
          <w:szCs w:val="19"/>
          <w:color w:val="424242"/>
        </w:rPr>
        <w:t>e</w:t>
      </w:r>
      <w:r>
        <w:rPr>
          <w:rFonts w:ascii="Arial" w:cs="Arial" w:eastAsia="Arial" w:hAnsi="Arial"/>
          <w:sz w:val="19"/>
          <w:szCs w:val="19"/>
          <w:u w:val="single" w:color="auto"/>
          <w:color w:val="232323"/>
        </w:rPr>
        <w:t xml:space="preserve"> </w:t>
      </w:r>
      <w:r>
        <w:rPr>
          <w:rFonts w:ascii="Arial" w:cs="Arial" w:eastAsia="Arial" w:hAnsi="Arial"/>
          <w:sz w:val="19"/>
          <w:szCs w:val="19"/>
          <w:color w:val="232323"/>
        </w:rPr>
        <w:t>hi</w:t>
      </w:r>
      <w:r>
        <w:rPr>
          <w:rFonts w:ascii="Arial" w:cs="Arial" w:eastAsia="Arial" w:hAnsi="Arial"/>
          <w:sz w:val="19"/>
          <w:szCs w:val="19"/>
          <w:color w:val="424242"/>
        </w:rPr>
        <w:t>s</w:t>
      </w:r>
      <w:r>
        <w:rPr>
          <w:rFonts w:ascii="Arial" w:cs="Arial" w:eastAsia="Arial" w:hAnsi="Arial"/>
          <w:sz w:val="19"/>
          <w:szCs w:val="19"/>
          <w:u w:val="single" w:color="auto"/>
          <w:color w:val="232323"/>
        </w:rPr>
        <w:t xml:space="preserve"> </w:t>
      </w:r>
      <w:r>
        <w:rPr>
          <w:rFonts w:ascii="Arial" w:cs="Arial" w:eastAsia="Arial" w:hAnsi="Arial"/>
          <w:sz w:val="19"/>
          <w:szCs w:val="19"/>
          <w:color w:val="232323"/>
        </w:rPr>
        <w:t>full business</w:t>
      </w:r>
      <w:r>
        <w:rPr>
          <w:rFonts w:ascii="Arial" w:cs="Arial" w:eastAsia="Arial" w:hAnsi="Arial"/>
          <w:sz w:val="19"/>
          <w:szCs w:val="19"/>
          <w:u w:val="single" w:color="auto"/>
          <w:color w:val="232323"/>
        </w:rPr>
        <w:t xml:space="preserve"> </w:t>
      </w:r>
      <w:r>
        <w:rPr>
          <w:rFonts w:ascii="Arial" w:cs="Arial" w:eastAsia="Arial" w:hAnsi="Arial"/>
          <w:sz w:val="19"/>
          <w:szCs w:val="19"/>
          <w:color w:val="333333"/>
        </w:rPr>
        <w:t>time and provide</w:t>
      </w:r>
      <w:r>
        <w:rPr>
          <w:rFonts w:ascii="Arial" w:cs="Arial" w:eastAsia="Arial" w:hAnsi="Arial"/>
          <w:sz w:val="19"/>
          <w:szCs w:val="19"/>
          <w:u w:val="single" w:color="auto"/>
          <w:color w:val="232323"/>
        </w:rPr>
        <w:t xml:space="preserve"> </w:t>
      </w:r>
      <w:r>
        <w:rPr>
          <w:rFonts w:ascii="Arial" w:cs="Arial" w:eastAsia="Arial" w:hAnsi="Arial"/>
          <w:sz w:val="19"/>
          <w:szCs w:val="19"/>
          <w:color w:val="232323"/>
        </w:rPr>
        <w:t>his best</w:t>
      </w:r>
      <w:r>
        <w:rPr>
          <w:rFonts w:ascii="Arial" w:cs="Arial" w:eastAsia="Arial" w:hAnsi="Arial"/>
          <w:sz w:val="19"/>
          <w:szCs w:val="19"/>
          <w:u w:val="single" w:color="auto"/>
          <w:color w:val="232323"/>
        </w:rPr>
        <w:t xml:space="preserve"> </w:t>
      </w:r>
      <w:r>
        <w:rPr>
          <w:rFonts w:ascii="Arial" w:cs="Arial" w:eastAsia="Arial" w:hAnsi="Arial"/>
          <w:sz w:val="19"/>
          <w:szCs w:val="19"/>
          <w:color w:val="333333"/>
        </w:rPr>
        <w:t>efforts,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1"/>
          <w:szCs w:val="21"/>
          <w:color w:val="333333"/>
        </w:rPr>
        <w:t>attention</w:t>
      </w:r>
      <w:r>
        <w:rPr>
          <w:rFonts w:ascii="Arial" w:cs="Arial" w:eastAsia="Arial" w:hAnsi="Arial"/>
          <w:sz w:val="21"/>
          <w:szCs w:val="21"/>
          <w:color w:val="565656"/>
        </w:rPr>
        <w:t>,</w:t>
      </w:r>
      <w:r>
        <w:rPr>
          <w:rFonts w:ascii="Arial" w:cs="Arial" w:eastAsia="Arial" w:hAnsi="Arial"/>
          <w:sz w:val="21"/>
          <w:szCs w:val="21"/>
          <w:color w:val="333333"/>
        </w:rPr>
        <w:t xml:space="preserve"> and energies </w:t>
      </w:r>
      <w:r>
        <w:rPr>
          <w:rFonts w:ascii="Arial" w:cs="Arial" w:eastAsia="Arial" w:hAnsi="Arial"/>
          <w:sz w:val="21"/>
          <w:szCs w:val="21"/>
          <w:color w:val="232323"/>
        </w:rPr>
        <w:t>to the busine</w:t>
      </w:r>
      <w:r>
        <w:rPr>
          <w:rFonts w:ascii="Arial" w:cs="Arial" w:eastAsia="Arial" w:hAnsi="Arial"/>
          <w:sz w:val="21"/>
          <w:szCs w:val="21"/>
          <w:color w:val="424242"/>
        </w:rPr>
        <w:t>ss</w:t>
      </w:r>
      <w:r>
        <w:rPr>
          <w:rFonts w:ascii="Arial" w:cs="Arial" w:eastAsia="Arial" w:hAnsi="Arial"/>
          <w:sz w:val="21"/>
          <w:szCs w:val="21"/>
          <w:color w:val="333333"/>
        </w:rPr>
        <w:t xml:space="preserve"> of the </w:t>
      </w:r>
      <w:r>
        <w:rPr>
          <w:rFonts w:ascii="Arial" w:cs="Arial" w:eastAsia="Arial" w:hAnsi="Arial"/>
          <w:sz w:val="21"/>
          <w:szCs w:val="21"/>
          <w:color w:val="424242"/>
        </w:rPr>
        <w:t>Com</w:t>
      </w:r>
      <w:r>
        <w:rPr>
          <w:rFonts w:ascii="Arial" w:cs="Arial" w:eastAsia="Arial" w:hAnsi="Arial"/>
          <w:sz w:val="21"/>
          <w:szCs w:val="21"/>
          <w:color w:val="232323"/>
        </w:rPr>
        <w:t>pany</w:t>
      </w:r>
      <w:r>
        <w:rPr>
          <w:rFonts w:ascii="Arial" w:cs="Arial" w:eastAsia="Arial" w:hAnsi="Arial"/>
          <w:sz w:val="21"/>
          <w:szCs w:val="21"/>
          <w:color w:val="565656"/>
        </w:rPr>
        <w:t>,</w:t>
      </w:r>
      <w:r>
        <w:rPr>
          <w:rFonts w:ascii="Arial" w:cs="Arial" w:eastAsia="Arial" w:hAnsi="Arial"/>
          <w:sz w:val="21"/>
          <w:szCs w:val="21"/>
          <w:color w:val="333333"/>
        </w:rPr>
        <w:t xml:space="preserve"> </w:t>
      </w:r>
      <w:r>
        <w:rPr>
          <w:rFonts w:ascii="Arial" w:cs="Arial" w:eastAsia="Arial" w:hAnsi="Arial"/>
          <w:sz w:val="21"/>
          <w:szCs w:val="21"/>
          <w:color w:val="232323"/>
        </w:rPr>
        <w:t>and its</w:t>
      </w:r>
      <w:r>
        <w:rPr>
          <w:rFonts w:ascii="Arial" w:cs="Arial" w:eastAsia="Arial" w:hAnsi="Arial"/>
          <w:sz w:val="21"/>
          <w:szCs w:val="21"/>
          <w:color w:val="333333"/>
        </w:rPr>
        <w:t xml:space="preserve"> subsidiaries and affiliates, and </w:t>
      </w:r>
      <w:r>
        <w:rPr>
          <w:rFonts w:ascii="Arial" w:cs="Arial" w:eastAsia="Arial" w:hAnsi="Arial"/>
          <w:sz w:val="21"/>
          <w:szCs w:val="21"/>
          <w:color w:val="232323"/>
        </w:rPr>
        <w:t>to the</w:t>
      </w:r>
      <w:r>
        <w:rPr>
          <w:rFonts w:ascii="Arial" w:cs="Arial" w:eastAsia="Arial" w:hAnsi="Arial"/>
          <w:sz w:val="21"/>
          <w:szCs w:val="21"/>
          <w:color w:val="333333"/>
        </w:rPr>
        <w:t xml:space="preserve"> performance of</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333333"/>
        </w:rPr>
        <w:t xml:space="preserve">Executive's </w:t>
      </w:r>
      <w:r>
        <w:rPr>
          <w:rFonts w:ascii="Arial" w:cs="Arial" w:eastAsia="Arial" w:hAnsi="Arial"/>
          <w:sz w:val="21"/>
          <w:szCs w:val="21"/>
          <w:color w:val="232323"/>
        </w:rPr>
        <w:t>duties hereunder</w:t>
      </w:r>
      <w:r>
        <w:rPr>
          <w:rFonts w:ascii="Arial" w:cs="Arial" w:eastAsia="Arial" w:hAnsi="Arial"/>
          <w:sz w:val="21"/>
          <w:szCs w:val="21"/>
          <w:color w:val="565656"/>
        </w:rPr>
        <w:t>,</w:t>
      </w:r>
      <w:r>
        <w:rPr>
          <w:rFonts w:ascii="Arial" w:cs="Arial" w:eastAsia="Arial" w:hAnsi="Arial"/>
          <w:sz w:val="21"/>
          <w:szCs w:val="21"/>
          <w:color w:val="333333"/>
        </w:rPr>
        <w:t xml:space="preserve"> and Executive shall not engage in any other business, profession or </w:t>
      </w:r>
      <w:r>
        <w:rPr>
          <w:rFonts w:ascii="Arial" w:cs="Arial" w:eastAsia="Arial" w:hAnsi="Arial"/>
          <w:sz w:val="21"/>
          <w:szCs w:val="21"/>
          <w:color w:val="232323"/>
        </w:rPr>
        <w:t>occupation</w:t>
      </w:r>
      <w:r>
        <w:rPr>
          <w:rFonts w:ascii="Arial" w:cs="Arial" w:eastAsia="Arial" w:hAnsi="Arial"/>
          <w:sz w:val="21"/>
          <w:szCs w:val="21"/>
          <w:color w:val="333333"/>
        </w:rPr>
        <w:t xml:space="preserve"> for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333333"/>
        </w:rPr>
        <w:t xml:space="preserve">compensation or otherwise during </w:t>
      </w:r>
      <w:r>
        <w:rPr>
          <w:rFonts w:ascii="Arial" w:cs="Arial" w:eastAsia="Arial" w:hAnsi="Arial"/>
          <w:sz w:val="20"/>
          <w:szCs w:val="20"/>
          <w:color w:val="232323"/>
        </w:rPr>
        <w:t>th</w:t>
      </w:r>
      <w:r>
        <w:rPr>
          <w:rFonts w:ascii="Arial" w:cs="Arial" w:eastAsia="Arial" w:hAnsi="Arial"/>
          <w:sz w:val="20"/>
          <w:szCs w:val="20"/>
          <w:color w:val="424242"/>
        </w:rPr>
        <w:t>e</w:t>
      </w:r>
      <w:r>
        <w:rPr>
          <w:rFonts w:ascii="Arial" w:cs="Arial" w:eastAsia="Arial" w:hAnsi="Arial"/>
          <w:sz w:val="20"/>
          <w:szCs w:val="20"/>
          <w:color w:val="333333"/>
        </w:rPr>
        <w:t xml:space="preserve"> employment </w:t>
      </w:r>
      <w:r>
        <w:rPr>
          <w:rFonts w:ascii="Arial" w:cs="Arial" w:eastAsia="Arial" w:hAnsi="Arial"/>
          <w:sz w:val="20"/>
          <w:szCs w:val="20"/>
          <w:color w:val="232323"/>
        </w:rPr>
        <w:t>period without the prior written</w:t>
      </w:r>
      <w:r>
        <w:rPr>
          <w:rFonts w:ascii="Arial" w:cs="Arial" w:eastAsia="Arial" w:hAnsi="Arial"/>
          <w:sz w:val="20"/>
          <w:szCs w:val="20"/>
          <w:color w:val="333333"/>
        </w:rPr>
        <w:t xml:space="preserve"> consent of </w:t>
      </w:r>
      <w:r>
        <w:rPr>
          <w:rFonts w:ascii="Arial" w:cs="Arial" w:eastAsia="Arial" w:hAnsi="Arial"/>
          <w:sz w:val="20"/>
          <w:szCs w:val="20"/>
          <w:color w:val="232323"/>
        </w:rPr>
        <w:t>the Board</w:t>
      </w:r>
      <w:r>
        <w:rPr>
          <w:rFonts w:ascii="Arial" w:cs="Arial" w:eastAsia="Arial" w:hAnsi="Arial"/>
          <w:sz w:val="20"/>
          <w:szCs w:val="20"/>
          <w:color w:val="333333"/>
        </w:rPr>
        <w:t xml:space="preserve"> of </w:t>
      </w:r>
      <w:r>
        <w:rPr>
          <w:rFonts w:ascii="Arial" w:cs="Arial" w:eastAsia="Arial" w:hAnsi="Arial"/>
          <w:sz w:val="20"/>
          <w:szCs w:val="20"/>
          <w:color w:val="232323"/>
        </w:rPr>
        <w:t>Dir</w:t>
      </w:r>
      <w:r>
        <w:rPr>
          <w:rFonts w:ascii="Arial" w:cs="Arial" w:eastAsia="Arial" w:hAnsi="Arial"/>
          <w:sz w:val="20"/>
          <w:szCs w:val="20"/>
          <w:color w:val="424242"/>
        </w:rPr>
        <w:t>ecto</w:t>
      </w:r>
      <w:r>
        <w:rPr>
          <w:rFonts w:ascii="Arial" w:cs="Arial" w:eastAsia="Arial" w:hAnsi="Arial"/>
          <w:sz w:val="20"/>
          <w:szCs w:val="20"/>
          <w:color w:val="232323"/>
        </w:rPr>
        <w:t>rs</w:t>
      </w:r>
      <w:r>
        <w:rPr>
          <w:rFonts w:ascii="Arial" w:cs="Arial" w:eastAsia="Arial" w:hAnsi="Arial"/>
          <w:sz w:val="20"/>
          <w:szCs w:val="20"/>
          <w:color w:val="333333"/>
        </w:rPr>
        <w:t xml:space="preserve"> (the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565656"/>
        </w:rPr>
        <w:t>"</w:t>
      </w:r>
      <w:r>
        <w:rPr>
          <w:rFonts w:ascii="Arial" w:cs="Arial" w:eastAsia="Arial" w:hAnsi="Arial"/>
          <w:sz w:val="20"/>
          <w:szCs w:val="20"/>
          <w:color w:val="333333"/>
        </w:rPr>
        <w:t>Board</w:t>
      </w:r>
      <w:r>
        <w:rPr>
          <w:rFonts w:ascii="Arial" w:cs="Arial" w:eastAsia="Arial" w:hAnsi="Arial"/>
          <w:sz w:val="20"/>
          <w:szCs w:val="20"/>
          <w:color w:val="565656"/>
        </w:rPr>
        <w:t>"</w:t>
      </w:r>
      <w:r>
        <w:rPr>
          <w:rFonts w:ascii="Arial" w:cs="Arial" w:eastAsia="Arial" w:hAnsi="Arial"/>
          <w:sz w:val="20"/>
          <w:szCs w:val="20"/>
          <w:color w:val="333333"/>
        </w:rPr>
        <w:t>);</w:t>
      </w:r>
      <w:r>
        <w:rPr>
          <w:rFonts w:ascii="Arial" w:cs="Arial" w:eastAsia="Arial" w:hAnsi="Arial"/>
          <w:sz w:val="20"/>
          <w:szCs w:val="20"/>
          <w:color w:val="565656"/>
        </w:rPr>
        <w:t xml:space="preserve"> </w:t>
      </w:r>
      <w:r>
        <w:rPr>
          <w:rFonts w:ascii="Arial" w:cs="Arial" w:eastAsia="Arial" w:hAnsi="Arial"/>
          <w:sz w:val="20"/>
          <w:szCs w:val="20"/>
          <w:color w:val="232323"/>
        </w:rPr>
        <w:t>provided</w:t>
      </w:r>
      <w:r>
        <w:rPr>
          <w:rFonts w:ascii="Arial" w:cs="Arial" w:eastAsia="Arial" w:hAnsi="Arial"/>
          <w:sz w:val="20"/>
          <w:szCs w:val="20"/>
          <w:color w:val="565656"/>
        </w:rPr>
        <w:t xml:space="preserve"> </w:t>
      </w:r>
      <w:r>
        <w:rPr>
          <w:rFonts w:ascii="Arial" w:cs="Arial" w:eastAsia="Arial" w:hAnsi="Arial"/>
          <w:sz w:val="20"/>
          <w:szCs w:val="20"/>
          <w:color w:val="333333"/>
        </w:rPr>
        <w:t>that</w:t>
      </w:r>
      <w:r>
        <w:rPr>
          <w:rFonts w:ascii="Arial" w:cs="Arial" w:eastAsia="Arial" w:hAnsi="Arial"/>
          <w:sz w:val="20"/>
          <w:szCs w:val="20"/>
          <w:color w:val="727272"/>
        </w:rPr>
        <w:t>,</w:t>
      </w:r>
      <w:r>
        <w:rPr>
          <w:rFonts w:ascii="Arial" w:cs="Arial" w:eastAsia="Arial" w:hAnsi="Arial"/>
          <w:sz w:val="20"/>
          <w:szCs w:val="20"/>
          <w:color w:val="565656"/>
        </w:rPr>
        <w:t xml:space="preserve"> </w:t>
      </w:r>
      <w:r>
        <w:rPr>
          <w:rFonts w:ascii="Arial" w:cs="Arial" w:eastAsia="Arial" w:hAnsi="Arial"/>
          <w:sz w:val="20"/>
          <w:szCs w:val="20"/>
          <w:color w:val="232323"/>
        </w:rPr>
        <w:t>nothing herein</w:t>
      </w:r>
      <w:r>
        <w:rPr>
          <w:rFonts w:ascii="Arial" w:cs="Arial" w:eastAsia="Arial" w:hAnsi="Arial"/>
          <w:sz w:val="20"/>
          <w:szCs w:val="20"/>
          <w:color w:val="565656"/>
        </w:rPr>
        <w:t xml:space="preserve"> </w:t>
      </w:r>
      <w:r>
        <w:rPr>
          <w:rFonts w:ascii="Arial" w:cs="Arial" w:eastAsia="Arial" w:hAnsi="Arial"/>
          <w:sz w:val="20"/>
          <w:szCs w:val="20"/>
          <w:color w:val="333333"/>
        </w:rPr>
        <w:t>shall</w:t>
      </w:r>
      <w:r>
        <w:rPr>
          <w:rFonts w:ascii="Arial" w:cs="Arial" w:eastAsia="Arial" w:hAnsi="Arial"/>
          <w:sz w:val="20"/>
          <w:szCs w:val="20"/>
          <w:color w:val="565656"/>
        </w:rPr>
        <w:t xml:space="preserve"> </w:t>
      </w:r>
      <w:r>
        <w:rPr>
          <w:rFonts w:ascii="Arial" w:cs="Arial" w:eastAsia="Arial" w:hAnsi="Arial"/>
          <w:sz w:val="20"/>
          <w:szCs w:val="20"/>
          <w:color w:val="232323"/>
        </w:rPr>
        <w:t>preclude</w:t>
      </w:r>
      <w:r>
        <w:rPr>
          <w:rFonts w:ascii="Arial" w:cs="Arial" w:eastAsia="Arial" w:hAnsi="Arial"/>
          <w:sz w:val="20"/>
          <w:szCs w:val="20"/>
          <w:color w:val="565656"/>
        </w:rPr>
        <w:t xml:space="preserve"> </w:t>
      </w:r>
      <w:r>
        <w:rPr>
          <w:rFonts w:ascii="Arial" w:cs="Arial" w:eastAsia="Arial" w:hAnsi="Arial"/>
          <w:sz w:val="20"/>
          <w:szCs w:val="20"/>
          <w:color w:val="333333"/>
        </w:rPr>
        <w:t>Executive</w:t>
      </w:r>
      <w:r>
        <w:rPr>
          <w:rFonts w:ascii="Arial" w:cs="Arial" w:eastAsia="Arial" w:hAnsi="Arial"/>
          <w:sz w:val="20"/>
          <w:szCs w:val="20"/>
          <w:color w:val="565656"/>
        </w:rPr>
        <w:t xml:space="preserve"> </w:t>
      </w:r>
      <w:r>
        <w:rPr>
          <w:rFonts w:ascii="Arial" w:cs="Arial" w:eastAsia="Arial" w:hAnsi="Arial"/>
          <w:sz w:val="20"/>
          <w:szCs w:val="20"/>
          <w:color w:val="232323"/>
        </w:rPr>
        <w:t>from</w:t>
      </w:r>
      <w:r>
        <w:rPr>
          <w:rFonts w:ascii="Arial" w:cs="Arial" w:eastAsia="Arial" w:hAnsi="Arial"/>
          <w:sz w:val="20"/>
          <w:szCs w:val="20"/>
          <w:color w:val="565656"/>
        </w:rPr>
        <w:t xml:space="preserve"> </w:t>
      </w:r>
      <w:r>
        <w:rPr>
          <w:rFonts w:ascii="Arial" w:cs="Arial" w:eastAsia="Arial" w:hAnsi="Arial"/>
          <w:sz w:val="20"/>
          <w:szCs w:val="20"/>
          <w:color w:val="333333"/>
        </w:rPr>
        <w:t>serving</w:t>
      </w:r>
      <w:r>
        <w:rPr>
          <w:rFonts w:ascii="Arial" w:cs="Arial" w:eastAsia="Arial" w:hAnsi="Arial"/>
          <w:sz w:val="20"/>
          <w:szCs w:val="20"/>
          <w:color w:val="565656"/>
        </w:rPr>
        <w:t xml:space="preserve"> </w:t>
      </w:r>
      <w:r>
        <w:rPr>
          <w:rFonts w:ascii="Arial" w:cs="Arial" w:eastAsia="Arial" w:hAnsi="Arial"/>
          <w:sz w:val="20"/>
          <w:szCs w:val="20"/>
          <w:color w:val="232323"/>
        </w:rPr>
        <w:t>in</w:t>
      </w:r>
      <w:r>
        <w:rPr>
          <w:rFonts w:ascii="Arial" w:cs="Arial" w:eastAsia="Arial" w:hAnsi="Arial"/>
          <w:sz w:val="20"/>
          <w:szCs w:val="20"/>
          <w:color w:val="565656"/>
        </w:rPr>
        <w:t xml:space="preserve"> </w:t>
      </w:r>
      <w:r>
        <w:rPr>
          <w:rFonts w:ascii="Arial" w:cs="Arial" w:eastAsia="Arial" w:hAnsi="Arial"/>
          <w:sz w:val="20"/>
          <w:szCs w:val="20"/>
          <w:color w:val="333333"/>
        </w:rPr>
        <w:t>any</w:t>
      </w:r>
      <w:r>
        <w:rPr>
          <w:rFonts w:ascii="Arial" w:cs="Arial" w:eastAsia="Arial" w:hAnsi="Arial"/>
          <w:sz w:val="20"/>
          <w:szCs w:val="20"/>
          <w:color w:val="565656"/>
        </w:rPr>
        <w:t xml:space="preserve"> </w:t>
      </w:r>
      <w:r>
        <w:rPr>
          <w:rFonts w:ascii="Arial" w:cs="Arial" w:eastAsia="Arial" w:hAnsi="Arial"/>
          <w:sz w:val="20"/>
          <w:szCs w:val="20"/>
          <w:color w:val="232323"/>
        </w:rPr>
        <w:t>capacity</w:t>
      </w:r>
      <w:r>
        <w:rPr>
          <w:rFonts w:ascii="Arial" w:cs="Arial" w:eastAsia="Arial" w:hAnsi="Arial"/>
          <w:sz w:val="20"/>
          <w:szCs w:val="20"/>
          <w:color w:val="565656"/>
        </w:rPr>
        <w:t xml:space="preserve"> </w:t>
      </w:r>
      <w:r>
        <w:rPr>
          <w:rFonts w:ascii="Arial" w:cs="Arial" w:eastAsia="Arial" w:hAnsi="Arial"/>
          <w:sz w:val="20"/>
          <w:szCs w:val="20"/>
          <w:color w:val="333333"/>
        </w:rPr>
        <w:t>with</w:t>
      </w:r>
      <w:r>
        <w:rPr>
          <w:rFonts w:ascii="Arial" w:cs="Arial" w:eastAsia="Arial" w:hAnsi="Arial"/>
          <w:sz w:val="20"/>
          <w:szCs w:val="20"/>
          <w:color w:val="565656"/>
        </w:rPr>
        <w:t xml:space="preserve"> </w:t>
      </w:r>
      <w:r>
        <w:rPr>
          <w:rFonts w:ascii="Arial" w:cs="Arial" w:eastAsia="Arial" w:hAnsi="Arial"/>
          <w:sz w:val="20"/>
          <w:szCs w:val="20"/>
          <w:color w:val="232323"/>
        </w:rPr>
        <w:t>an</w:t>
      </w:r>
      <w:r>
        <w:rPr>
          <w:rFonts w:ascii="Arial" w:cs="Arial" w:eastAsia="Arial" w:hAnsi="Arial"/>
          <w:sz w:val="20"/>
          <w:szCs w:val="20"/>
          <w:color w:val="424242"/>
        </w:rPr>
        <w:t>y</w:t>
      </w:r>
      <w:r>
        <w:rPr>
          <w:rFonts w:ascii="Arial" w:cs="Arial" w:eastAsia="Arial" w:hAnsi="Arial"/>
          <w:sz w:val="20"/>
          <w:szCs w:val="20"/>
          <w:color w:val="565656"/>
        </w:rPr>
        <w:t xml:space="preserve"> </w:t>
      </w:r>
      <w:r>
        <w:rPr>
          <w:rFonts w:ascii="Arial" w:cs="Arial" w:eastAsia="Arial" w:hAnsi="Arial"/>
          <w:sz w:val="20"/>
          <w:szCs w:val="20"/>
          <w:color w:val="333333"/>
        </w:rPr>
        <w:t>civic, educational</w:t>
      </w:r>
      <w:r>
        <w:rPr>
          <w:rFonts w:ascii="Arial" w:cs="Arial" w:eastAsia="Arial" w:hAnsi="Arial"/>
          <w:sz w:val="20"/>
          <w:szCs w:val="20"/>
          <w:color w:val="565656"/>
        </w:rPr>
        <w:t xml:space="preserve">, </w:t>
      </w:r>
      <w:r>
        <w:rPr>
          <w:rFonts w:ascii="Arial" w:cs="Arial" w:eastAsia="Arial" w:hAnsi="Arial"/>
          <w:sz w:val="20"/>
          <w:szCs w:val="20"/>
          <w:color w:val="232323"/>
        </w:rPr>
        <w:t>or</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424242"/>
        </w:rPr>
        <w:t>c</w:t>
      </w:r>
      <w:r>
        <w:rPr>
          <w:rFonts w:ascii="Arial" w:cs="Arial" w:eastAsia="Arial" w:hAnsi="Arial"/>
          <w:sz w:val="19"/>
          <w:szCs w:val="19"/>
          <w:color w:val="232323"/>
        </w:rPr>
        <w:t>haritable</w:t>
      </w:r>
      <w:r>
        <w:rPr>
          <w:rFonts w:ascii="Arial" w:cs="Arial" w:eastAsia="Arial" w:hAnsi="Arial"/>
          <w:sz w:val="19"/>
          <w:szCs w:val="19"/>
          <w:color w:val="424242"/>
        </w:rPr>
        <w:t xml:space="preserve"> </w:t>
      </w:r>
      <w:r>
        <w:rPr>
          <w:rFonts w:ascii="Arial" w:cs="Arial" w:eastAsia="Arial" w:hAnsi="Arial"/>
          <w:sz w:val="19"/>
          <w:szCs w:val="19"/>
          <w:color w:val="333333"/>
        </w:rPr>
        <w:t>organization</w:t>
      </w:r>
      <w:r>
        <w:rPr>
          <w:rFonts w:ascii="Arial" w:cs="Arial" w:eastAsia="Arial" w:hAnsi="Arial"/>
          <w:sz w:val="19"/>
          <w:szCs w:val="19"/>
          <w:color w:val="424242"/>
        </w:rPr>
        <w:t xml:space="preserve"> </w:t>
      </w:r>
      <w:r>
        <w:rPr>
          <w:rFonts w:ascii="Arial" w:cs="Arial" w:eastAsia="Arial" w:hAnsi="Arial"/>
          <w:sz w:val="19"/>
          <w:szCs w:val="19"/>
          <w:color w:val="565656"/>
        </w:rPr>
        <w:t>,</w:t>
      </w:r>
      <w:r>
        <w:rPr>
          <w:rFonts w:ascii="Arial" w:cs="Arial" w:eastAsia="Arial" w:hAnsi="Arial"/>
          <w:sz w:val="19"/>
          <w:szCs w:val="19"/>
          <w:color w:val="424242"/>
        </w:rPr>
        <w:t xml:space="preserve"> </w:t>
      </w:r>
      <w:r>
        <w:rPr>
          <w:rFonts w:ascii="Arial" w:cs="Arial" w:eastAsia="Arial" w:hAnsi="Arial"/>
          <w:sz w:val="19"/>
          <w:szCs w:val="19"/>
          <w:color w:val="333333"/>
        </w:rPr>
        <w:t>and</w:t>
      </w:r>
      <w:r>
        <w:rPr>
          <w:rFonts w:ascii="Arial" w:cs="Arial" w:eastAsia="Arial" w:hAnsi="Arial"/>
          <w:sz w:val="19"/>
          <w:szCs w:val="19"/>
          <w:color w:val="424242"/>
        </w:rPr>
        <w:t xml:space="preserve"> </w:t>
      </w:r>
      <w:r>
        <w:rPr>
          <w:rFonts w:ascii="Arial" w:cs="Arial" w:eastAsia="Arial" w:hAnsi="Arial"/>
          <w:sz w:val="19"/>
          <w:szCs w:val="19"/>
          <w:color w:val="232323"/>
        </w:rPr>
        <w:t>provided</w:t>
      </w:r>
      <w:r>
        <w:rPr>
          <w:rFonts w:ascii="Arial" w:cs="Arial" w:eastAsia="Arial" w:hAnsi="Arial"/>
          <w:sz w:val="19"/>
          <w:szCs w:val="19"/>
          <w:color w:val="424242"/>
        </w:rPr>
        <w:t xml:space="preserve">, </w:t>
      </w:r>
      <w:r>
        <w:rPr>
          <w:rFonts w:ascii="Arial" w:cs="Arial" w:eastAsia="Arial" w:hAnsi="Arial"/>
          <w:sz w:val="19"/>
          <w:szCs w:val="19"/>
          <w:color w:val="333333"/>
        </w:rPr>
        <w:t>further</w:t>
      </w:r>
      <w:r>
        <w:rPr>
          <w:rFonts w:ascii="Arial" w:cs="Arial" w:eastAsia="Arial" w:hAnsi="Arial"/>
          <w:sz w:val="19"/>
          <w:szCs w:val="19"/>
          <w:color w:val="424242"/>
        </w:rPr>
        <w:t xml:space="preserve"> </w:t>
      </w:r>
      <w:r>
        <w:rPr>
          <w:rFonts w:ascii="Arial" w:cs="Arial" w:eastAsia="Arial" w:hAnsi="Arial"/>
          <w:sz w:val="19"/>
          <w:szCs w:val="19"/>
          <w:color w:val="232323"/>
        </w:rPr>
        <w:t>that, in</w:t>
      </w:r>
      <w:r>
        <w:rPr>
          <w:rFonts w:ascii="Arial" w:cs="Arial" w:eastAsia="Arial" w:hAnsi="Arial"/>
          <w:sz w:val="19"/>
          <w:szCs w:val="19"/>
          <w:color w:val="424242"/>
        </w:rPr>
        <w:t xml:space="preserve"> </w:t>
      </w:r>
      <w:r>
        <w:rPr>
          <w:rFonts w:ascii="Arial" w:cs="Arial" w:eastAsia="Arial" w:hAnsi="Arial"/>
          <w:sz w:val="19"/>
          <w:szCs w:val="19"/>
          <w:color w:val="333333"/>
        </w:rPr>
        <w:t>each</w:t>
      </w:r>
      <w:r>
        <w:rPr>
          <w:rFonts w:ascii="Arial" w:cs="Arial" w:eastAsia="Arial" w:hAnsi="Arial"/>
          <w:sz w:val="19"/>
          <w:szCs w:val="19"/>
          <w:color w:val="424242"/>
        </w:rPr>
        <w:t xml:space="preserve"> </w:t>
      </w:r>
      <w:r>
        <w:rPr>
          <w:rFonts w:ascii="Arial" w:cs="Arial" w:eastAsia="Arial" w:hAnsi="Arial"/>
          <w:sz w:val="19"/>
          <w:szCs w:val="19"/>
          <w:color w:val="232323"/>
        </w:rPr>
        <w:t>ca</w:t>
      </w:r>
      <w:r>
        <w:rPr>
          <w:rFonts w:ascii="Arial" w:cs="Arial" w:eastAsia="Arial" w:hAnsi="Arial"/>
          <w:sz w:val="19"/>
          <w:szCs w:val="19"/>
          <w:color w:val="424242"/>
        </w:rPr>
        <w:t xml:space="preserve">se, </w:t>
      </w:r>
      <w:r>
        <w:rPr>
          <w:rFonts w:ascii="Arial" w:cs="Arial" w:eastAsia="Arial" w:hAnsi="Arial"/>
          <w:sz w:val="19"/>
          <w:szCs w:val="19"/>
          <w:color w:val="232323"/>
        </w:rPr>
        <w:t>and in the</w:t>
      </w:r>
      <w:r>
        <w:rPr>
          <w:rFonts w:ascii="Arial" w:cs="Arial" w:eastAsia="Arial" w:hAnsi="Arial"/>
          <w:sz w:val="19"/>
          <w:szCs w:val="19"/>
          <w:color w:val="424242"/>
        </w:rPr>
        <w:t xml:space="preserve"> </w:t>
      </w:r>
      <w:r>
        <w:rPr>
          <w:rFonts w:ascii="Arial" w:cs="Arial" w:eastAsia="Arial" w:hAnsi="Arial"/>
          <w:sz w:val="19"/>
          <w:szCs w:val="19"/>
          <w:color w:val="333333"/>
        </w:rPr>
        <w:t>aggregate,</w:t>
      </w:r>
      <w:r>
        <w:rPr>
          <w:rFonts w:ascii="Arial" w:cs="Arial" w:eastAsia="Arial" w:hAnsi="Arial"/>
          <w:sz w:val="19"/>
          <w:szCs w:val="19"/>
          <w:color w:val="424242"/>
        </w:rPr>
        <w:t xml:space="preserve"> s</w:t>
      </w:r>
      <w:r>
        <w:rPr>
          <w:rFonts w:ascii="Arial" w:cs="Arial" w:eastAsia="Arial" w:hAnsi="Arial"/>
          <w:sz w:val="19"/>
          <w:szCs w:val="19"/>
          <w:color w:val="232323"/>
        </w:rPr>
        <w:t>uch</w:t>
      </w:r>
      <w:r>
        <w:rPr>
          <w:rFonts w:ascii="Arial" w:cs="Arial" w:eastAsia="Arial" w:hAnsi="Arial"/>
          <w:sz w:val="19"/>
          <w:szCs w:val="19"/>
          <w:color w:val="424242"/>
        </w:rPr>
        <w:t xml:space="preserve"> </w:t>
      </w:r>
      <w:r>
        <w:rPr>
          <w:rFonts w:ascii="Arial" w:cs="Arial" w:eastAsia="Arial" w:hAnsi="Arial"/>
          <w:sz w:val="19"/>
          <w:szCs w:val="19"/>
          <w:color w:val="333333"/>
        </w:rPr>
        <w:t>services</w:t>
      </w:r>
      <w:r>
        <w:rPr>
          <w:rFonts w:ascii="Arial" w:cs="Arial" w:eastAsia="Arial" w:hAnsi="Arial"/>
          <w:sz w:val="19"/>
          <w:szCs w:val="19"/>
          <w:color w:val="424242"/>
        </w:rPr>
        <w:t xml:space="preserve"> </w:t>
      </w:r>
      <w:r>
        <w:rPr>
          <w:rFonts w:ascii="Arial" w:cs="Arial" w:eastAsia="Arial" w:hAnsi="Arial"/>
          <w:sz w:val="19"/>
          <w:szCs w:val="19"/>
          <w:color w:val="232323"/>
        </w:rPr>
        <w:t>do not materially</w:t>
      </w:r>
      <w:r>
        <w:rPr>
          <w:rFonts w:ascii="Arial" w:cs="Arial" w:eastAsia="Arial" w:hAnsi="Arial"/>
          <w:sz w:val="19"/>
          <w:szCs w:val="19"/>
          <w:color w:val="424242"/>
        </w:rPr>
        <w:t xml:space="preserve"> </w:t>
      </w:r>
      <w:r>
        <w:rPr>
          <w:rFonts w:ascii="Arial" w:cs="Arial" w:eastAsia="Arial" w:hAnsi="Arial"/>
          <w:sz w:val="19"/>
          <w:szCs w:val="19"/>
          <w:color w:val="333333"/>
        </w:rPr>
        <w:t>conflict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0"/>
          <w:szCs w:val="20"/>
          <w:color w:val="333333"/>
        </w:rPr>
        <w:t xml:space="preserve">or interfere with Executive's obligations to </w:t>
      </w:r>
      <w:r>
        <w:rPr>
          <w:rFonts w:ascii="Arial" w:cs="Arial" w:eastAsia="Arial" w:hAnsi="Arial"/>
          <w:sz w:val="20"/>
          <w:szCs w:val="20"/>
          <w:color w:val="232323"/>
        </w:rPr>
        <w:t>th</w:t>
      </w:r>
      <w:r>
        <w:rPr>
          <w:rFonts w:ascii="Arial" w:cs="Arial" w:eastAsia="Arial" w:hAnsi="Arial"/>
          <w:sz w:val="20"/>
          <w:szCs w:val="20"/>
          <w:color w:val="424242"/>
        </w:rPr>
        <w:t>e</w:t>
      </w:r>
      <w:r>
        <w:rPr>
          <w:rFonts w:ascii="Arial" w:cs="Arial" w:eastAsia="Arial" w:hAnsi="Arial"/>
          <w:sz w:val="20"/>
          <w:szCs w:val="20"/>
          <w:color w:val="333333"/>
        </w:rPr>
        <w:t xml:space="preserve"> Company, and </w:t>
      </w:r>
      <w:r>
        <w:rPr>
          <w:rFonts w:ascii="Arial" w:cs="Arial" w:eastAsia="Arial" w:hAnsi="Arial"/>
          <w:sz w:val="20"/>
          <w:szCs w:val="20"/>
          <w:color w:val="232323"/>
        </w:rPr>
        <w:t>its</w:t>
      </w:r>
      <w:r>
        <w:rPr>
          <w:rFonts w:ascii="Arial" w:cs="Arial" w:eastAsia="Arial" w:hAnsi="Arial"/>
          <w:sz w:val="20"/>
          <w:szCs w:val="20"/>
          <w:color w:val="333333"/>
        </w:rPr>
        <w:t xml:space="preserve"> </w:t>
      </w:r>
      <w:r>
        <w:rPr>
          <w:rFonts w:ascii="Arial" w:cs="Arial" w:eastAsia="Arial" w:hAnsi="Arial"/>
          <w:sz w:val="20"/>
          <w:szCs w:val="20"/>
          <w:color w:val="424242"/>
        </w:rPr>
        <w:t>s</w:t>
      </w:r>
      <w:r>
        <w:rPr>
          <w:rFonts w:ascii="Arial" w:cs="Arial" w:eastAsia="Arial" w:hAnsi="Arial"/>
          <w:sz w:val="20"/>
          <w:szCs w:val="20"/>
          <w:color w:val="232323"/>
        </w:rPr>
        <w:t>ubsidiaries</w:t>
      </w:r>
      <w:r>
        <w:rPr>
          <w:rFonts w:ascii="Arial" w:cs="Arial" w:eastAsia="Arial" w:hAnsi="Arial"/>
          <w:sz w:val="20"/>
          <w:szCs w:val="20"/>
          <w:color w:val="333333"/>
        </w:rPr>
        <w:t xml:space="preserve"> and affiliates </w:t>
      </w:r>
      <w:r>
        <w:rPr>
          <w:rFonts w:ascii="Arial" w:cs="Arial" w:eastAsia="Arial" w:hAnsi="Arial"/>
          <w:sz w:val="20"/>
          <w:szCs w:val="20"/>
          <w:color w:val="232323"/>
        </w:rPr>
        <w:t>hereunder</w:t>
      </w:r>
      <w:r>
        <w:rPr>
          <w:rFonts w:ascii="Arial" w:cs="Arial" w:eastAsia="Arial" w:hAnsi="Arial"/>
          <w:sz w:val="20"/>
          <w:szCs w:val="20"/>
          <w:color w:val="333333"/>
        </w:rPr>
        <w:t xml:space="preserve"> and such service </w:t>
      </w:r>
      <w:r>
        <w:rPr>
          <w:rFonts w:ascii="Arial" w:cs="Arial" w:eastAsia="Arial" w:hAnsi="Arial"/>
          <w:sz w:val="20"/>
          <w:szCs w:val="20"/>
          <w:color w:val="232323"/>
        </w:rPr>
        <w:t>is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1"/>
          <w:szCs w:val="21"/>
          <w:color w:val="232323"/>
        </w:rPr>
        <w:t xml:space="preserve">disclosed </w:t>
      </w:r>
      <w:r>
        <w:rPr>
          <w:rFonts w:ascii="Arial" w:cs="Arial" w:eastAsia="Arial" w:hAnsi="Arial"/>
          <w:sz w:val="21"/>
          <w:szCs w:val="21"/>
          <w:color w:val="333333"/>
        </w:rPr>
        <w:t>in advance</w:t>
      </w:r>
      <w:r>
        <w:rPr>
          <w:rFonts w:ascii="Arial" w:cs="Arial" w:eastAsia="Arial" w:hAnsi="Arial"/>
          <w:sz w:val="21"/>
          <w:szCs w:val="21"/>
          <w:color w:val="232323"/>
        </w:rPr>
        <w:t xml:space="preserve"> by </w:t>
      </w:r>
      <w:r>
        <w:rPr>
          <w:rFonts w:ascii="Arial" w:cs="Arial" w:eastAsia="Arial" w:hAnsi="Arial"/>
          <w:sz w:val="21"/>
          <w:szCs w:val="21"/>
          <w:color w:val="333333"/>
        </w:rPr>
        <w:t>Executive</w:t>
      </w:r>
      <w:r>
        <w:rPr>
          <w:rFonts w:ascii="Arial" w:cs="Arial" w:eastAsia="Arial" w:hAnsi="Arial"/>
          <w:sz w:val="21"/>
          <w:szCs w:val="21"/>
          <w:color w:val="232323"/>
        </w:rPr>
        <w:t xml:space="preserve"> to </w:t>
      </w:r>
      <w:r>
        <w:rPr>
          <w:rFonts w:ascii="Arial" w:cs="Arial" w:eastAsia="Arial" w:hAnsi="Arial"/>
          <w:sz w:val="21"/>
          <w:szCs w:val="21"/>
          <w:color w:val="333333"/>
        </w:rPr>
        <w:t>the</w:t>
      </w:r>
      <w:r>
        <w:rPr>
          <w:rFonts w:ascii="Arial" w:cs="Arial" w:eastAsia="Arial" w:hAnsi="Arial"/>
          <w:sz w:val="21"/>
          <w:szCs w:val="21"/>
          <w:color w:val="232323"/>
        </w:rPr>
        <w:t xml:space="preserve"> Board</w:t>
      </w:r>
      <w:r>
        <w:rPr>
          <w:rFonts w:ascii="Arial" w:cs="Arial" w:eastAsia="Arial" w:hAnsi="Arial"/>
          <w:sz w:val="21"/>
          <w:szCs w:val="21"/>
          <w:color w:val="565656"/>
        </w:rPr>
        <w:t>.</w:t>
      </w:r>
      <w:r>
        <w:rPr>
          <w:rFonts w:ascii="Arial" w:cs="Arial" w:eastAsia="Arial" w:hAnsi="Arial"/>
          <w:sz w:val="21"/>
          <w:szCs w:val="21"/>
          <w:color w:val="232323"/>
        </w:rPr>
        <w:t xml:space="preserve"> </w:t>
      </w:r>
      <w:r>
        <w:rPr>
          <w:rFonts w:ascii="Arial" w:cs="Arial" w:eastAsia="Arial" w:hAnsi="Arial"/>
          <w:sz w:val="21"/>
          <w:szCs w:val="21"/>
          <w:color w:val="333333"/>
        </w:rPr>
        <w:t>Notwithstanding</w:t>
      </w:r>
      <w:r>
        <w:rPr>
          <w:rFonts w:ascii="Arial" w:cs="Arial" w:eastAsia="Arial" w:hAnsi="Arial"/>
          <w:sz w:val="21"/>
          <w:szCs w:val="21"/>
          <w:color w:val="232323"/>
        </w:rPr>
        <w:t xml:space="preserve"> the </w:t>
      </w:r>
      <w:r>
        <w:rPr>
          <w:rFonts w:ascii="Arial" w:cs="Arial" w:eastAsia="Arial" w:hAnsi="Arial"/>
          <w:sz w:val="21"/>
          <w:szCs w:val="21"/>
          <w:color w:val="333333"/>
        </w:rPr>
        <w:t>above,</w:t>
      </w:r>
      <w:r>
        <w:rPr>
          <w:rFonts w:ascii="Arial" w:cs="Arial" w:eastAsia="Arial" w:hAnsi="Arial"/>
          <w:sz w:val="21"/>
          <w:szCs w:val="21"/>
          <w:color w:val="232323"/>
        </w:rPr>
        <w:t xml:space="preserve"> the </w:t>
      </w:r>
      <w:r>
        <w:rPr>
          <w:rFonts w:ascii="Arial" w:cs="Arial" w:eastAsia="Arial" w:hAnsi="Arial"/>
          <w:sz w:val="21"/>
          <w:szCs w:val="21"/>
          <w:color w:val="333333"/>
        </w:rPr>
        <w:t>Executive</w:t>
      </w:r>
      <w:r>
        <w:rPr>
          <w:rFonts w:ascii="Arial" w:cs="Arial" w:eastAsia="Arial" w:hAnsi="Arial"/>
          <w:sz w:val="21"/>
          <w:szCs w:val="21"/>
          <w:color w:val="232323"/>
        </w:rPr>
        <w:t xml:space="preserve"> may </w:t>
      </w:r>
      <w:r>
        <w:rPr>
          <w:rFonts w:ascii="Arial" w:cs="Arial" w:eastAsia="Arial" w:hAnsi="Arial"/>
          <w:sz w:val="21"/>
          <w:szCs w:val="21"/>
          <w:color w:val="333333"/>
        </w:rPr>
        <w:t>serve</w:t>
      </w:r>
      <w:r>
        <w:rPr>
          <w:rFonts w:ascii="Arial" w:cs="Arial" w:eastAsia="Arial" w:hAnsi="Arial"/>
          <w:sz w:val="21"/>
          <w:szCs w:val="21"/>
          <w:color w:val="232323"/>
        </w:rPr>
        <w:t xml:space="preserve"> </w:t>
      </w:r>
      <w:r>
        <w:rPr>
          <w:rFonts w:ascii="Arial" w:cs="Arial" w:eastAsia="Arial" w:hAnsi="Arial"/>
          <w:sz w:val="21"/>
          <w:szCs w:val="21"/>
          <w:color w:val="424242"/>
        </w:rPr>
        <w:t>as</w:t>
      </w:r>
      <w:r>
        <w:rPr>
          <w:rFonts w:ascii="Arial" w:cs="Arial" w:eastAsia="Arial" w:hAnsi="Arial"/>
          <w:sz w:val="21"/>
          <w:szCs w:val="21"/>
          <w:color w:val="232323"/>
        </w:rPr>
        <w:t xml:space="preserve"> </w:t>
      </w:r>
      <w:r>
        <w:rPr>
          <w:rFonts w:ascii="Arial" w:cs="Arial" w:eastAsia="Arial" w:hAnsi="Arial"/>
          <w:sz w:val="21"/>
          <w:szCs w:val="21"/>
          <w:color w:val="333333"/>
        </w:rPr>
        <w:t>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345440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440" w:top="120" w:right="339" w:bottom="1440" w:gutter="0" w:footer="0" w:header="0"/>
        </w:sectPr>
      </w:pPr>
    </w:p>
    <w:bookmarkStart w:id="154" w:name="page155"/>
    <w:bookmarkEnd w:id="154"/>
    <w:p>
      <w:pPr>
        <w:ind w:left="24" w:firstLine="3"/>
        <w:spacing w:after="0" w:line="316" w:lineRule="auto"/>
        <w:rPr>
          <w:sz w:val="20"/>
          <w:szCs w:val="20"/>
          <w:color w:val="auto"/>
        </w:rPr>
      </w:pPr>
      <w:r>
        <w:rPr>
          <w:rFonts w:ascii="Arial" w:cs="Arial" w:eastAsia="Arial" w:hAnsi="Arial"/>
          <w:sz w:val="18"/>
          <w:szCs w:val="18"/>
          <w:color w:val="262626"/>
        </w:rPr>
        <w:t xml:space="preserve">director of up to two </w:t>
      </w:r>
      <w:r>
        <w:rPr>
          <w:rFonts w:ascii="Arial" w:cs="Arial" w:eastAsia="Arial" w:hAnsi="Arial"/>
          <w:sz w:val="18"/>
          <w:szCs w:val="18"/>
          <w:color w:val="363636"/>
        </w:rPr>
        <w:t>(2) corporate</w:t>
      </w:r>
      <w:r>
        <w:rPr>
          <w:rFonts w:ascii="Arial" w:cs="Arial" w:eastAsia="Arial" w:hAnsi="Arial"/>
          <w:sz w:val="18"/>
          <w:szCs w:val="18"/>
          <w:color w:val="262626"/>
        </w:rPr>
        <w:t xml:space="preserve"> or </w:t>
      </w:r>
      <w:r>
        <w:rPr>
          <w:rFonts w:ascii="Arial" w:cs="Arial" w:eastAsia="Arial" w:hAnsi="Arial"/>
          <w:sz w:val="18"/>
          <w:szCs w:val="18"/>
          <w:color w:val="363636"/>
        </w:rPr>
        <w:t>advisory</w:t>
      </w:r>
      <w:r>
        <w:rPr>
          <w:rFonts w:ascii="Arial" w:cs="Arial" w:eastAsia="Arial" w:hAnsi="Arial"/>
          <w:sz w:val="18"/>
          <w:szCs w:val="18"/>
          <w:color w:val="262626"/>
        </w:rPr>
        <w:t xml:space="preserve"> boards </w:t>
      </w:r>
      <w:r>
        <w:rPr>
          <w:rFonts w:ascii="Arial" w:cs="Arial" w:eastAsia="Arial" w:hAnsi="Arial"/>
          <w:sz w:val="18"/>
          <w:szCs w:val="18"/>
          <w:color w:val="363636"/>
        </w:rPr>
        <w:t>subject</w:t>
      </w:r>
      <w:r>
        <w:rPr>
          <w:rFonts w:ascii="Arial" w:cs="Arial" w:eastAsia="Arial" w:hAnsi="Arial"/>
          <w:sz w:val="18"/>
          <w:szCs w:val="18"/>
          <w:color w:val="262626"/>
        </w:rPr>
        <w:t xml:space="preserve"> to </w:t>
      </w:r>
      <w:r>
        <w:rPr>
          <w:rFonts w:ascii="Arial" w:cs="Arial" w:eastAsia="Arial" w:hAnsi="Arial"/>
          <w:sz w:val="18"/>
          <w:szCs w:val="18"/>
          <w:color w:val="363636"/>
        </w:rPr>
        <w:t>CEO approval and</w:t>
      </w:r>
      <w:r>
        <w:rPr>
          <w:rFonts w:ascii="Arial" w:cs="Arial" w:eastAsia="Arial" w:hAnsi="Arial"/>
          <w:sz w:val="18"/>
          <w:szCs w:val="18"/>
          <w:color w:val="262626"/>
        </w:rPr>
        <w:t xml:space="preserve"> provided thatsuch </w:t>
      </w:r>
      <w:r>
        <w:rPr>
          <w:rFonts w:ascii="Arial" w:cs="Arial" w:eastAsia="Arial" w:hAnsi="Arial"/>
          <w:sz w:val="18"/>
          <w:szCs w:val="18"/>
          <w:color w:val="363636"/>
        </w:rPr>
        <w:t>service</w:t>
      </w:r>
      <w:r>
        <w:rPr>
          <w:rFonts w:ascii="Arial" w:cs="Arial" w:eastAsia="Arial" w:hAnsi="Arial"/>
          <w:sz w:val="18"/>
          <w:szCs w:val="18"/>
          <w:color w:val="262626"/>
        </w:rPr>
        <w:t xml:space="preserve"> does not materially </w:t>
      </w:r>
      <w:r>
        <w:rPr>
          <w:rFonts w:ascii="Arial" w:cs="Arial" w:eastAsia="Arial" w:hAnsi="Arial"/>
          <w:sz w:val="18"/>
          <w:szCs w:val="18"/>
          <w:color w:val="363636"/>
        </w:rPr>
        <w:t xml:space="preserve">conflict or </w:t>
      </w:r>
      <w:r>
        <w:rPr>
          <w:rFonts w:ascii="Arial" w:cs="Arial" w:eastAsia="Arial" w:hAnsi="Arial"/>
          <w:sz w:val="18"/>
          <w:szCs w:val="18"/>
          <w:color w:val="262626"/>
        </w:rPr>
        <w:t>interfere</w:t>
      </w:r>
      <w:r>
        <w:rPr>
          <w:rFonts w:ascii="Arial" w:cs="Arial" w:eastAsia="Arial" w:hAnsi="Arial"/>
          <w:sz w:val="18"/>
          <w:szCs w:val="18"/>
          <w:color w:val="363636"/>
        </w:rPr>
        <w:t xml:space="preserve"> with Executive's </w:t>
      </w:r>
      <w:r>
        <w:rPr>
          <w:rFonts w:ascii="Arial" w:cs="Arial" w:eastAsia="Arial" w:hAnsi="Arial"/>
          <w:sz w:val="18"/>
          <w:szCs w:val="18"/>
          <w:color w:val="262626"/>
        </w:rPr>
        <w:t>obligations to the</w:t>
      </w:r>
      <w:r>
        <w:rPr>
          <w:rFonts w:ascii="Arial" w:cs="Arial" w:eastAsia="Arial" w:hAnsi="Arial"/>
          <w:sz w:val="18"/>
          <w:szCs w:val="18"/>
          <w:color w:val="363636"/>
        </w:rPr>
        <w:t xml:space="preserve"> Company and </w:t>
      </w:r>
      <w:r>
        <w:rPr>
          <w:rFonts w:ascii="Arial" w:cs="Arial" w:eastAsia="Arial" w:hAnsi="Arial"/>
          <w:sz w:val="18"/>
          <w:szCs w:val="18"/>
          <w:color w:val="262626"/>
        </w:rPr>
        <w:t>there</w:t>
      </w:r>
      <w:r>
        <w:rPr>
          <w:rFonts w:ascii="Arial" w:cs="Arial" w:eastAsia="Arial" w:hAnsi="Arial"/>
          <w:sz w:val="18"/>
          <w:szCs w:val="18"/>
          <w:color w:val="363636"/>
        </w:rPr>
        <w:t xml:space="preserve"> are </w:t>
      </w:r>
      <w:r>
        <w:rPr>
          <w:rFonts w:ascii="Arial" w:cs="Arial" w:eastAsia="Arial" w:hAnsi="Arial"/>
          <w:sz w:val="18"/>
          <w:szCs w:val="18"/>
          <w:color w:val="262626"/>
        </w:rPr>
        <w:t>no real</w:t>
      </w:r>
      <w:r>
        <w:rPr>
          <w:rFonts w:ascii="Arial" w:cs="Arial" w:eastAsia="Arial" w:hAnsi="Arial"/>
          <w:sz w:val="18"/>
          <w:szCs w:val="18"/>
          <w:color w:val="363636"/>
        </w:rPr>
        <w:t xml:space="preserve"> or </w:t>
      </w:r>
      <w:r>
        <w:rPr>
          <w:rFonts w:ascii="Arial" w:cs="Arial" w:eastAsia="Arial" w:hAnsi="Arial"/>
          <w:sz w:val="18"/>
          <w:szCs w:val="18"/>
          <w:color w:val="262626"/>
        </w:rPr>
        <w:t>perceived</w:t>
      </w:r>
      <w:r>
        <w:rPr>
          <w:rFonts w:ascii="Arial" w:cs="Arial" w:eastAsia="Arial" w:hAnsi="Arial"/>
          <w:sz w:val="18"/>
          <w:szCs w:val="18"/>
          <w:color w:val="363636"/>
        </w:rPr>
        <w:t xml:space="preserve"> conflicts </w:t>
      </w:r>
      <w:r>
        <w:rPr>
          <w:rFonts w:ascii="Arial" w:cs="Arial" w:eastAsia="Arial" w:hAnsi="Arial"/>
          <w:sz w:val="18"/>
          <w:szCs w:val="18"/>
          <w:color w:val="262626"/>
        </w:rPr>
        <w:t>of interest.</w:t>
      </w:r>
    </w:p>
    <w:p>
      <w:pPr>
        <w:spacing w:after="0" w:line="130" w:lineRule="exact"/>
        <w:rPr>
          <w:sz w:val="20"/>
          <w:szCs w:val="20"/>
          <w:color w:val="auto"/>
        </w:rPr>
      </w:pPr>
    </w:p>
    <w:p>
      <w:pPr>
        <w:ind w:left="4" w:right="140" w:firstLine="741"/>
        <w:spacing w:after="0" w:line="316" w:lineRule="auto"/>
        <w:rPr>
          <w:sz w:val="20"/>
          <w:szCs w:val="20"/>
          <w:color w:val="auto"/>
        </w:rPr>
      </w:pPr>
      <w:r>
        <w:rPr>
          <w:rFonts w:ascii="Arial" w:cs="Arial" w:eastAsia="Arial" w:hAnsi="Arial"/>
          <w:sz w:val="18"/>
          <w:szCs w:val="18"/>
          <w:color w:val="363636"/>
        </w:rPr>
        <w:t xml:space="preserve">Executive </w:t>
      </w:r>
      <w:r>
        <w:rPr>
          <w:rFonts w:ascii="Arial" w:cs="Arial" w:eastAsia="Arial" w:hAnsi="Arial"/>
          <w:sz w:val="18"/>
          <w:szCs w:val="18"/>
          <w:color w:val="262626"/>
        </w:rPr>
        <w:t>further acknowledges that he owes</w:t>
      </w:r>
      <w:r>
        <w:rPr>
          <w:rFonts w:ascii="Arial" w:cs="Arial" w:eastAsia="Arial" w:hAnsi="Arial"/>
          <w:sz w:val="18"/>
          <w:szCs w:val="18"/>
          <w:color w:val="363636"/>
        </w:rPr>
        <w:t xml:space="preserve"> the Company </w:t>
      </w:r>
      <w:r>
        <w:rPr>
          <w:rFonts w:ascii="Arial" w:cs="Arial" w:eastAsia="Arial" w:hAnsi="Arial"/>
          <w:sz w:val="18"/>
          <w:szCs w:val="18"/>
          <w:color w:val="262626"/>
        </w:rPr>
        <w:t>both</w:t>
      </w:r>
      <w:r>
        <w:rPr>
          <w:rFonts w:ascii="Arial" w:cs="Arial" w:eastAsia="Arial" w:hAnsi="Arial"/>
          <w:sz w:val="18"/>
          <w:szCs w:val="18"/>
          <w:color w:val="363636"/>
        </w:rPr>
        <w:t xml:space="preserve"> a fiduciary </w:t>
      </w:r>
      <w:r>
        <w:rPr>
          <w:rFonts w:ascii="Arial" w:cs="Arial" w:eastAsia="Arial" w:hAnsi="Arial"/>
          <w:sz w:val="18"/>
          <w:szCs w:val="18"/>
          <w:color w:val="262626"/>
        </w:rPr>
        <w:t>duty</w:t>
      </w:r>
      <w:r>
        <w:rPr>
          <w:rFonts w:ascii="Arial" w:cs="Arial" w:eastAsia="Arial" w:hAnsi="Arial"/>
          <w:sz w:val="18"/>
          <w:szCs w:val="18"/>
          <w:color w:val="363636"/>
        </w:rPr>
        <w:t xml:space="preserve"> and a</w:t>
      </w:r>
      <w:r>
        <w:rPr>
          <w:rFonts w:ascii="Arial" w:cs="Arial" w:eastAsia="Arial" w:hAnsi="Arial"/>
          <w:sz w:val="18"/>
          <w:szCs w:val="18"/>
          <w:color w:val="262626"/>
        </w:rPr>
        <w:t>duty</w:t>
      </w:r>
      <w:r>
        <w:rPr>
          <w:rFonts w:ascii="Arial" w:cs="Arial" w:eastAsia="Arial" w:hAnsi="Arial"/>
          <w:sz w:val="18"/>
          <w:szCs w:val="18"/>
          <w:color w:val="363636"/>
        </w:rPr>
        <w:t xml:space="preserve"> of </w:t>
      </w:r>
      <w:r>
        <w:rPr>
          <w:rFonts w:ascii="Arial" w:cs="Arial" w:eastAsia="Arial" w:hAnsi="Arial"/>
          <w:sz w:val="18"/>
          <w:szCs w:val="18"/>
          <w:color w:val="262626"/>
        </w:rPr>
        <w:t>loyalty while employed</w:t>
      </w:r>
      <w:r>
        <w:rPr>
          <w:rFonts w:ascii="Arial" w:cs="Arial" w:eastAsia="Arial" w:hAnsi="Arial"/>
          <w:sz w:val="18"/>
          <w:szCs w:val="18"/>
          <w:color w:val="363636"/>
        </w:rPr>
        <w:t xml:space="preserve"> </w:t>
      </w:r>
      <w:r>
        <w:rPr>
          <w:rFonts w:ascii="Arial" w:cs="Arial" w:eastAsia="Arial" w:hAnsi="Arial"/>
          <w:sz w:val="18"/>
          <w:szCs w:val="18"/>
          <w:color w:val="262626"/>
        </w:rPr>
        <w:t xml:space="preserve">during </w:t>
      </w:r>
      <w:r>
        <w:rPr>
          <w:rFonts w:ascii="Arial" w:cs="Arial" w:eastAsia="Arial" w:hAnsi="Arial"/>
          <w:sz w:val="18"/>
          <w:szCs w:val="18"/>
          <w:color w:val="363636"/>
        </w:rPr>
        <w:t>the</w:t>
      </w:r>
      <w:r>
        <w:rPr>
          <w:rFonts w:ascii="Arial" w:cs="Arial" w:eastAsia="Arial" w:hAnsi="Arial"/>
          <w:sz w:val="18"/>
          <w:szCs w:val="18"/>
          <w:color w:val="262626"/>
        </w:rPr>
        <w:t xml:space="preserve"> employment period to act at </w:t>
      </w:r>
      <w:r>
        <w:rPr>
          <w:rFonts w:ascii="Arial" w:cs="Arial" w:eastAsia="Arial" w:hAnsi="Arial"/>
          <w:sz w:val="18"/>
          <w:szCs w:val="18"/>
          <w:color w:val="363636"/>
        </w:rPr>
        <w:t>all times in</w:t>
      </w:r>
      <w:r>
        <w:rPr>
          <w:rFonts w:ascii="Arial" w:cs="Arial" w:eastAsia="Arial" w:hAnsi="Arial"/>
          <w:sz w:val="18"/>
          <w:szCs w:val="18"/>
          <w:color w:val="262626"/>
        </w:rPr>
        <w:t xml:space="preserve"> the best interests </w:t>
      </w:r>
      <w:r>
        <w:rPr>
          <w:rFonts w:ascii="Arial" w:cs="Arial" w:eastAsia="Arial" w:hAnsi="Arial"/>
          <w:sz w:val="18"/>
          <w:szCs w:val="18"/>
          <w:color w:val="363636"/>
        </w:rPr>
        <w:t>of</w:t>
      </w:r>
      <w:r>
        <w:rPr>
          <w:rFonts w:ascii="Arial" w:cs="Arial" w:eastAsia="Arial" w:hAnsi="Arial"/>
          <w:sz w:val="18"/>
          <w:szCs w:val="18"/>
          <w:color w:val="262626"/>
        </w:rPr>
        <w:t xml:space="preserve"> the </w:t>
      </w:r>
      <w:r>
        <w:rPr>
          <w:rFonts w:ascii="Arial" w:cs="Arial" w:eastAsia="Arial" w:hAnsi="Arial"/>
          <w:sz w:val="18"/>
          <w:szCs w:val="18"/>
          <w:color w:val="363636"/>
        </w:rPr>
        <w:t>Company, and</w:t>
      </w:r>
      <w:r>
        <w:rPr>
          <w:rFonts w:ascii="Arial" w:cs="Arial" w:eastAsia="Arial" w:hAnsi="Arial"/>
          <w:sz w:val="18"/>
          <w:szCs w:val="18"/>
          <w:color w:val="262626"/>
        </w:rPr>
        <w:t xml:space="preserve"> its </w:t>
      </w:r>
      <w:r>
        <w:rPr>
          <w:rFonts w:ascii="Arial" w:cs="Arial" w:eastAsia="Arial" w:hAnsi="Arial"/>
          <w:sz w:val="18"/>
          <w:szCs w:val="18"/>
          <w:color w:val="363636"/>
        </w:rPr>
        <w:t>subsidiaries</w:t>
      </w:r>
      <w:r>
        <w:rPr>
          <w:rFonts w:ascii="Arial" w:cs="Arial" w:eastAsia="Arial" w:hAnsi="Arial"/>
          <w:sz w:val="18"/>
          <w:szCs w:val="18"/>
          <w:color w:val="262626"/>
        </w:rPr>
        <w:t xml:space="preserve"> and affiliates.</w:t>
      </w:r>
    </w:p>
    <w:p>
      <w:pPr>
        <w:spacing w:after="0" w:line="114" w:lineRule="exact"/>
        <w:rPr>
          <w:sz w:val="20"/>
          <w:szCs w:val="20"/>
          <w:color w:val="auto"/>
        </w:rPr>
      </w:pPr>
    </w:p>
    <w:p>
      <w:pPr>
        <w:ind w:left="804" w:hanging="804"/>
        <w:spacing w:after="0"/>
        <w:tabs>
          <w:tab w:leader="none" w:pos="804" w:val="left"/>
        </w:tabs>
        <w:numPr>
          <w:ilvl w:val="0"/>
          <w:numId w:val="167"/>
        </w:numPr>
        <w:rPr>
          <w:rFonts w:ascii="Arial" w:cs="Arial" w:eastAsia="Arial" w:hAnsi="Arial"/>
          <w:sz w:val="20"/>
          <w:szCs w:val="20"/>
          <w:b w:val="1"/>
          <w:bCs w:val="1"/>
          <w:color w:val="262626"/>
        </w:rPr>
      </w:pPr>
      <w:r>
        <w:rPr>
          <w:rFonts w:ascii="Arial" w:cs="Arial" w:eastAsia="Arial" w:hAnsi="Arial"/>
          <w:sz w:val="21"/>
          <w:szCs w:val="21"/>
          <w:b w:val="1"/>
          <w:bCs w:val="1"/>
          <w:color w:val="262626"/>
        </w:rPr>
        <w:t>Compensation</w:t>
      </w:r>
    </w:p>
    <w:p>
      <w:pPr>
        <w:spacing w:after="0" w:line="193" w:lineRule="exact"/>
        <w:rPr>
          <w:sz w:val="20"/>
          <w:szCs w:val="20"/>
          <w:color w:val="auto"/>
        </w:rPr>
      </w:pPr>
    </w:p>
    <w:p>
      <w:pPr>
        <w:ind w:left="744"/>
        <w:spacing w:after="0"/>
        <w:rPr>
          <w:sz w:val="20"/>
          <w:szCs w:val="20"/>
          <w:color w:val="auto"/>
        </w:rPr>
      </w:pPr>
      <w:r>
        <w:rPr>
          <w:rFonts w:ascii="Arial" w:cs="Arial" w:eastAsia="Arial" w:hAnsi="Arial"/>
          <w:sz w:val="18"/>
          <w:szCs w:val="18"/>
          <w:color w:val="262626"/>
        </w:rPr>
        <w:t xml:space="preserve">As the total </w:t>
      </w:r>
      <w:r>
        <w:rPr>
          <w:rFonts w:ascii="Arial" w:cs="Arial" w:eastAsia="Arial" w:hAnsi="Arial"/>
          <w:sz w:val="18"/>
          <w:szCs w:val="18"/>
          <w:color w:val="363636"/>
        </w:rPr>
        <w:t>consideration</w:t>
      </w:r>
      <w:r>
        <w:rPr>
          <w:rFonts w:ascii="Arial" w:cs="Arial" w:eastAsia="Arial" w:hAnsi="Arial"/>
          <w:sz w:val="18"/>
          <w:szCs w:val="18"/>
          <w:color w:val="262626"/>
        </w:rPr>
        <w:t xml:space="preserve"> for </w:t>
      </w:r>
      <w:r>
        <w:rPr>
          <w:rFonts w:ascii="Arial" w:cs="Arial" w:eastAsia="Arial" w:hAnsi="Arial"/>
          <w:sz w:val="18"/>
          <w:szCs w:val="18"/>
          <w:color w:val="363636"/>
        </w:rPr>
        <w:t>the Executive's services</w:t>
      </w:r>
      <w:r>
        <w:rPr>
          <w:rFonts w:ascii="Arial" w:cs="Arial" w:eastAsia="Arial" w:hAnsi="Arial"/>
          <w:sz w:val="18"/>
          <w:szCs w:val="18"/>
          <w:color w:val="262626"/>
        </w:rPr>
        <w:t xml:space="preserve"> rendered hereunder</w:t>
      </w:r>
      <w:r>
        <w:rPr>
          <w:rFonts w:ascii="Arial" w:cs="Arial" w:eastAsia="Arial" w:hAnsi="Arial"/>
          <w:sz w:val="18"/>
          <w:szCs w:val="18"/>
          <w:color w:val="4D4D4D"/>
        </w:rPr>
        <w:t>,</w:t>
      </w:r>
      <w:r>
        <w:rPr>
          <w:rFonts w:ascii="Arial" w:cs="Arial" w:eastAsia="Arial" w:hAnsi="Arial"/>
          <w:sz w:val="18"/>
          <w:szCs w:val="18"/>
          <w:color w:val="262626"/>
        </w:rPr>
        <w:t xml:space="preserve"> </w:t>
      </w:r>
      <w:r>
        <w:rPr>
          <w:rFonts w:ascii="Arial" w:cs="Arial" w:eastAsia="Arial" w:hAnsi="Arial"/>
          <w:sz w:val="18"/>
          <w:szCs w:val="18"/>
          <w:color w:val="363636"/>
        </w:rPr>
        <w:t>Executive</w:t>
      </w:r>
      <w:r>
        <w:rPr>
          <w:rFonts w:ascii="Arial" w:cs="Arial" w:eastAsia="Arial" w:hAnsi="Arial"/>
          <w:sz w:val="18"/>
          <w:szCs w:val="18"/>
          <w:color w:val="262626"/>
        </w:rPr>
        <w:t xml:space="preserve"> shall be entitled to the following:</w:t>
      </w:r>
    </w:p>
    <w:p>
      <w:pPr>
        <w:spacing w:after="0" w:line="225" w:lineRule="exact"/>
        <w:rPr>
          <w:sz w:val="20"/>
          <w:szCs w:val="20"/>
          <w:color w:val="auto"/>
        </w:rPr>
      </w:pPr>
    </w:p>
    <w:p>
      <w:pPr>
        <w:ind w:left="4" w:right="80" w:firstLine="746"/>
        <w:spacing w:after="0" w:line="288" w:lineRule="auto"/>
        <w:rPr>
          <w:sz w:val="20"/>
          <w:szCs w:val="20"/>
          <w:color w:val="auto"/>
        </w:rPr>
      </w:pPr>
      <w:r>
        <w:rPr>
          <w:rFonts w:ascii="Arial" w:cs="Arial" w:eastAsia="Arial" w:hAnsi="Arial"/>
          <w:sz w:val="18"/>
          <w:szCs w:val="18"/>
          <w:color w:val="262626"/>
        </w:rPr>
        <w:t xml:space="preserve">2.1 </w:t>
      </w:r>
      <w:r>
        <w:rPr>
          <w:rFonts w:ascii="Arial" w:cs="Arial" w:eastAsia="Arial" w:hAnsi="Arial"/>
          <w:sz w:val="18"/>
          <w:szCs w:val="18"/>
          <w:u w:val="single" w:color="auto"/>
          <w:color w:val="262626"/>
        </w:rPr>
        <w:t>Base Salary</w:t>
      </w:r>
      <w:r>
        <w:rPr>
          <w:rFonts w:ascii="Arial" w:cs="Arial" w:eastAsia="Arial" w:hAnsi="Arial"/>
          <w:sz w:val="18"/>
          <w:szCs w:val="18"/>
          <w:color w:val="262626"/>
        </w:rPr>
        <w:t xml:space="preserve">. The </w:t>
      </w:r>
      <w:r>
        <w:rPr>
          <w:rFonts w:ascii="Arial" w:cs="Arial" w:eastAsia="Arial" w:hAnsi="Arial"/>
          <w:sz w:val="18"/>
          <w:szCs w:val="18"/>
          <w:color w:val="363636"/>
        </w:rPr>
        <w:t>Executive shall</w:t>
      </w:r>
      <w:r>
        <w:rPr>
          <w:rFonts w:ascii="Arial" w:cs="Arial" w:eastAsia="Arial" w:hAnsi="Arial"/>
          <w:sz w:val="18"/>
          <w:szCs w:val="18"/>
          <w:color w:val="262626"/>
        </w:rPr>
        <w:t xml:space="preserve"> be paid </w:t>
      </w:r>
      <w:r>
        <w:rPr>
          <w:rFonts w:ascii="Arial" w:cs="Arial" w:eastAsia="Arial" w:hAnsi="Arial"/>
          <w:sz w:val="18"/>
          <w:szCs w:val="18"/>
          <w:color w:val="363636"/>
        </w:rPr>
        <w:t>an</w:t>
      </w:r>
      <w:r>
        <w:rPr>
          <w:rFonts w:ascii="Arial" w:cs="Arial" w:eastAsia="Arial" w:hAnsi="Arial"/>
          <w:sz w:val="18"/>
          <w:szCs w:val="18"/>
          <w:color w:val="262626"/>
        </w:rPr>
        <w:t xml:space="preserve"> annual base </w:t>
      </w:r>
      <w:r>
        <w:rPr>
          <w:rFonts w:ascii="Arial" w:cs="Arial" w:eastAsia="Arial" w:hAnsi="Arial"/>
          <w:sz w:val="18"/>
          <w:szCs w:val="18"/>
          <w:color w:val="363636"/>
        </w:rPr>
        <w:t>salary</w:t>
      </w:r>
      <w:r>
        <w:rPr>
          <w:rFonts w:ascii="Arial" w:cs="Arial" w:eastAsia="Arial" w:hAnsi="Arial"/>
          <w:sz w:val="18"/>
          <w:szCs w:val="18"/>
          <w:color w:val="262626"/>
        </w:rPr>
        <w:t xml:space="preserve"> of </w:t>
      </w:r>
      <w:r>
        <w:rPr>
          <w:rFonts w:ascii="Arial" w:cs="Arial" w:eastAsia="Arial" w:hAnsi="Arial"/>
          <w:sz w:val="18"/>
          <w:szCs w:val="18"/>
          <w:color w:val="363636"/>
        </w:rPr>
        <w:t>Four</w:t>
      </w:r>
      <w:r>
        <w:rPr>
          <w:rFonts w:ascii="Arial" w:cs="Arial" w:eastAsia="Arial" w:hAnsi="Arial"/>
          <w:sz w:val="18"/>
          <w:szCs w:val="18"/>
          <w:color w:val="262626"/>
        </w:rPr>
        <w:t xml:space="preserve"> Hundred </w:t>
      </w:r>
      <w:r>
        <w:rPr>
          <w:rFonts w:ascii="Arial" w:cs="Arial" w:eastAsia="Arial" w:hAnsi="Arial"/>
          <w:sz w:val="18"/>
          <w:szCs w:val="18"/>
          <w:color w:val="363636"/>
        </w:rPr>
        <w:t>Twenty-Five Thousand</w:t>
      </w:r>
      <w:r>
        <w:rPr>
          <w:rFonts w:ascii="Arial" w:cs="Arial" w:eastAsia="Arial" w:hAnsi="Arial"/>
          <w:sz w:val="18"/>
          <w:szCs w:val="18"/>
          <w:color w:val="262626"/>
        </w:rPr>
        <w:t xml:space="preserve"> Dollars </w:t>
      </w:r>
      <w:r>
        <w:rPr>
          <w:rFonts w:ascii="Arial" w:cs="Arial" w:eastAsia="Arial" w:hAnsi="Arial"/>
          <w:sz w:val="18"/>
          <w:szCs w:val="18"/>
          <w:color w:val="363636"/>
        </w:rPr>
        <w:t>($425,000.00)</w:t>
      </w:r>
      <w:r>
        <w:rPr>
          <w:rFonts w:ascii="Arial" w:cs="Arial" w:eastAsia="Arial" w:hAnsi="Arial"/>
          <w:sz w:val="18"/>
          <w:szCs w:val="18"/>
          <w:color w:val="262626"/>
        </w:rPr>
        <w:t xml:space="preserve"> per </w:t>
      </w:r>
      <w:r>
        <w:rPr>
          <w:rFonts w:ascii="Arial" w:cs="Arial" w:eastAsia="Arial" w:hAnsi="Arial"/>
          <w:sz w:val="18"/>
          <w:szCs w:val="18"/>
          <w:color w:val="363636"/>
        </w:rPr>
        <w:t>year ("Base Salary")</w:t>
      </w:r>
      <w:r>
        <w:rPr>
          <w:rFonts w:ascii="Arial" w:cs="Arial" w:eastAsia="Arial" w:hAnsi="Arial"/>
          <w:sz w:val="18"/>
          <w:szCs w:val="18"/>
          <w:color w:val="646464"/>
        </w:rPr>
        <w:t>,</w:t>
      </w:r>
      <w:r>
        <w:rPr>
          <w:rFonts w:ascii="Arial" w:cs="Arial" w:eastAsia="Arial" w:hAnsi="Arial"/>
          <w:sz w:val="18"/>
          <w:szCs w:val="18"/>
          <w:color w:val="262626"/>
        </w:rPr>
        <w:t xml:space="preserve"> </w:t>
      </w:r>
      <w:r>
        <w:rPr>
          <w:rFonts w:ascii="Arial" w:cs="Arial" w:eastAsia="Arial" w:hAnsi="Arial"/>
          <w:sz w:val="18"/>
          <w:szCs w:val="18"/>
          <w:color w:val="363636"/>
        </w:rPr>
        <w:t>subject</w:t>
      </w:r>
      <w:r>
        <w:rPr>
          <w:rFonts w:ascii="Arial" w:cs="Arial" w:eastAsia="Arial" w:hAnsi="Arial"/>
          <w:sz w:val="18"/>
          <w:szCs w:val="18"/>
          <w:color w:val="262626"/>
        </w:rPr>
        <w:t xml:space="preserve"> to applicable </w:t>
      </w:r>
      <w:r>
        <w:rPr>
          <w:rFonts w:ascii="Arial" w:cs="Arial" w:eastAsia="Arial" w:hAnsi="Arial"/>
          <w:sz w:val="18"/>
          <w:szCs w:val="18"/>
          <w:color w:val="363636"/>
        </w:rPr>
        <w:t>tax</w:t>
      </w:r>
      <w:r>
        <w:rPr>
          <w:rFonts w:ascii="Arial" w:cs="Arial" w:eastAsia="Arial" w:hAnsi="Arial"/>
          <w:sz w:val="18"/>
          <w:szCs w:val="18"/>
          <w:color w:val="262626"/>
        </w:rPr>
        <w:t xml:space="preserve">deductions </w:t>
      </w:r>
      <w:r>
        <w:rPr>
          <w:rFonts w:ascii="Arial" w:cs="Arial" w:eastAsia="Arial" w:hAnsi="Arial"/>
          <w:sz w:val="18"/>
          <w:szCs w:val="18"/>
          <w:color w:val="363636"/>
        </w:rPr>
        <w:t>and withholdings,</w:t>
      </w:r>
      <w:r>
        <w:rPr>
          <w:rFonts w:ascii="Arial" w:cs="Arial" w:eastAsia="Arial" w:hAnsi="Arial"/>
          <w:sz w:val="18"/>
          <w:szCs w:val="18"/>
          <w:color w:val="262626"/>
        </w:rPr>
        <w:t xml:space="preserve"> beginning on the </w:t>
      </w:r>
      <w:r>
        <w:rPr>
          <w:rFonts w:ascii="Arial" w:cs="Arial" w:eastAsia="Arial" w:hAnsi="Arial"/>
          <w:sz w:val="18"/>
          <w:szCs w:val="18"/>
          <w:color w:val="363636"/>
        </w:rPr>
        <w:t>Effective</w:t>
      </w:r>
      <w:r>
        <w:rPr>
          <w:rFonts w:ascii="Arial" w:cs="Arial" w:eastAsia="Arial" w:hAnsi="Arial"/>
          <w:sz w:val="18"/>
          <w:szCs w:val="18"/>
          <w:color w:val="262626"/>
        </w:rPr>
        <w:t xml:space="preserve"> Date of the Agreement </w:t>
      </w:r>
      <w:r>
        <w:rPr>
          <w:rFonts w:ascii="Arial" w:cs="Arial" w:eastAsia="Arial" w:hAnsi="Arial"/>
          <w:sz w:val="18"/>
          <w:szCs w:val="18"/>
          <w:color w:val="363636"/>
        </w:rPr>
        <w:t>and</w:t>
      </w:r>
      <w:r>
        <w:rPr>
          <w:rFonts w:ascii="Arial" w:cs="Arial" w:eastAsia="Arial" w:hAnsi="Arial"/>
          <w:sz w:val="18"/>
          <w:szCs w:val="18"/>
          <w:color w:val="262626"/>
        </w:rPr>
        <w:t xml:space="preserve"> payable in regular installments in </w:t>
      </w:r>
      <w:r>
        <w:rPr>
          <w:rFonts w:ascii="Arial" w:cs="Arial" w:eastAsia="Arial" w:hAnsi="Arial"/>
          <w:sz w:val="18"/>
          <w:szCs w:val="18"/>
          <w:color w:val="363636"/>
        </w:rPr>
        <w:t>accordance with</w:t>
      </w:r>
      <w:r>
        <w:rPr>
          <w:rFonts w:ascii="Arial" w:cs="Arial" w:eastAsia="Arial" w:hAnsi="Arial"/>
          <w:sz w:val="18"/>
          <w:szCs w:val="18"/>
          <w:color w:val="262626"/>
        </w:rPr>
        <w:t xml:space="preserve"> the </w:t>
      </w:r>
      <w:r>
        <w:rPr>
          <w:rFonts w:ascii="Arial" w:cs="Arial" w:eastAsia="Arial" w:hAnsi="Arial"/>
          <w:sz w:val="18"/>
          <w:szCs w:val="18"/>
          <w:color w:val="363636"/>
        </w:rPr>
        <w:t>customary</w:t>
      </w:r>
      <w:r>
        <w:rPr>
          <w:rFonts w:ascii="Arial" w:cs="Arial" w:eastAsia="Arial" w:hAnsi="Arial"/>
          <w:sz w:val="18"/>
          <w:szCs w:val="18"/>
          <w:color w:val="262626"/>
        </w:rPr>
        <w:t xml:space="preserve"> payroll practices </w:t>
      </w:r>
      <w:r>
        <w:rPr>
          <w:rFonts w:ascii="Arial" w:cs="Arial" w:eastAsia="Arial" w:hAnsi="Arial"/>
          <w:sz w:val="18"/>
          <w:szCs w:val="18"/>
          <w:color w:val="363636"/>
        </w:rPr>
        <w:t>of</w:t>
      </w:r>
      <w:r>
        <w:rPr>
          <w:rFonts w:ascii="Arial" w:cs="Arial" w:eastAsia="Arial" w:hAnsi="Arial"/>
          <w:sz w:val="18"/>
          <w:szCs w:val="18"/>
          <w:color w:val="262626"/>
        </w:rPr>
        <w:t xml:space="preserve"> the </w:t>
      </w:r>
      <w:r>
        <w:rPr>
          <w:rFonts w:ascii="Arial" w:cs="Arial" w:eastAsia="Arial" w:hAnsi="Arial"/>
          <w:sz w:val="18"/>
          <w:szCs w:val="18"/>
          <w:color w:val="363636"/>
        </w:rPr>
        <w:t>Company.</w:t>
      </w:r>
      <w:r>
        <w:rPr>
          <w:rFonts w:ascii="Arial" w:cs="Arial" w:eastAsia="Arial" w:hAnsi="Arial"/>
          <w:sz w:val="18"/>
          <w:szCs w:val="18"/>
          <w:color w:val="262626"/>
        </w:rPr>
        <w:t xml:space="preserve"> </w:t>
      </w:r>
      <w:r>
        <w:rPr>
          <w:rFonts w:ascii="Arial" w:cs="Arial" w:eastAsia="Arial" w:hAnsi="Arial"/>
          <w:sz w:val="18"/>
          <w:szCs w:val="18"/>
          <w:color w:val="363636"/>
        </w:rPr>
        <w:t xml:space="preserve">The Executive's </w:t>
      </w:r>
      <w:r>
        <w:rPr>
          <w:rFonts w:ascii="Arial" w:cs="Arial" w:eastAsia="Arial" w:hAnsi="Arial"/>
          <w:sz w:val="18"/>
          <w:szCs w:val="18"/>
          <w:color w:val="262626"/>
        </w:rPr>
        <w:t>salary will be</w:t>
      </w:r>
      <w:r>
        <w:rPr>
          <w:rFonts w:ascii="Arial" w:cs="Arial" w:eastAsia="Arial" w:hAnsi="Arial"/>
          <w:sz w:val="18"/>
          <w:szCs w:val="18"/>
          <w:color w:val="363636"/>
        </w:rPr>
        <w:t xml:space="preserve"> subject </w:t>
      </w:r>
      <w:r>
        <w:rPr>
          <w:rFonts w:ascii="Arial" w:cs="Arial" w:eastAsia="Arial" w:hAnsi="Arial"/>
          <w:sz w:val="18"/>
          <w:szCs w:val="18"/>
          <w:color w:val="262626"/>
        </w:rPr>
        <w:t>to</w:t>
      </w:r>
      <w:r>
        <w:rPr>
          <w:rFonts w:ascii="Arial" w:cs="Arial" w:eastAsia="Arial" w:hAnsi="Arial"/>
          <w:sz w:val="18"/>
          <w:szCs w:val="18"/>
          <w:color w:val="363636"/>
        </w:rPr>
        <w:t xml:space="preserve"> annual </w:t>
      </w:r>
      <w:r>
        <w:rPr>
          <w:rFonts w:ascii="Arial" w:cs="Arial" w:eastAsia="Arial" w:hAnsi="Arial"/>
          <w:sz w:val="18"/>
          <w:szCs w:val="18"/>
          <w:color w:val="262626"/>
        </w:rPr>
        <w:t>review by the</w:t>
      </w:r>
      <w:r>
        <w:rPr>
          <w:rFonts w:ascii="Arial" w:cs="Arial" w:eastAsia="Arial" w:hAnsi="Arial"/>
          <w:sz w:val="18"/>
          <w:szCs w:val="18"/>
          <w:color w:val="363636"/>
        </w:rPr>
        <w:t xml:space="preserve"> Board and </w:t>
      </w:r>
      <w:r>
        <w:rPr>
          <w:rFonts w:ascii="Arial" w:cs="Arial" w:eastAsia="Arial" w:hAnsi="Arial"/>
          <w:sz w:val="18"/>
          <w:szCs w:val="18"/>
          <w:color w:val="262626"/>
        </w:rPr>
        <w:t>may be increased</w:t>
      </w:r>
      <w:r>
        <w:rPr>
          <w:rFonts w:ascii="Arial" w:cs="Arial" w:eastAsia="Arial" w:hAnsi="Arial"/>
          <w:sz w:val="18"/>
          <w:szCs w:val="18"/>
          <w:color w:val="363636"/>
        </w:rPr>
        <w:t xml:space="preserve"> in the sole </w:t>
      </w:r>
      <w:r>
        <w:rPr>
          <w:rFonts w:ascii="Arial" w:cs="Arial" w:eastAsia="Arial" w:hAnsi="Arial"/>
          <w:sz w:val="18"/>
          <w:szCs w:val="18"/>
          <w:color w:val="262626"/>
        </w:rPr>
        <w:t>discretion</w:t>
      </w:r>
      <w:r>
        <w:rPr>
          <w:rFonts w:ascii="Arial" w:cs="Arial" w:eastAsia="Arial" w:hAnsi="Arial"/>
          <w:sz w:val="18"/>
          <w:szCs w:val="18"/>
          <w:color w:val="363636"/>
        </w:rPr>
        <w:t xml:space="preserve"> of </w:t>
      </w:r>
      <w:r>
        <w:rPr>
          <w:rFonts w:ascii="Arial" w:cs="Arial" w:eastAsia="Arial" w:hAnsi="Arial"/>
          <w:sz w:val="18"/>
          <w:szCs w:val="18"/>
          <w:color w:val="262626"/>
        </w:rPr>
        <w:t>the Board.</w:t>
      </w:r>
    </w:p>
    <w:p>
      <w:pPr>
        <w:spacing w:after="0" w:line="140" w:lineRule="exact"/>
        <w:rPr>
          <w:sz w:val="20"/>
          <w:szCs w:val="20"/>
          <w:color w:val="auto"/>
        </w:rPr>
      </w:pPr>
    </w:p>
    <w:p>
      <w:pPr>
        <w:ind w:left="804"/>
        <w:spacing w:after="0"/>
        <w:tabs>
          <w:tab w:leader="none" w:pos="1584" w:val="left"/>
        </w:tabs>
        <w:rPr>
          <w:sz w:val="20"/>
          <w:szCs w:val="20"/>
          <w:color w:val="auto"/>
        </w:rPr>
      </w:pPr>
      <w:r>
        <w:rPr>
          <w:rFonts w:ascii="Arial" w:cs="Arial" w:eastAsia="Arial" w:hAnsi="Arial"/>
          <w:sz w:val="20"/>
          <w:szCs w:val="20"/>
          <w:color w:val="262626"/>
        </w:rPr>
        <w:t>2.2</w:t>
      </w:r>
      <w:r>
        <w:rPr>
          <w:sz w:val="20"/>
          <w:szCs w:val="20"/>
          <w:color w:val="auto"/>
        </w:rPr>
        <w:tab/>
      </w:r>
      <w:r>
        <w:rPr>
          <w:rFonts w:ascii="Arial" w:cs="Arial" w:eastAsia="Arial" w:hAnsi="Arial"/>
          <w:sz w:val="16"/>
          <w:szCs w:val="16"/>
          <w:u w:val="single" w:color="auto"/>
          <w:color w:val="262626"/>
        </w:rPr>
        <w:t xml:space="preserve">Bonus </w:t>
      </w:r>
      <w:r>
        <w:rPr>
          <w:rFonts w:ascii="Arial" w:cs="Arial" w:eastAsia="Arial" w:hAnsi="Arial"/>
          <w:sz w:val="16"/>
          <w:szCs w:val="16"/>
          <w:u w:val="single" w:color="auto"/>
          <w:color w:val="363636"/>
        </w:rPr>
        <w:t>and</w:t>
      </w:r>
      <w:r>
        <w:rPr>
          <w:rFonts w:ascii="Arial" w:cs="Arial" w:eastAsia="Arial" w:hAnsi="Arial"/>
          <w:sz w:val="16"/>
          <w:szCs w:val="16"/>
          <w:u w:val="single" w:color="auto"/>
          <w:color w:val="262626"/>
        </w:rPr>
        <w:t xml:space="preserve"> Relocation </w:t>
      </w:r>
      <w:r>
        <w:rPr>
          <w:rFonts w:ascii="Arial" w:cs="Arial" w:eastAsia="Arial" w:hAnsi="Arial"/>
          <w:sz w:val="16"/>
          <w:szCs w:val="16"/>
          <w:u w:val="single" w:color="auto"/>
          <w:color w:val="363636"/>
        </w:rPr>
        <w:t>Expenses.</w:t>
      </w:r>
    </w:p>
    <w:p>
      <w:pPr>
        <w:spacing w:after="0" w:line="201" w:lineRule="exact"/>
        <w:rPr>
          <w:sz w:val="20"/>
          <w:szCs w:val="20"/>
          <w:color w:val="auto"/>
        </w:rPr>
      </w:pPr>
    </w:p>
    <w:p>
      <w:pPr>
        <w:ind w:left="4" w:right="40" w:firstLine="742"/>
        <w:spacing w:after="0" w:line="272" w:lineRule="auto"/>
        <w:tabs>
          <w:tab w:leader="none" w:pos="1612" w:val="left"/>
        </w:tabs>
        <w:numPr>
          <w:ilvl w:val="0"/>
          <w:numId w:val="168"/>
        </w:numPr>
        <w:rPr>
          <w:rFonts w:ascii="Arial" w:cs="Arial" w:eastAsia="Arial" w:hAnsi="Arial"/>
          <w:sz w:val="18"/>
          <w:szCs w:val="18"/>
          <w:color w:val="363636"/>
        </w:rPr>
      </w:pPr>
      <w:r>
        <w:rPr>
          <w:rFonts w:ascii="Arial" w:cs="Arial" w:eastAsia="Arial" w:hAnsi="Arial"/>
          <w:sz w:val="18"/>
          <w:szCs w:val="18"/>
          <w:u w:val="single" w:color="auto"/>
          <w:color w:val="262626"/>
        </w:rPr>
        <w:t>Annual Performance Bonus.</w:t>
      </w:r>
      <w:r>
        <w:rPr>
          <w:rFonts w:ascii="Arial" w:cs="Arial" w:eastAsia="Arial" w:hAnsi="Arial"/>
          <w:sz w:val="18"/>
          <w:szCs w:val="18"/>
          <w:color w:val="262626"/>
        </w:rPr>
        <w:t xml:space="preserve"> </w:t>
      </w:r>
      <w:r>
        <w:rPr>
          <w:rFonts w:ascii="Arial" w:cs="Arial" w:eastAsia="Arial" w:hAnsi="Arial"/>
          <w:sz w:val="20"/>
          <w:szCs w:val="20"/>
          <w:color w:val="262626"/>
        </w:rPr>
        <w:t>In</w:t>
      </w:r>
      <w:r>
        <w:rPr>
          <w:rFonts w:ascii="Arial" w:cs="Arial" w:eastAsia="Arial" w:hAnsi="Arial"/>
          <w:sz w:val="18"/>
          <w:szCs w:val="18"/>
          <w:color w:val="262626"/>
        </w:rPr>
        <w:t xml:space="preserve"> </w:t>
      </w:r>
      <w:r>
        <w:rPr>
          <w:rFonts w:ascii="Arial" w:cs="Arial" w:eastAsia="Arial" w:hAnsi="Arial"/>
          <w:sz w:val="18"/>
          <w:szCs w:val="18"/>
          <w:color w:val="363636"/>
        </w:rPr>
        <w:t>addition</w:t>
      </w:r>
      <w:r>
        <w:rPr>
          <w:rFonts w:ascii="Arial" w:cs="Arial" w:eastAsia="Arial" w:hAnsi="Arial"/>
          <w:sz w:val="18"/>
          <w:szCs w:val="18"/>
          <w:color w:val="262626"/>
        </w:rPr>
        <w:t xml:space="preserve"> to Base </w:t>
      </w:r>
      <w:r>
        <w:rPr>
          <w:rFonts w:ascii="Arial" w:cs="Arial" w:eastAsia="Arial" w:hAnsi="Arial"/>
          <w:sz w:val="18"/>
          <w:szCs w:val="18"/>
          <w:color w:val="363636"/>
        </w:rPr>
        <w:t>Salary,</w:t>
      </w:r>
      <w:r>
        <w:rPr>
          <w:rFonts w:ascii="Arial" w:cs="Arial" w:eastAsia="Arial" w:hAnsi="Arial"/>
          <w:sz w:val="18"/>
          <w:szCs w:val="18"/>
          <w:color w:val="262626"/>
        </w:rPr>
        <w:t xml:space="preserve"> the </w:t>
      </w:r>
      <w:r>
        <w:rPr>
          <w:rFonts w:ascii="Arial" w:cs="Arial" w:eastAsia="Arial" w:hAnsi="Arial"/>
          <w:sz w:val="18"/>
          <w:szCs w:val="18"/>
          <w:color w:val="363636"/>
        </w:rPr>
        <w:t>Executive</w:t>
      </w:r>
      <w:r>
        <w:rPr>
          <w:rFonts w:ascii="Arial" w:cs="Arial" w:eastAsia="Arial" w:hAnsi="Arial"/>
          <w:sz w:val="18"/>
          <w:szCs w:val="18"/>
          <w:color w:val="262626"/>
        </w:rPr>
        <w:t xml:space="preserve"> </w:t>
      </w:r>
      <w:r>
        <w:rPr>
          <w:rFonts w:ascii="Arial" w:cs="Arial" w:eastAsia="Arial" w:hAnsi="Arial"/>
          <w:sz w:val="18"/>
          <w:szCs w:val="18"/>
          <w:color w:val="4D4D4D"/>
        </w:rPr>
        <w:t>s</w:t>
      </w:r>
      <w:r>
        <w:rPr>
          <w:rFonts w:ascii="Arial" w:cs="Arial" w:eastAsia="Arial" w:hAnsi="Arial"/>
          <w:sz w:val="18"/>
          <w:szCs w:val="18"/>
          <w:color w:val="262626"/>
        </w:rPr>
        <w:t xml:space="preserve">hall be eligible to receive an </w:t>
      </w:r>
      <w:r>
        <w:rPr>
          <w:rFonts w:ascii="Arial" w:cs="Arial" w:eastAsia="Arial" w:hAnsi="Arial"/>
          <w:sz w:val="18"/>
          <w:szCs w:val="18"/>
          <w:color w:val="363636"/>
        </w:rPr>
        <w:t>annual</w:t>
      </w:r>
      <w:r>
        <w:rPr>
          <w:rFonts w:ascii="Arial" w:cs="Arial" w:eastAsia="Arial" w:hAnsi="Arial"/>
          <w:sz w:val="18"/>
          <w:szCs w:val="18"/>
          <w:color w:val="262626"/>
        </w:rPr>
        <w:t xml:space="preserve"> performance bonus ("Annual Bonu</w:t>
      </w:r>
      <w:r>
        <w:rPr>
          <w:rFonts w:ascii="Arial" w:cs="Arial" w:eastAsia="Arial" w:hAnsi="Arial"/>
          <w:sz w:val="18"/>
          <w:szCs w:val="18"/>
          <w:color w:val="4D4D4D"/>
        </w:rPr>
        <w:t>s"</w:t>
      </w:r>
      <w:r>
        <w:rPr>
          <w:rFonts w:ascii="Arial" w:cs="Arial" w:eastAsia="Arial" w:hAnsi="Arial"/>
          <w:sz w:val="18"/>
          <w:szCs w:val="18"/>
          <w:color w:val="262626"/>
        </w:rPr>
        <w:t xml:space="preserve">) based upon </w:t>
      </w:r>
      <w:r>
        <w:rPr>
          <w:rFonts w:ascii="Arial" w:cs="Arial" w:eastAsia="Arial" w:hAnsi="Arial"/>
          <w:sz w:val="18"/>
          <w:szCs w:val="18"/>
          <w:color w:val="363636"/>
        </w:rPr>
        <w:t>the Company's</w:t>
      </w:r>
      <w:r>
        <w:rPr>
          <w:rFonts w:ascii="Arial" w:cs="Arial" w:eastAsia="Arial" w:hAnsi="Arial"/>
          <w:sz w:val="18"/>
          <w:szCs w:val="18"/>
          <w:color w:val="262626"/>
        </w:rPr>
        <w:t xml:space="preserve"> performance and </w:t>
      </w:r>
      <w:r>
        <w:rPr>
          <w:rFonts w:ascii="Arial" w:cs="Arial" w:eastAsia="Arial" w:hAnsi="Arial"/>
          <w:sz w:val="18"/>
          <w:szCs w:val="18"/>
          <w:color w:val="363636"/>
        </w:rPr>
        <w:t>Executive's</w:t>
      </w:r>
      <w:r>
        <w:rPr>
          <w:rFonts w:ascii="Arial" w:cs="Arial" w:eastAsia="Arial" w:hAnsi="Arial"/>
          <w:sz w:val="18"/>
          <w:szCs w:val="18"/>
          <w:color w:val="262626"/>
        </w:rPr>
        <w:t xml:space="preserve"> performance </w:t>
      </w:r>
      <w:r>
        <w:rPr>
          <w:rFonts w:ascii="Arial" w:cs="Arial" w:eastAsia="Arial" w:hAnsi="Arial"/>
          <w:sz w:val="18"/>
          <w:szCs w:val="18"/>
          <w:color w:val="363636"/>
        </w:rPr>
        <w:t>for the</w:t>
      </w:r>
      <w:r>
        <w:rPr>
          <w:rFonts w:ascii="Arial" w:cs="Arial" w:eastAsia="Arial" w:hAnsi="Arial"/>
          <w:sz w:val="18"/>
          <w:szCs w:val="18"/>
          <w:color w:val="262626"/>
        </w:rPr>
        <w:t xml:space="preserve"> preceding </w:t>
      </w:r>
      <w:r>
        <w:rPr>
          <w:rFonts w:ascii="Arial" w:cs="Arial" w:eastAsia="Arial" w:hAnsi="Arial"/>
          <w:sz w:val="18"/>
          <w:szCs w:val="18"/>
          <w:color w:val="363636"/>
        </w:rPr>
        <w:t xml:space="preserve">year as </w:t>
      </w:r>
      <w:r>
        <w:rPr>
          <w:rFonts w:ascii="Arial" w:cs="Arial" w:eastAsia="Arial" w:hAnsi="Arial"/>
          <w:sz w:val="18"/>
          <w:szCs w:val="18"/>
          <w:color w:val="262626"/>
        </w:rPr>
        <w:t>measured against</w:t>
      </w:r>
      <w:r>
        <w:rPr>
          <w:rFonts w:ascii="Arial" w:cs="Arial" w:eastAsia="Arial" w:hAnsi="Arial"/>
          <w:sz w:val="18"/>
          <w:szCs w:val="18"/>
          <w:color w:val="363636"/>
        </w:rPr>
        <w:t xml:space="preserve"> certain </w:t>
      </w:r>
      <w:r>
        <w:rPr>
          <w:rFonts w:ascii="Arial" w:cs="Arial" w:eastAsia="Arial" w:hAnsi="Arial"/>
          <w:sz w:val="18"/>
          <w:szCs w:val="18"/>
          <w:color w:val="262626"/>
        </w:rPr>
        <w:t>performance targets as</w:t>
      </w:r>
      <w:r>
        <w:rPr>
          <w:rFonts w:ascii="Arial" w:cs="Arial" w:eastAsia="Arial" w:hAnsi="Arial"/>
          <w:sz w:val="18"/>
          <w:szCs w:val="18"/>
          <w:color w:val="363636"/>
        </w:rPr>
        <w:t xml:space="preserve"> mutually established by </w:t>
      </w:r>
      <w:r>
        <w:rPr>
          <w:rFonts w:ascii="Arial" w:cs="Arial" w:eastAsia="Arial" w:hAnsi="Arial"/>
          <w:sz w:val="18"/>
          <w:szCs w:val="18"/>
          <w:color w:val="262626"/>
        </w:rPr>
        <w:t>the</w:t>
      </w:r>
      <w:r>
        <w:rPr>
          <w:rFonts w:ascii="Arial" w:cs="Arial" w:eastAsia="Arial" w:hAnsi="Arial"/>
          <w:sz w:val="18"/>
          <w:szCs w:val="18"/>
          <w:color w:val="363636"/>
        </w:rPr>
        <w:t xml:space="preserve"> parties </w:t>
      </w:r>
      <w:r>
        <w:rPr>
          <w:rFonts w:ascii="Arial" w:cs="Arial" w:eastAsia="Arial" w:hAnsi="Arial"/>
          <w:sz w:val="18"/>
          <w:szCs w:val="18"/>
          <w:color w:val="262626"/>
        </w:rPr>
        <w:t>to</w:t>
      </w:r>
      <w:r>
        <w:rPr>
          <w:rFonts w:ascii="Arial" w:cs="Arial" w:eastAsia="Arial" w:hAnsi="Arial"/>
          <w:sz w:val="18"/>
          <w:szCs w:val="18"/>
          <w:color w:val="363636"/>
        </w:rPr>
        <w:t xml:space="preserve"> this Agreement as </w:t>
      </w:r>
      <w:r>
        <w:rPr>
          <w:rFonts w:ascii="Arial" w:cs="Arial" w:eastAsia="Arial" w:hAnsi="Arial"/>
          <w:sz w:val="18"/>
          <w:szCs w:val="18"/>
          <w:color w:val="262626"/>
        </w:rPr>
        <w:t>determined by</w:t>
      </w:r>
      <w:r>
        <w:rPr>
          <w:rFonts w:ascii="Arial" w:cs="Arial" w:eastAsia="Arial" w:hAnsi="Arial"/>
          <w:sz w:val="18"/>
          <w:szCs w:val="18"/>
          <w:color w:val="363636"/>
        </w:rPr>
        <w:t xml:space="preserve"> </w:t>
      </w:r>
      <w:r>
        <w:rPr>
          <w:rFonts w:ascii="Arial" w:cs="Arial" w:eastAsia="Arial" w:hAnsi="Arial"/>
          <w:sz w:val="18"/>
          <w:szCs w:val="18"/>
          <w:color w:val="262626"/>
        </w:rPr>
        <w:t xml:space="preserve">the Board </w:t>
      </w:r>
      <w:r>
        <w:rPr>
          <w:rFonts w:ascii="Arial" w:cs="Arial" w:eastAsia="Arial" w:hAnsi="Arial"/>
          <w:sz w:val="18"/>
          <w:szCs w:val="18"/>
          <w:color w:val="363636"/>
        </w:rPr>
        <w:t>and CEO. The</w:t>
      </w:r>
      <w:r>
        <w:rPr>
          <w:rFonts w:ascii="Arial" w:cs="Arial" w:eastAsia="Arial" w:hAnsi="Arial"/>
          <w:sz w:val="18"/>
          <w:szCs w:val="18"/>
          <w:color w:val="262626"/>
        </w:rPr>
        <w:t xml:space="preserve"> Annual Bonus, if </w:t>
      </w:r>
      <w:r>
        <w:rPr>
          <w:rFonts w:ascii="Arial" w:cs="Arial" w:eastAsia="Arial" w:hAnsi="Arial"/>
          <w:sz w:val="18"/>
          <w:szCs w:val="18"/>
          <w:color w:val="363636"/>
        </w:rPr>
        <w:t>earned, shall</w:t>
      </w:r>
      <w:r>
        <w:rPr>
          <w:rFonts w:ascii="Arial" w:cs="Arial" w:eastAsia="Arial" w:hAnsi="Arial"/>
          <w:sz w:val="18"/>
          <w:szCs w:val="18"/>
          <w:color w:val="262626"/>
        </w:rPr>
        <w:t xml:space="preserve"> be paid </w:t>
      </w:r>
      <w:r>
        <w:rPr>
          <w:rFonts w:ascii="Arial" w:cs="Arial" w:eastAsia="Arial" w:hAnsi="Arial"/>
          <w:sz w:val="18"/>
          <w:szCs w:val="18"/>
          <w:color w:val="363636"/>
        </w:rPr>
        <w:t>on or around</w:t>
      </w:r>
      <w:r>
        <w:rPr>
          <w:rFonts w:ascii="Arial" w:cs="Arial" w:eastAsia="Arial" w:hAnsi="Arial"/>
          <w:sz w:val="18"/>
          <w:szCs w:val="18"/>
          <w:color w:val="262626"/>
        </w:rPr>
        <w:t xml:space="preserve"> the </w:t>
      </w:r>
      <w:r>
        <w:rPr>
          <w:rFonts w:ascii="Arial" w:cs="Arial" w:eastAsia="Arial" w:hAnsi="Arial"/>
          <w:sz w:val="18"/>
          <w:szCs w:val="18"/>
          <w:color w:val="363636"/>
        </w:rPr>
        <w:t>March</w:t>
      </w:r>
      <w:r>
        <w:rPr>
          <w:rFonts w:ascii="Arial" w:cs="Arial" w:eastAsia="Arial" w:hAnsi="Arial"/>
          <w:sz w:val="18"/>
          <w:szCs w:val="18"/>
          <w:color w:val="262626"/>
        </w:rPr>
        <w:t xml:space="preserve"> timeframe </w:t>
      </w:r>
      <w:r>
        <w:rPr>
          <w:rFonts w:ascii="Arial" w:cs="Arial" w:eastAsia="Arial" w:hAnsi="Arial"/>
          <w:sz w:val="18"/>
          <w:szCs w:val="18"/>
          <w:color w:val="363636"/>
        </w:rPr>
        <w:t>of the following year.</w:t>
      </w:r>
      <w:r>
        <w:rPr>
          <w:rFonts w:ascii="Arial" w:cs="Arial" w:eastAsia="Arial" w:hAnsi="Arial"/>
          <w:sz w:val="18"/>
          <w:szCs w:val="18"/>
          <w:color w:val="262626"/>
        </w:rPr>
        <w:t xml:space="preserve"> The amount of the </w:t>
      </w:r>
      <w:r>
        <w:rPr>
          <w:rFonts w:ascii="Arial" w:cs="Arial" w:eastAsia="Arial" w:hAnsi="Arial"/>
          <w:sz w:val="18"/>
          <w:szCs w:val="18"/>
          <w:color w:val="363636"/>
        </w:rPr>
        <w:t>Annual</w:t>
      </w:r>
      <w:r>
        <w:rPr>
          <w:rFonts w:ascii="Arial" w:cs="Arial" w:eastAsia="Arial" w:hAnsi="Arial"/>
          <w:sz w:val="18"/>
          <w:szCs w:val="18"/>
          <w:color w:val="262626"/>
        </w:rPr>
        <w:t xml:space="preserve"> Bonus </w:t>
      </w:r>
      <w:r>
        <w:rPr>
          <w:rFonts w:ascii="Arial" w:cs="Arial" w:eastAsia="Arial" w:hAnsi="Arial"/>
          <w:sz w:val="18"/>
          <w:szCs w:val="18"/>
          <w:color w:val="363636"/>
        </w:rPr>
        <w:t>shall</w:t>
      </w:r>
      <w:r>
        <w:rPr>
          <w:rFonts w:ascii="Arial" w:cs="Arial" w:eastAsia="Arial" w:hAnsi="Arial"/>
          <w:sz w:val="18"/>
          <w:szCs w:val="18"/>
          <w:color w:val="262626"/>
        </w:rPr>
        <w:t xml:space="preserve"> be forty </w:t>
      </w:r>
      <w:r>
        <w:rPr>
          <w:rFonts w:ascii="Arial" w:cs="Arial" w:eastAsia="Arial" w:hAnsi="Arial"/>
          <w:sz w:val="18"/>
          <w:szCs w:val="18"/>
          <w:color w:val="363636"/>
        </w:rPr>
        <w:t>percent (40%)</w:t>
      </w:r>
      <w:r>
        <w:rPr>
          <w:rFonts w:ascii="Arial" w:cs="Arial" w:eastAsia="Arial" w:hAnsi="Arial"/>
          <w:sz w:val="18"/>
          <w:szCs w:val="18"/>
          <w:color w:val="262626"/>
        </w:rPr>
        <w:t xml:space="preserve"> of Executive's Base Salary </w:t>
      </w:r>
      <w:r>
        <w:rPr>
          <w:rFonts w:ascii="Arial" w:cs="Arial" w:eastAsia="Arial" w:hAnsi="Arial"/>
          <w:sz w:val="18"/>
          <w:szCs w:val="18"/>
          <w:color w:val="363636"/>
        </w:rPr>
        <w:t>("Target Bonus"). For 2021, Executive will</w:t>
      </w:r>
      <w:r>
        <w:rPr>
          <w:rFonts w:ascii="Arial" w:cs="Arial" w:eastAsia="Arial" w:hAnsi="Arial"/>
          <w:sz w:val="18"/>
          <w:szCs w:val="18"/>
          <w:color w:val="262626"/>
        </w:rPr>
        <w:t xml:space="preserve"> </w:t>
      </w:r>
      <w:r>
        <w:rPr>
          <w:rFonts w:ascii="Arial" w:cs="Arial" w:eastAsia="Arial" w:hAnsi="Arial"/>
          <w:sz w:val="18"/>
          <w:szCs w:val="18"/>
          <w:color w:val="363636"/>
        </w:rPr>
        <w:t xml:space="preserve">be eligible </w:t>
      </w:r>
      <w:r>
        <w:rPr>
          <w:rFonts w:ascii="Arial" w:cs="Arial" w:eastAsia="Arial" w:hAnsi="Arial"/>
          <w:sz w:val="18"/>
          <w:szCs w:val="18"/>
          <w:color w:val="262626"/>
        </w:rPr>
        <w:t>to</w:t>
      </w:r>
      <w:r>
        <w:rPr>
          <w:rFonts w:ascii="Arial" w:cs="Arial" w:eastAsia="Arial" w:hAnsi="Arial"/>
          <w:sz w:val="18"/>
          <w:szCs w:val="18"/>
          <w:color w:val="363636"/>
        </w:rPr>
        <w:t xml:space="preserve"> receive an </w:t>
      </w:r>
      <w:r>
        <w:rPr>
          <w:rFonts w:ascii="Arial" w:cs="Arial" w:eastAsia="Arial" w:hAnsi="Arial"/>
          <w:sz w:val="18"/>
          <w:szCs w:val="18"/>
          <w:color w:val="262626"/>
        </w:rPr>
        <w:t>Annual Bonus</w:t>
      </w:r>
      <w:r>
        <w:rPr>
          <w:rFonts w:ascii="Arial" w:cs="Arial" w:eastAsia="Arial" w:hAnsi="Arial"/>
          <w:sz w:val="18"/>
          <w:szCs w:val="18"/>
          <w:color w:val="363636"/>
        </w:rPr>
        <w:t xml:space="preserve"> of up to </w:t>
      </w:r>
      <w:r>
        <w:rPr>
          <w:rFonts w:ascii="Arial" w:cs="Arial" w:eastAsia="Arial" w:hAnsi="Arial"/>
          <w:sz w:val="18"/>
          <w:szCs w:val="18"/>
          <w:color w:val="262626"/>
        </w:rPr>
        <w:t>forty percent</w:t>
      </w:r>
      <w:r>
        <w:rPr>
          <w:rFonts w:ascii="Arial" w:cs="Arial" w:eastAsia="Arial" w:hAnsi="Arial"/>
          <w:sz w:val="18"/>
          <w:szCs w:val="18"/>
          <w:color w:val="363636"/>
        </w:rPr>
        <w:t xml:space="preserve"> (40%) of the </w:t>
      </w:r>
      <w:r>
        <w:rPr>
          <w:rFonts w:ascii="Arial" w:cs="Arial" w:eastAsia="Arial" w:hAnsi="Arial"/>
          <w:sz w:val="18"/>
          <w:szCs w:val="18"/>
          <w:color w:val="262626"/>
        </w:rPr>
        <w:t>pro-rata</w:t>
      </w:r>
      <w:r>
        <w:rPr>
          <w:rFonts w:ascii="Arial" w:cs="Arial" w:eastAsia="Arial" w:hAnsi="Arial"/>
          <w:sz w:val="18"/>
          <w:szCs w:val="18"/>
          <w:color w:val="363636"/>
        </w:rPr>
        <w:t xml:space="preserve"> share of </w:t>
      </w:r>
      <w:r>
        <w:rPr>
          <w:rFonts w:ascii="Arial" w:cs="Arial" w:eastAsia="Arial" w:hAnsi="Arial"/>
          <w:sz w:val="18"/>
          <w:szCs w:val="18"/>
          <w:color w:val="262626"/>
        </w:rPr>
        <w:t>the Base</w:t>
      </w:r>
      <w:r>
        <w:rPr>
          <w:rFonts w:ascii="Arial" w:cs="Arial" w:eastAsia="Arial" w:hAnsi="Arial"/>
          <w:sz w:val="18"/>
          <w:szCs w:val="18"/>
          <w:color w:val="363636"/>
        </w:rPr>
        <w:t xml:space="preserve"> Salary (excluding any other </w:t>
      </w:r>
      <w:r>
        <w:rPr>
          <w:rFonts w:ascii="Arial" w:cs="Arial" w:eastAsia="Arial" w:hAnsi="Arial"/>
          <w:sz w:val="18"/>
          <w:szCs w:val="18"/>
          <w:color w:val="262626"/>
        </w:rPr>
        <w:t xml:space="preserve">bonus or </w:t>
      </w:r>
      <w:r>
        <w:rPr>
          <w:rFonts w:ascii="Arial" w:cs="Arial" w:eastAsia="Arial" w:hAnsi="Arial"/>
          <w:sz w:val="18"/>
          <w:szCs w:val="18"/>
          <w:color w:val="363636"/>
        </w:rPr>
        <w:t>compensation) Executive</w:t>
      </w:r>
      <w:r>
        <w:rPr>
          <w:rFonts w:ascii="Arial" w:cs="Arial" w:eastAsia="Arial" w:hAnsi="Arial"/>
          <w:sz w:val="18"/>
          <w:szCs w:val="18"/>
          <w:color w:val="262626"/>
        </w:rPr>
        <w:t xml:space="preserve"> earned in 2021. At the </w:t>
      </w:r>
      <w:r>
        <w:rPr>
          <w:rFonts w:ascii="Arial" w:cs="Arial" w:eastAsia="Arial" w:hAnsi="Arial"/>
          <w:sz w:val="18"/>
          <w:szCs w:val="18"/>
          <w:color w:val="363636"/>
        </w:rPr>
        <w:t>sole</w:t>
      </w:r>
      <w:r>
        <w:rPr>
          <w:rFonts w:ascii="Arial" w:cs="Arial" w:eastAsia="Arial" w:hAnsi="Arial"/>
          <w:sz w:val="18"/>
          <w:szCs w:val="18"/>
          <w:color w:val="262626"/>
        </w:rPr>
        <w:t xml:space="preserve"> discretion </w:t>
      </w:r>
      <w:r>
        <w:rPr>
          <w:rFonts w:ascii="Arial" w:cs="Arial" w:eastAsia="Arial" w:hAnsi="Arial"/>
          <w:sz w:val="18"/>
          <w:szCs w:val="18"/>
          <w:color w:val="363636"/>
        </w:rPr>
        <w:t>of</w:t>
      </w:r>
      <w:r>
        <w:rPr>
          <w:rFonts w:ascii="Arial" w:cs="Arial" w:eastAsia="Arial" w:hAnsi="Arial"/>
          <w:sz w:val="18"/>
          <w:szCs w:val="18"/>
          <w:color w:val="262626"/>
        </w:rPr>
        <w:t xml:space="preserve"> the Board</w:t>
      </w:r>
      <w:r>
        <w:rPr>
          <w:rFonts w:ascii="Arial" w:cs="Arial" w:eastAsia="Arial" w:hAnsi="Arial"/>
          <w:sz w:val="18"/>
          <w:szCs w:val="18"/>
          <w:color w:val="4D4D4D"/>
        </w:rPr>
        <w:t>,</w:t>
      </w:r>
      <w:r>
        <w:rPr>
          <w:rFonts w:ascii="Arial" w:cs="Arial" w:eastAsia="Arial" w:hAnsi="Arial"/>
          <w:sz w:val="18"/>
          <w:szCs w:val="18"/>
          <w:color w:val="363636"/>
        </w:rPr>
        <w:t>Executive may</w:t>
      </w:r>
      <w:r>
        <w:rPr>
          <w:rFonts w:ascii="Arial" w:cs="Arial" w:eastAsia="Arial" w:hAnsi="Arial"/>
          <w:sz w:val="18"/>
          <w:szCs w:val="18"/>
          <w:color w:val="262626"/>
        </w:rPr>
        <w:t xml:space="preserve"> be </w:t>
      </w:r>
      <w:r>
        <w:rPr>
          <w:rFonts w:ascii="Arial" w:cs="Arial" w:eastAsia="Arial" w:hAnsi="Arial"/>
          <w:sz w:val="18"/>
          <w:szCs w:val="18"/>
          <w:color w:val="363636"/>
        </w:rPr>
        <w:t>entitled</w:t>
      </w:r>
      <w:r>
        <w:rPr>
          <w:rFonts w:ascii="Arial" w:cs="Arial" w:eastAsia="Arial" w:hAnsi="Arial"/>
          <w:sz w:val="18"/>
          <w:szCs w:val="18"/>
          <w:color w:val="262626"/>
        </w:rPr>
        <w:t xml:space="preserve"> to an </w:t>
      </w:r>
      <w:r>
        <w:rPr>
          <w:rFonts w:ascii="Arial" w:cs="Arial" w:eastAsia="Arial" w:hAnsi="Arial"/>
          <w:sz w:val="18"/>
          <w:szCs w:val="18"/>
          <w:color w:val="363636"/>
        </w:rPr>
        <w:t>additional</w:t>
      </w:r>
      <w:r>
        <w:rPr>
          <w:rFonts w:ascii="Arial" w:cs="Arial" w:eastAsia="Arial" w:hAnsi="Arial"/>
          <w:sz w:val="18"/>
          <w:szCs w:val="18"/>
          <w:color w:val="262626"/>
        </w:rPr>
        <w:t xml:space="preserve"> amount </w:t>
      </w:r>
      <w:r>
        <w:rPr>
          <w:rFonts w:ascii="Arial" w:cs="Arial" w:eastAsia="Arial" w:hAnsi="Arial"/>
          <w:sz w:val="18"/>
          <w:szCs w:val="18"/>
          <w:color w:val="363636"/>
        </w:rPr>
        <w:t>of</w:t>
      </w:r>
      <w:r>
        <w:rPr>
          <w:rFonts w:ascii="Arial" w:cs="Arial" w:eastAsia="Arial" w:hAnsi="Arial"/>
          <w:sz w:val="18"/>
          <w:szCs w:val="18"/>
          <w:color w:val="262626"/>
        </w:rPr>
        <w:t xml:space="preserve"> up to fifty percent (50%) </w:t>
      </w:r>
      <w:r>
        <w:rPr>
          <w:rFonts w:ascii="Arial" w:cs="Arial" w:eastAsia="Arial" w:hAnsi="Arial"/>
          <w:sz w:val="18"/>
          <w:szCs w:val="18"/>
          <w:color w:val="363636"/>
        </w:rPr>
        <w:t>of</w:t>
      </w:r>
      <w:r>
        <w:rPr>
          <w:rFonts w:ascii="Arial" w:cs="Arial" w:eastAsia="Arial" w:hAnsi="Arial"/>
          <w:sz w:val="18"/>
          <w:szCs w:val="18"/>
          <w:color w:val="262626"/>
        </w:rPr>
        <w:t xml:space="preserve"> the </w:t>
      </w:r>
      <w:r>
        <w:rPr>
          <w:rFonts w:ascii="Arial" w:cs="Arial" w:eastAsia="Arial" w:hAnsi="Arial"/>
          <w:sz w:val="18"/>
          <w:szCs w:val="18"/>
          <w:color w:val="363636"/>
        </w:rPr>
        <w:t>Target</w:t>
      </w:r>
      <w:r>
        <w:rPr>
          <w:rFonts w:ascii="Arial" w:cs="Arial" w:eastAsia="Arial" w:hAnsi="Arial"/>
          <w:sz w:val="18"/>
          <w:szCs w:val="18"/>
          <w:color w:val="262626"/>
        </w:rPr>
        <w:t xml:space="preserve"> Bonus based upon performance. For the Annual Bonus to be </w:t>
      </w:r>
      <w:r>
        <w:rPr>
          <w:rFonts w:ascii="Arial" w:cs="Arial" w:eastAsia="Arial" w:hAnsi="Arial"/>
          <w:sz w:val="18"/>
          <w:szCs w:val="18"/>
          <w:color w:val="363636"/>
        </w:rPr>
        <w:t>deemed earned,</w:t>
      </w:r>
      <w:r>
        <w:rPr>
          <w:rFonts w:ascii="Arial" w:cs="Arial" w:eastAsia="Arial" w:hAnsi="Arial"/>
          <w:sz w:val="18"/>
          <w:szCs w:val="18"/>
          <w:color w:val="262626"/>
        </w:rPr>
        <w:t xml:space="preserve"> and in </w:t>
      </w:r>
      <w:r>
        <w:rPr>
          <w:rFonts w:ascii="Arial" w:cs="Arial" w:eastAsia="Arial" w:hAnsi="Arial"/>
          <w:sz w:val="18"/>
          <w:szCs w:val="18"/>
          <w:color w:val="363636"/>
        </w:rPr>
        <w:t>order</w:t>
      </w:r>
      <w:r>
        <w:rPr>
          <w:rFonts w:ascii="Arial" w:cs="Arial" w:eastAsia="Arial" w:hAnsi="Arial"/>
          <w:sz w:val="18"/>
          <w:szCs w:val="18"/>
          <w:color w:val="262626"/>
        </w:rPr>
        <w:t xml:space="preserve"> to be </w:t>
      </w:r>
      <w:r>
        <w:rPr>
          <w:rFonts w:ascii="Arial" w:cs="Arial" w:eastAsia="Arial" w:hAnsi="Arial"/>
          <w:sz w:val="18"/>
          <w:szCs w:val="18"/>
          <w:color w:val="363636"/>
        </w:rPr>
        <w:t>eligible</w:t>
      </w:r>
      <w:r>
        <w:rPr>
          <w:rFonts w:ascii="Arial" w:cs="Arial" w:eastAsia="Arial" w:hAnsi="Arial"/>
          <w:sz w:val="18"/>
          <w:szCs w:val="18"/>
          <w:color w:val="262626"/>
        </w:rPr>
        <w:t xml:space="preserve"> and </w:t>
      </w:r>
      <w:r>
        <w:rPr>
          <w:rFonts w:ascii="Arial" w:cs="Arial" w:eastAsia="Arial" w:hAnsi="Arial"/>
          <w:sz w:val="18"/>
          <w:szCs w:val="18"/>
          <w:color w:val="363636"/>
        </w:rPr>
        <w:t>entitled</w:t>
      </w:r>
      <w:r>
        <w:rPr>
          <w:rFonts w:ascii="Arial" w:cs="Arial" w:eastAsia="Arial" w:hAnsi="Arial"/>
          <w:sz w:val="18"/>
          <w:szCs w:val="18"/>
          <w:color w:val="262626"/>
        </w:rPr>
        <w:t xml:space="preserve"> to receive </w:t>
      </w:r>
      <w:r>
        <w:rPr>
          <w:rFonts w:ascii="Arial" w:cs="Arial" w:eastAsia="Arial" w:hAnsi="Arial"/>
          <w:sz w:val="18"/>
          <w:szCs w:val="18"/>
          <w:color w:val="363636"/>
        </w:rPr>
        <w:t>any Annual</w:t>
      </w:r>
      <w:r>
        <w:rPr>
          <w:rFonts w:ascii="Arial" w:cs="Arial" w:eastAsia="Arial" w:hAnsi="Arial"/>
          <w:sz w:val="18"/>
          <w:szCs w:val="18"/>
          <w:color w:val="262626"/>
        </w:rPr>
        <w:t xml:space="preserve"> Bonus payment</w:t>
      </w:r>
      <w:r>
        <w:rPr>
          <w:rFonts w:ascii="Arial" w:cs="Arial" w:eastAsia="Arial" w:hAnsi="Arial"/>
          <w:sz w:val="18"/>
          <w:szCs w:val="18"/>
          <w:color w:val="4D4D4D"/>
        </w:rPr>
        <w:t>,</w:t>
      </w:r>
      <w:r>
        <w:rPr>
          <w:rFonts w:ascii="Arial" w:cs="Arial" w:eastAsia="Arial" w:hAnsi="Arial"/>
          <w:sz w:val="18"/>
          <w:szCs w:val="18"/>
          <w:color w:val="262626"/>
        </w:rPr>
        <w:t xml:space="preserve"> the </w:t>
      </w:r>
      <w:r>
        <w:rPr>
          <w:rFonts w:ascii="Arial" w:cs="Arial" w:eastAsia="Arial" w:hAnsi="Arial"/>
          <w:sz w:val="18"/>
          <w:szCs w:val="18"/>
          <w:color w:val="363636"/>
        </w:rPr>
        <w:t>Executive</w:t>
      </w:r>
      <w:r>
        <w:rPr>
          <w:rFonts w:ascii="Arial" w:cs="Arial" w:eastAsia="Arial" w:hAnsi="Arial"/>
          <w:sz w:val="18"/>
          <w:szCs w:val="18"/>
          <w:color w:val="262626"/>
        </w:rPr>
        <w:t xml:space="preserve"> must be </w:t>
      </w:r>
      <w:r>
        <w:rPr>
          <w:rFonts w:ascii="Arial" w:cs="Arial" w:eastAsia="Arial" w:hAnsi="Arial"/>
          <w:sz w:val="18"/>
          <w:szCs w:val="18"/>
          <w:color w:val="363636"/>
        </w:rPr>
        <w:t>employed</w:t>
      </w:r>
      <w:r>
        <w:rPr>
          <w:rFonts w:ascii="Arial" w:cs="Arial" w:eastAsia="Arial" w:hAnsi="Arial"/>
          <w:sz w:val="18"/>
          <w:szCs w:val="18"/>
          <w:color w:val="262626"/>
        </w:rPr>
        <w:t xml:space="preserve"> by, </w:t>
      </w:r>
      <w:r>
        <w:rPr>
          <w:rFonts w:ascii="Arial" w:cs="Arial" w:eastAsia="Arial" w:hAnsi="Arial"/>
          <w:sz w:val="18"/>
          <w:szCs w:val="18"/>
          <w:color w:val="363636"/>
        </w:rPr>
        <w:t>and</w:t>
      </w:r>
      <w:r>
        <w:rPr>
          <w:rFonts w:ascii="Arial" w:cs="Arial" w:eastAsia="Arial" w:hAnsi="Arial"/>
          <w:sz w:val="18"/>
          <w:szCs w:val="18"/>
          <w:color w:val="262626"/>
        </w:rPr>
        <w:t xml:space="preserve"> not have </w:t>
      </w:r>
      <w:r>
        <w:rPr>
          <w:rFonts w:ascii="Arial" w:cs="Arial" w:eastAsia="Arial" w:hAnsi="Arial"/>
          <w:sz w:val="18"/>
          <w:szCs w:val="18"/>
          <w:color w:val="363636"/>
        </w:rPr>
        <w:t xml:space="preserve">given </w:t>
      </w:r>
      <w:r>
        <w:rPr>
          <w:rFonts w:ascii="Arial" w:cs="Arial" w:eastAsia="Arial" w:hAnsi="Arial"/>
          <w:sz w:val="18"/>
          <w:szCs w:val="18"/>
          <w:color w:val="262626"/>
        </w:rPr>
        <w:t>notice</w:t>
      </w:r>
      <w:r>
        <w:rPr>
          <w:rFonts w:ascii="Arial" w:cs="Arial" w:eastAsia="Arial" w:hAnsi="Arial"/>
          <w:sz w:val="18"/>
          <w:szCs w:val="18"/>
          <w:color w:val="363636"/>
        </w:rPr>
        <w:t xml:space="preserve"> of resignation to the Company or </w:t>
      </w:r>
      <w:r>
        <w:rPr>
          <w:rFonts w:ascii="Arial" w:cs="Arial" w:eastAsia="Arial" w:hAnsi="Arial"/>
          <w:sz w:val="18"/>
          <w:szCs w:val="18"/>
          <w:color w:val="262626"/>
        </w:rPr>
        <w:t>hav</w:t>
      </w:r>
      <w:r>
        <w:rPr>
          <w:rFonts w:ascii="Arial" w:cs="Arial" w:eastAsia="Arial" w:hAnsi="Arial"/>
          <w:sz w:val="18"/>
          <w:szCs w:val="18"/>
          <w:color w:val="4D4D4D"/>
        </w:rPr>
        <w:t>e</w:t>
      </w:r>
      <w:r>
        <w:rPr>
          <w:rFonts w:ascii="Arial" w:cs="Arial" w:eastAsia="Arial" w:hAnsi="Arial"/>
          <w:sz w:val="18"/>
          <w:szCs w:val="18"/>
          <w:color w:val="363636"/>
        </w:rPr>
        <w:t xml:space="preserve"> </w:t>
      </w:r>
      <w:r>
        <w:rPr>
          <w:rFonts w:ascii="Arial" w:cs="Arial" w:eastAsia="Arial" w:hAnsi="Arial"/>
          <w:sz w:val="18"/>
          <w:szCs w:val="18"/>
          <w:color w:val="262626"/>
        </w:rPr>
        <w:t>been</w:t>
      </w:r>
      <w:r>
        <w:rPr>
          <w:rFonts w:ascii="Arial" w:cs="Arial" w:eastAsia="Arial" w:hAnsi="Arial"/>
          <w:sz w:val="18"/>
          <w:szCs w:val="18"/>
          <w:color w:val="363636"/>
        </w:rPr>
        <w:t xml:space="preserve"> given </w:t>
      </w:r>
      <w:r>
        <w:rPr>
          <w:rFonts w:ascii="Arial" w:cs="Arial" w:eastAsia="Arial" w:hAnsi="Arial"/>
          <w:sz w:val="18"/>
          <w:szCs w:val="18"/>
          <w:color w:val="262626"/>
        </w:rPr>
        <w:t>notice</w:t>
      </w:r>
      <w:r>
        <w:rPr>
          <w:rFonts w:ascii="Arial" w:cs="Arial" w:eastAsia="Arial" w:hAnsi="Arial"/>
          <w:sz w:val="18"/>
          <w:szCs w:val="18"/>
          <w:color w:val="363636"/>
        </w:rPr>
        <w:t xml:space="preserve"> of termination </w:t>
      </w:r>
      <w:r>
        <w:rPr>
          <w:rFonts w:ascii="Arial" w:cs="Arial" w:eastAsia="Arial" w:hAnsi="Arial"/>
          <w:sz w:val="18"/>
          <w:szCs w:val="18"/>
          <w:color w:val="262626"/>
        </w:rPr>
        <w:t>by the</w:t>
      </w:r>
      <w:r>
        <w:rPr>
          <w:rFonts w:ascii="Arial" w:cs="Arial" w:eastAsia="Arial" w:hAnsi="Arial"/>
          <w:sz w:val="18"/>
          <w:szCs w:val="18"/>
          <w:color w:val="363636"/>
        </w:rPr>
        <w:t xml:space="preserve"> Company </w:t>
      </w:r>
      <w:r>
        <w:rPr>
          <w:rFonts w:ascii="Arial" w:cs="Arial" w:eastAsia="Arial" w:hAnsi="Arial"/>
          <w:sz w:val="18"/>
          <w:szCs w:val="18"/>
          <w:color w:val="262626"/>
        </w:rPr>
        <w:t>at the time the Annual</w:t>
      </w:r>
      <w:r>
        <w:rPr>
          <w:rFonts w:ascii="Arial" w:cs="Arial" w:eastAsia="Arial" w:hAnsi="Arial"/>
          <w:sz w:val="18"/>
          <w:szCs w:val="18"/>
          <w:color w:val="363636"/>
        </w:rPr>
        <w:t xml:space="preserve"> </w:t>
      </w:r>
      <w:r>
        <w:rPr>
          <w:rFonts w:ascii="Arial" w:cs="Arial" w:eastAsia="Arial" w:hAnsi="Arial"/>
          <w:sz w:val="18"/>
          <w:szCs w:val="18"/>
          <w:color w:val="262626"/>
        </w:rPr>
        <w:t xml:space="preserve">Bonus is determined </w:t>
      </w:r>
      <w:r>
        <w:rPr>
          <w:rFonts w:ascii="Arial" w:cs="Arial" w:eastAsia="Arial" w:hAnsi="Arial"/>
          <w:sz w:val="18"/>
          <w:szCs w:val="18"/>
          <w:color w:val="363636"/>
        </w:rPr>
        <w:t>and</w:t>
      </w:r>
      <w:r>
        <w:rPr>
          <w:rFonts w:ascii="Arial" w:cs="Arial" w:eastAsia="Arial" w:hAnsi="Arial"/>
          <w:sz w:val="18"/>
          <w:szCs w:val="18"/>
          <w:color w:val="262626"/>
        </w:rPr>
        <w:t xml:space="preserve"> paid to </w:t>
      </w:r>
      <w:r>
        <w:rPr>
          <w:rFonts w:ascii="Arial" w:cs="Arial" w:eastAsia="Arial" w:hAnsi="Arial"/>
          <w:sz w:val="18"/>
          <w:szCs w:val="18"/>
          <w:color w:val="363636"/>
        </w:rPr>
        <w:t>Executive.</w:t>
      </w:r>
    </w:p>
    <w:p>
      <w:pPr>
        <w:spacing w:after="0" w:line="176" w:lineRule="exact"/>
        <w:rPr>
          <w:sz w:val="20"/>
          <w:szCs w:val="20"/>
          <w:color w:val="auto"/>
        </w:rPr>
      </w:pPr>
    </w:p>
    <w:p>
      <w:pPr>
        <w:ind w:left="124" w:right="320" w:firstLine="629"/>
        <w:spacing w:after="0" w:line="275" w:lineRule="auto"/>
        <w:rPr>
          <w:sz w:val="20"/>
          <w:szCs w:val="20"/>
          <w:color w:val="auto"/>
        </w:rPr>
      </w:pPr>
      <w:r>
        <w:rPr>
          <w:rFonts w:ascii="Arial" w:cs="Arial" w:eastAsia="Arial" w:hAnsi="Arial"/>
          <w:sz w:val="18"/>
          <w:szCs w:val="18"/>
          <w:color w:val="363636"/>
        </w:rPr>
        <w:t>(b</w:t>
      </w:r>
      <w:r>
        <w:rPr>
          <w:rFonts w:ascii="Arial" w:cs="Arial" w:eastAsia="Arial" w:hAnsi="Arial"/>
          <w:sz w:val="18"/>
          <w:szCs w:val="18"/>
          <w:color w:val="262626"/>
        </w:rPr>
        <w:t>)</w:t>
      </w:r>
      <w:r>
        <w:rPr>
          <w:rFonts w:ascii="Arial" w:cs="Arial" w:eastAsia="Arial" w:hAnsi="Arial"/>
          <w:sz w:val="18"/>
          <w:szCs w:val="18"/>
          <w:color w:val="363636"/>
        </w:rPr>
        <w:t xml:space="preserve"> </w:t>
      </w:r>
      <w:r>
        <w:rPr>
          <w:rFonts w:ascii="Arial" w:cs="Arial" w:eastAsia="Arial" w:hAnsi="Arial"/>
          <w:sz w:val="18"/>
          <w:szCs w:val="18"/>
          <w:u w:val="single" w:color="auto"/>
          <w:color w:val="262626"/>
        </w:rPr>
        <w:t>Relocation</w:t>
      </w:r>
      <w:r>
        <w:rPr>
          <w:rFonts w:ascii="Arial" w:cs="Arial" w:eastAsia="Arial" w:hAnsi="Arial"/>
          <w:sz w:val="18"/>
          <w:szCs w:val="18"/>
          <w:color w:val="363636"/>
        </w:rPr>
        <w:t xml:space="preserve"> </w:t>
      </w:r>
      <w:r>
        <w:rPr>
          <w:rFonts w:ascii="Arial" w:cs="Arial" w:eastAsia="Arial" w:hAnsi="Arial"/>
          <w:sz w:val="18"/>
          <w:szCs w:val="18"/>
          <w:u w:val="single" w:color="auto"/>
          <w:color w:val="363636"/>
        </w:rPr>
        <w:t>Expenses.</w:t>
      </w:r>
      <w:r>
        <w:rPr>
          <w:rFonts w:ascii="Arial" w:cs="Arial" w:eastAsia="Arial" w:hAnsi="Arial"/>
          <w:sz w:val="18"/>
          <w:szCs w:val="18"/>
          <w:color w:val="363636"/>
        </w:rPr>
        <w:t xml:space="preserve"> Executive shall </w:t>
      </w:r>
      <w:r>
        <w:rPr>
          <w:rFonts w:ascii="Arial" w:cs="Arial" w:eastAsia="Arial" w:hAnsi="Arial"/>
          <w:sz w:val="18"/>
          <w:szCs w:val="18"/>
          <w:color w:val="262626"/>
        </w:rPr>
        <w:t>be given</w:t>
      </w:r>
      <w:r>
        <w:rPr>
          <w:rFonts w:ascii="Arial" w:cs="Arial" w:eastAsia="Arial" w:hAnsi="Arial"/>
          <w:sz w:val="18"/>
          <w:szCs w:val="18"/>
          <w:color w:val="363636"/>
        </w:rPr>
        <w:t xml:space="preserve"> a </w:t>
      </w:r>
      <w:r>
        <w:rPr>
          <w:rFonts w:ascii="Arial" w:cs="Arial" w:eastAsia="Arial" w:hAnsi="Arial"/>
          <w:sz w:val="18"/>
          <w:szCs w:val="18"/>
          <w:color w:val="262626"/>
        </w:rPr>
        <w:t>lump</w:t>
      </w:r>
      <w:r>
        <w:rPr>
          <w:rFonts w:ascii="Arial" w:cs="Arial" w:eastAsia="Arial" w:hAnsi="Arial"/>
          <w:sz w:val="18"/>
          <w:szCs w:val="18"/>
          <w:color w:val="363636"/>
        </w:rPr>
        <w:t xml:space="preserve"> sum of </w:t>
      </w:r>
      <w:r>
        <w:rPr>
          <w:rFonts w:ascii="Arial" w:cs="Arial" w:eastAsia="Arial" w:hAnsi="Arial"/>
          <w:sz w:val="18"/>
          <w:szCs w:val="18"/>
          <w:color w:val="262626"/>
        </w:rPr>
        <w:t>Thirty Thousand Dollars</w:t>
      </w:r>
      <w:r>
        <w:rPr>
          <w:rFonts w:ascii="Arial" w:cs="Arial" w:eastAsia="Arial" w:hAnsi="Arial"/>
          <w:sz w:val="18"/>
          <w:szCs w:val="18"/>
          <w:color w:val="363636"/>
        </w:rPr>
        <w:t xml:space="preserve"> ($30,000) grossed </w:t>
      </w:r>
      <w:r>
        <w:rPr>
          <w:rFonts w:ascii="Arial" w:cs="Arial" w:eastAsia="Arial" w:hAnsi="Arial"/>
          <w:sz w:val="18"/>
          <w:szCs w:val="18"/>
          <w:color w:val="262626"/>
        </w:rPr>
        <w:t xml:space="preserve">up </w:t>
      </w:r>
      <w:r>
        <w:rPr>
          <w:rFonts w:ascii="Arial" w:cs="Arial" w:eastAsia="Arial" w:hAnsi="Arial"/>
          <w:sz w:val="18"/>
          <w:szCs w:val="18"/>
          <w:color w:val="363636"/>
        </w:rPr>
        <w:t>as subject to applicable federal, state,</w:t>
      </w:r>
      <w:r>
        <w:rPr>
          <w:rFonts w:ascii="Arial" w:cs="Arial" w:eastAsia="Arial" w:hAnsi="Arial"/>
          <w:sz w:val="18"/>
          <w:szCs w:val="18"/>
          <w:color w:val="262626"/>
        </w:rPr>
        <w:t xml:space="preserve"> local </w:t>
      </w:r>
      <w:r>
        <w:rPr>
          <w:rFonts w:ascii="Arial" w:cs="Arial" w:eastAsia="Arial" w:hAnsi="Arial"/>
          <w:sz w:val="18"/>
          <w:szCs w:val="18"/>
          <w:color w:val="363636"/>
        </w:rPr>
        <w:t>taxes,</w:t>
      </w:r>
      <w:r>
        <w:rPr>
          <w:rFonts w:ascii="Arial" w:cs="Arial" w:eastAsia="Arial" w:hAnsi="Arial"/>
          <w:sz w:val="18"/>
          <w:szCs w:val="18"/>
          <w:color w:val="262626"/>
        </w:rPr>
        <w:t xml:space="preserve"> and </w:t>
      </w:r>
      <w:r>
        <w:rPr>
          <w:rFonts w:ascii="Arial" w:cs="Arial" w:eastAsia="Arial" w:hAnsi="Arial"/>
          <w:sz w:val="18"/>
          <w:szCs w:val="18"/>
          <w:color w:val="363636"/>
        </w:rPr>
        <w:t>withholdings</w:t>
      </w:r>
      <w:r>
        <w:rPr>
          <w:rFonts w:ascii="Arial" w:cs="Arial" w:eastAsia="Arial" w:hAnsi="Arial"/>
          <w:sz w:val="18"/>
          <w:szCs w:val="18"/>
          <w:color w:val="000000"/>
        </w:rPr>
        <w:t>.</w:t>
      </w:r>
      <w:r>
        <w:rPr>
          <w:rFonts w:ascii="Arial" w:cs="Arial" w:eastAsia="Arial" w:hAnsi="Arial"/>
          <w:sz w:val="18"/>
          <w:szCs w:val="18"/>
          <w:color w:val="262626"/>
        </w:rPr>
        <w:t xml:space="preserve"> </w:t>
      </w:r>
      <w:r>
        <w:rPr>
          <w:rFonts w:ascii="Arial" w:cs="Arial" w:eastAsia="Arial" w:hAnsi="Arial"/>
          <w:sz w:val="18"/>
          <w:szCs w:val="18"/>
          <w:color w:val="363636"/>
        </w:rPr>
        <w:t>Executive will</w:t>
      </w:r>
      <w:r>
        <w:rPr>
          <w:rFonts w:ascii="Arial" w:cs="Arial" w:eastAsia="Arial" w:hAnsi="Arial"/>
          <w:sz w:val="18"/>
          <w:szCs w:val="18"/>
          <w:color w:val="262626"/>
        </w:rPr>
        <w:t xml:space="preserve"> be required </w:t>
      </w:r>
      <w:r>
        <w:rPr>
          <w:rFonts w:ascii="Arial" w:cs="Arial" w:eastAsia="Arial" w:hAnsi="Arial"/>
          <w:sz w:val="18"/>
          <w:szCs w:val="18"/>
          <w:color w:val="363636"/>
        </w:rPr>
        <w:t>to</w:t>
      </w:r>
      <w:r>
        <w:rPr>
          <w:rFonts w:ascii="Arial" w:cs="Arial" w:eastAsia="Arial" w:hAnsi="Arial"/>
          <w:sz w:val="18"/>
          <w:szCs w:val="18"/>
          <w:color w:val="262626"/>
        </w:rPr>
        <w:t xml:space="preserve"> move to the </w:t>
      </w:r>
      <w:r>
        <w:rPr>
          <w:rFonts w:ascii="Arial" w:cs="Arial" w:eastAsia="Arial" w:hAnsi="Arial"/>
          <w:sz w:val="18"/>
          <w:szCs w:val="18"/>
          <w:color w:val="363636"/>
        </w:rPr>
        <w:t>Valencia</w:t>
      </w:r>
    </w:p>
    <w:p>
      <w:pPr>
        <w:spacing w:after="0" w:line="1" w:lineRule="exact"/>
        <w:rPr>
          <w:sz w:val="20"/>
          <w:szCs w:val="20"/>
          <w:color w:val="auto"/>
        </w:rPr>
      </w:pPr>
    </w:p>
    <w:p>
      <w:pPr>
        <w:ind w:left="104" w:right="860" w:firstLine="6"/>
        <w:spacing w:after="0" w:line="218" w:lineRule="auto"/>
        <w:rPr>
          <w:sz w:val="20"/>
          <w:szCs w:val="20"/>
          <w:color w:val="auto"/>
        </w:rPr>
      </w:pPr>
      <w:r>
        <w:rPr>
          <w:rFonts w:ascii="Arial" w:cs="Arial" w:eastAsia="Arial" w:hAnsi="Arial"/>
          <w:sz w:val="20"/>
          <w:szCs w:val="20"/>
          <w:color w:val="363636"/>
        </w:rPr>
        <w:t xml:space="preserve">area </w:t>
      </w:r>
      <w:r>
        <w:rPr>
          <w:rFonts w:ascii="Arial" w:cs="Arial" w:eastAsia="Arial" w:hAnsi="Arial"/>
          <w:sz w:val="20"/>
          <w:szCs w:val="20"/>
          <w:color w:val="262626"/>
        </w:rPr>
        <w:t>upon</w:t>
      </w:r>
      <w:r>
        <w:rPr>
          <w:rFonts w:ascii="Arial" w:cs="Arial" w:eastAsia="Arial" w:hAnsi="Arial"/>
          <w:sz w:val="20"/>
          <w:szCs w:val="20"/>
          <w:color w:val="363636"/>
        </w:rPr>
        <w:t xml:space="preserve"> the opening </w:t>
      </w:r>
      <w:r>
        <w:rPr>
          <w:rFonts w:ascii="Arial" w:cs="Arial" w:eastAsia="Arial" w:hAnsi="Arial"/>
          <w:sz w:val="20"/>
          <w:szCs w:val="20"/>
          <w:color w:val="262626"/>
        </w:rPr>
        <w:t>up</w:t>
      </w:r>
      <w:r>
        <w:rPr>
          <w:rFonts w:ascii="Arial" w:cs="Arial" w:eastAsia="Arial" w:hAnsi="Arial"/>
          <w:sz w:val="20"/>
          <w:szCs w:val="20"/>
          <w:color w:val="363636"/>
        </w:rPr>
        <w:t xml:space="preserve"> of</w:t>
      </w:r>
      <w:r>
        <w:rPr>
          <w:rFonts w:ascii="Arial" w:cs="Arial" w:eastAsia="Arial" w:hAnsi="Arial"/>
          <w:sz w:val="20"/>
          <w:szCs w:val="20"/>
          <w:color w:val="262626"/>
        </w:rPr>
        <w:t>businesses by the</w:t>
      </w:r>
      <w:r>
        <w:rPr>
          <w:rFonts w:ascii="Arial" w:cs="Arial" w:eastAsia="Arial" w:hAnsi="Arial"/>
          <w:sz w:val="20"/>
          <w:szCs w:val="20"/>
          <w:color w:val="363636"/>
        </w:rPr>
        <w:t xml:space="preserve"> Governor of California or when employees are required </w:t>
      </w:r>
      <w:r>
        <w:rPr>
          <w:rFonts w:ascii="Arial" w:cs="Arial" w:eastAsia="Arial" w:hAnsi="Arial"/>
          <w:sz w:val="20"/>
          <w:szCs w:val="20"/>
          <w:color w:val="262626"/>
        </w:rPr>
        <w:t>to return</w:t>
      </w:r>
      <w:r>
        <w:rPr>
          <w:rFonts w:ascii="Arial" w:cs="Arial" w:eastAsia="Arial" w:hAnsi="Arial"/>
          <w:sz w:val="20"/>
          <w:szCs w:val="20"/>
          <w:color w:val="363636"/>
        </w:rPr>
        <w:t xml:space="preserve"> to the </w:t>
      </w:r>
      <w:r>
        <w:rPr>
          <w:rFonts w:ascii="Arial" w:cs="Arial" w:eastAsia="Arial" w:hAnsi="Arial"/>
          <w:sz w:val="18"/>
          <w:szCs w:val="18"/>
          <w:color w:val="363636"/>
        </w:rPr>
        <w:t xml:space="preserve">workplace, whichever </w:t>
      </w:r>
      <w:r>
        <w:rPr>
          <w:rFonts w:ascii="Arial" w:cs="Arial" w:eastAsia="Arial" w:hAnsi="Arial"/>
          <w:sz w:val="18"/>
          <w:szCs w:val="18"/>
          <w:color w:val="262626"/>
        </w:rPr>
        <w:t>is</w:t>
      </w:r>
      <w:r>
        <w:rPr>
          <w:rFonts w:ascii="Arial" w:cs="Arial" w:eastAsia="Arial" w:hAnsi="Arial"/>
          <w:sz w:val="18"/>
          <w:szCs w:val="18"/>
          <w:color w:val="363636"/>
        </w:rPr>
        <w:t xml:space="preserve"> earlier. </w:t>
      </w:r>
      <w:r>
        <w:rPr>
          <w:rFonts w:ascii="Arial" w:cs="Arial" w:eastAsia="Arial" w:hAnsi="Arial"/>
          <w:sz w:val="18"/>
          <w:szCs w:val="18"/>
          <w:color w:val="262626"/>
        </w:rPr>
        <w:t>Executive</w:t>
      </w:r>
      <w:r>
        <w:rPr>
          <w:rFonts w:ascii="Arial" w:cs="Arial" w:eastAsia="Arial" w:hAnsi="Arial"/>
          <w:sz w:val="18"/>
          <w:szCs w:val="18"/>
          <w:color w:val="363636"/>
        </w:rPr>
        <w:t xml:space="preserve"> will </w:t>
      </w:r>
      <w:r>
        <w:rPr>
          <w:rFonts w:ascii="Arial" w:cs="Arial" w:eastAsia="Arial" w:hAnsi="Arial"/>
          <w:sz w:val="18"/>
          <w:szCs w:val="18"/>
          <w:color w:val="262626"/>
        </w:rPr>
        <w:t>be</w:t>
      </w:r>
      <w:r>
        <w:rPr>
          <w:rFonts w:ascii="Arial" w:cs="Arial" w:eastAsia="Arial" w:hAnsi="Arial"/>
          <w:sz w:val="18"/>
          <w:szCs w:val="18"/>
          <w:color w:val="363636"/>
        </w:rPr>
        <w:t xml:space="preserve"> required to reimburse </w:t>
      </w:r>
      <w:r>
        <w:rPr>
          <w:rFonts w:ascii="Arial" w:cs="Arial" w:eastAsia="Arial" w:hAnsi="Arial"/>
          <w:sz w:val="18"/>
          <w:szCs w:val="18"/>
          <w:color w:val="262626"/>
        </w:rPr>
        <w:t>the</w:t>
      </w:r>
      <w:r>
        <w:rPr>
          <w:rFonts w:ascii="Arial" w:cs="Arial" w:eastAsia="Arial" w:hAnsi="Arial"/>
          <w:sz w:val="18"/>
          <w:szCs w:val="18"/>
          <w:color w:val="363636"/>
        </w:rPr>
        <w:t xml:space="preserve"> Company </w:t>
      </w:r>
      <w:r>
        <w:rPr>
          <w:rFonts w:ascii="Arial" w:cs="Arial" w:eastAsia="Arial" w:hAnsi="Arial"/>
          <w:sz w:val="17"/>
          <w:szCs w:val="17"/>
          <w:color w:val="363636"/>
        </w:rPr>
        <w:t>in</w:t>
      </w:r>
      <w:r>
        <w:rPr>
          <w:rFonts w:ascii="Arial" w:cs="Arial" w:eastAsia="Arial" w:hAnsi="Arial"/>
          <w:sz w:val="18"/>
          <w:szCs w:val="18"/>
          <w:color w:val="363636"/>
        </w:rPr>
        <w:t xml:space="preserve"> full</w:t>
      </w:r>
    </w:p>
    <w:p>
      <w:pPr>
        <w:spacing w:after="0" w:line="1" w:lineRule="exact"/>
        <w:rPr>
          <w:sz w:val="20"/>
          <w:szCs w:val="20"/>
          <w:color w:val="auto"/>
        </w:rPr>
      </w:pPr>
    </w:p>
    <w:p>
      <w:pPr>
        <w:ind w:left="104" w:right="140" w:firstLine="5"/>
        <w:spacing w:after="0" w:line="244" w:lineRule="auto"/>
        <w:rPr>
          <w:sz w:val="20"/>
          <w:szCs w:val="20"/>
          <w:color w:val="auto"/>
        </w:rPr>
      </w:pPr>
      <w:r>
        <w:rPr>
          <w:rFonts w:ascii="Arial" w:cs="Arial" w:eastAsia="Arial" w:hAnsi="Arial"/>
          <w:sz w:val="20"/>
          <w:szCs w:val="20"/>
          <w:color w:val="363636"/>
        </w:rPr>
        <w:t xml:space="preserve">should </w:t>
      </w:r>
      <w:r>
        <w:rPr>
          <w:rFonts w:ascii="Arial" w:cs="Arial" w:eastAsia="Arial" w:hAnsi="Arial"/>
          <w:sz w:val="20"/>
          <w:szCs w:val="20"/>
          <w:color w:val="262626"/>
        </w:rPr>
        <w:t>he</w:t>
      </w:r>
      <w:r>
        <w:rPr>
          <w:rFonts w:ascii="Arial" w:cs="Arial" w:eastAsia="Arial" w:hAnsi="Arial"/>
          <w:sz w:val="20"/>
          <w:szCs w:val="20"/>
          <w:color w:val="363636"/>
        </w:rPr>
        <w:t xml:space="preserve"> fail </w:t>
      </w:r>
      <w:r>
        <w:rPr>
          <w:rFonts w:ascii="Arial" w:cs="Arial" w:eastAsia="Arial" w:hAnsi="Arial"/>
          <w:sz w:val="20"/>
          <w:szCs w:val="20"/>
          <w:color w:val="262626"/>
        </w:rPr>
        <w:t>to relocate</w:t>
      </w:r>
      <w:r>
        <w:rPr>
          <w:rFonts w:ascii="Arial" w:cs="Arial" w:eastAsia="Arial" w:hAnsi="Arial"/>
          <w:sz w:val="20"/>
          <w:szCs w:val="20"/>
          <w:color w:val="363636"/>
        </w:rPr>
        <w:t xml:space="preserve"> to the </w:t>
      </w:r>
      <w:r>
        <w:rPr>
          <w:rFonts w:ascii="Arial" w:cs="Arial" w:eastAsia="Arial" w:hAnsi="Arial"/>
          <w:sz w:val="20"/>
          <w:szCs w:val="20"/>
          <w:color w:val="262626"/>
        </w:rPr>
        <w:t>Valencia</w:t>
      </w:r>
      <w:r>
        <w:rPr>
          <w:rFonts w:ascii="Arial" w:cs="Arial" w:eastAsia="Arial" w:hAnsi="Arial"/>
          <w:sz w:val="20"/>
          <w:szCs w:val="20"/>
          <w:color w:val="363636"/>
        </w:rPr>
        <w:t xml:space="preserve"> area </w:t>
      </w:r>
      <w:r>
        <w:rPr>
          <w:rFonts w:ascii="Arial" w:cs="Arial" w:eastAsia="Arial" w:hAnsi="Arial"/>
          <w:sz w:val="20"/>
          <w:szCs w:val="20"/>
          <w:color w:val="262626"/>
        </w:rPr>
        <w:t>within</w:t>
      </w:r>
      <w:r>
        <w:rPr>
          <w:rFonts w:ascii="Arial" w:cs="Arial" w:eastAsia="Arial" w:hAnsi="Arial"/>
          <w:sz w:val="20"/>
          <w:szCs w:val="20"/>
          <w:color w:val="363636"/>
        </w:rPr>
        <w:t xml:space="preserve"> three </w:t>
      </w:r>
      <w:r>
        <w:rPr>
          <w:rFonts w:ascii="Arial" w:cs="Arial" w:eastAsia="Arial" w:hAnsi="Arial"/>
          <w:sz w:val="20"/>
          <w:szCs w:val="20"/>
          <w:color w:val="262626"/>
        </w:rPr>
        <w:t>(3) months</w:t>
      </w:r>
      <w:r>
        <w:rPr>
          <w:rFonts w:ascii="Arial" w:cs="Arial" w:eastAsia="Arial" w:hAnsi="Arial"/>
          <w:sz w:val="20"/>
          <w:szCs w:val="20"/>
          <w:color w:val="363636"/>
        </w:rPr>
        <w:t xml:space="preserve"> of </w:t>
      </w:r>
      <w:r>
        <w:rPr>
          <w:rFonts w:ascii="Arial" w:cs="Arial" w:eastAsia="Arial" w:hAnsi="Arial"/>
          <w:sz w:val="20"/>
          <w:szCs w:val="20"/>
          <w:color w:val="262626"/>
        </w:rPr>
        <w:t>the</w:t>
      </w:r>
      <w:r>
        <w:rPr>
          <w:rFonts w:ascii="Arial" w:cs="Arial" w:eastAsia="Arial" w:hAnsi="Arial"/>
          <w:sz w:val="20"/>
          <w:szCs w:val="20"/>
          <w:color w:val="363636"/>
        </w:rPr>
        <w:t xml:space="preserve"> Company</w:t>
      </w:r>
      <w:r>
        <w:rPr>
          <w:rFonts w:ascii="Arial" w:cs="Arial" w:eastAsia="Arial" w:hAnsi="Arial"/>
          <w:sz w:val="20"/>
          <w:szCs w:val="20"/>
          <w:color w:val="262626"/>
        </w:rPr>
        <w:t>returning to the</w:t>
      </w:r>
      <w:r>
        <w:rPr>
          <w:rFonts w:ascii="Arial" w:cs="Arial" w:eastAsia="Arial" w:hAnsi="Arial"/>
          <w:sz w:val="20"/>
          <w:szCs w:val="20"/>
          <w:color w:val="363636"/>
        </w:rPr>
        <w:t xml:space="preserve"> workplace </w:t>
      </w:r>
      <w:r>
        <w:rPr>
          <w:rFonts w:ascii="Arial" w:cs="Arial" w:eastAsia="Arial" w:hAnsi="Arial"/>
          <w:sz w:val="20"/>
          <w:szCs w:val="20"/>
          <w:color w:val="262626"/>
        </w:rPr>
        <w:t>following</w:t>
      </w:r>
      <w:r>
        <w:rPr>
          <w:rFonts w:ascii="Arial" w:cs="Arial" w:eastAsia="Arial" w:hAnsi="Arial"/>
          <w:sz w:val="20"/>
          <w:szCs w:val="20"/>
          <w:color w:val="363636"/>
        </w:rPr>
        <w:t xml:space="preserve"> the </w:t>
      </w:r>
      <w:r>
        <w:rPr>
          <w:rFonts w:ascii="Arial" w:cs="Arial" w:eastAsia="Arial" w:hAnsi="Arial"/>
          <w:sz w:val="20"/>
          <w:szCs w:val="20"/>
          <w:color w:val="262626"/>
        </w:rPr>
        <w:t>current pandemic.</w:t>
      </w:r>
    </w:p>
    <w:p>
      <w:pPr>
        <w:spacing w:after="0" w:line="164" w:lineRule="exact"/>
        <w:rPr>
          <w:sz w:val="20"/>
          <w:szCs w:val="20"/>
          <w:color w:val="auto"/>
        </w:rPr>
      </w:pPr>
    </w:p>
    <w:p>
      <w:pPr>
        <w:ind w:left="204" w:right="260" w:firstLine="548"/>
        <w:spacing w:after="0" w:line="260" w:lineRule="auto"/>
        <w:rPr>
          <w:sz w:val="20"/>
          <w:szCs w:val="20"/>
          <w:color w:val="auto"/>
        </w:rPr>
      </w:pPr>
      <w:r>
        <w:rPr>
          <w:rFonts w:ascii="Arial" w:cs="Arial" w:eastAsia="Arial" w:hAnsi="Arial"/>
          <w:sz w:val="20"/>
          <w:szCs w:val="20"/>
          <w:color w:val="262626"/>
        </w:rPr>
        <w:t xml:space="preserve">2.3 </w:t>
      </w:r>
      <w:r>
        <w:rPr>
          <w:rFonts w:ascii="Arial" w:cs="Arial" w:eastAsia="Arial" w:hAnsi="Arial"/>
          <w:sz w:val="20"/>
          <w:szCs w:val="20"/>
          <w:u w:val="single" w:color="auto"/>
          <w:color w:val="363636"/>
        </w:rPr>
        <w:t>Equity.</w:t>
      </w:r>
      <w:r>
        <w:rPr>
          <w:rFonts w:ascii="Arial" w:cs="Arial" w:eastAsia="Arial" w:hAnsi="Arial"/>
          <w:sz w:val="20"/>
          <w:szCs w:val="20"/>
          <w:color w:val="262626"/>
        </w:rPr>
        <w:t xml:space="preserve"> </w:t>
      </w:r>
      <w:r>
        <w:rPr>
          <w:rFonts w:ascii="Arial" w:cs="Arial" w:eastAsia="Arial" w:hAnsi="Arial"/>
          <w:sz w:val="20"/>
          <w:szCs w:val="20"/>
          <w:color w:val="363636"/>
        </w:rPr>
        <w:t>Subject</w:t>
      </w:r>
      <w:r>
        <w:rPr>
          <w:rFonts w:ascii="Arial" w:cs="Arial" w:eastAsia="Arial" w:hAnsi="Arial"/>
          <w:sz w:val="20"/>
          <w:szCs w:val="20"/>
          <w:color w:val="262626"/>
        </w:rPr>
        <w:t xml:space="preserve"> to </w:t>
      </w:r>
      <w:r>
        <w:rPr>
          <w:rFonts w:ascii="Arial" w:cs="Arial" w:eastAsia="Arial" w:hAnsi="Arial"/>
          <w:sz w:val="20"/>
          <w:szCs w:val="20"/>
          <w:color w:val="363636"/>
        </w:rPr>
        <w:t>approval of</w:t>
      </w:r>
      <w:r>
        <w:rPr>
          <w:rFonts w:ascii="Arial" w:cs="Arial" w:eastAsia="Arial" w:hAnsi="Arial"/>
          <w:sz w:val="20"/>
          <w:szCs w:val="20"/>
          <w:color w:val="262626"/>
        </w:rPr>
        <w:t xml:space="preserve"> the </w:t>
      </w:r>
      <w:r>
        <w:rPr>
          <w:rFonts w:ascii="Arial" w:cs="Arial" w:eastAsia="Arial" w:hAnsi="Arial"/>
          <w:sz w:val="20"/>
          <w:szCs w:val="20"/>
          <w:color w:val="363636"/>
        </w:rPr>
        <w:t>Company's Board, Executive shall</w:t>
      </w:r>
      <w:r>
        <w:rPr>
          <w:rFonts w:ascii="Arial" w:cs="Arial" w:eastAsia="Arial" w:hAnsi="Arial"/>
          <w:sz w:val="20"/>
          <w:szCs w:val="20"/>
          <w:color w:val="262626"/>
        </w:rPr>
        <w:t xml:space="preserve"> be </w:t>
      </w:r>
      <w:r>
        <w:rPr>
          <w:rFonts w:ascii="Arial" w:cs="Arial" w:eastAsia="Arial" w:hAnsi="Arial"/>
          <w:sz w:val="20"/>
          <w:szCs w:val="20"/>
          <w:color w:val="363636"/>
        </w:rPr>
        <w:t>eligiblefor</w:t>
      </w:r>
      <w:r>
        <w:rPr>
          <w:rFonts w:ascii="Arial" w:cs="Arial" w:eastAsia="Arial" w:hAnsi="Arial"/>
          <w:sz w:val="20"/>
          <w:szCs w:val="20"/>
          <w:color w:val="262626"/>
        </w:rPr>
        <w:t xml:space="preserve"> 150,000 </w:t>
      </w:r>
      <w:r>
        <w:rPr>
          <w:rFonts w:ascii="Arial" w:cs="Arial" w:eastAsia="Arial" w:hAnsi="Arial"/>
          <w:sz w:val="20"/>
          <w:szCs w:val="20"/>
          <w:color w:val="363636"/>
        </w:rPr>
        <w:t>options which</w:t>
      </w:r>
      <w:r>
        <w:rPr>
          <w:rFonts w:ascii="Arial" w:cs="Arial" w:eastAsia="Arial" w:hAnsi="Arial"/>
          <w:sz w:val="20"/>
          <w:szCs w:val="20"/>
          <w:color w:val="262626"/>
        </w:rPr>
        <w:t xml:space="preserve"> </w:t>
      </w:r>
      <w:r>
        <w:rPr>
          <w:rFonts w:ascii="Arial" w:cs="Arial" w:eastAsia="Arial" w:hAnsi="Arial"/>
          <w:sz w:val="20"/>
          <w:szCs w:val="20"/>
          <w:color w:val="363636"/>
        </w:rPr>
        <w:t xml:space="preserve">will </w:t>
      </w:r>
      <w:r>
        <w:rPr>
          <w:rFonts w:ascii="Arial" w:cs="Arial" w:eastAsia="Arial" w:hAnsi="Arial"/>
          <w:sz w:val="20"/>
          <w:szCs w:val="20"/>
          <w:color w:val="4D4D4D"/>
        </w:rPr>
        <w:t>ves</w:t>
      </w:r>
      <w:r>
        <w:rPr>
          <w:rFonts w:ascii="Arial" w:cs="Arial" w:eastAsia="Arial" w:hAnsi="Arial"/>
          <w:sz w:val="20"/>
          <w:szCs w:val="20"/>
          <w:color w:val="262626"/>
        </w:rPr>
        <w:t>t</w:t>
      </w:r>
      <w:r>
        <w:rPr>
          <w:rFonts w:ascii="Arial" w:cs="Arial" w:eastAsia="Arial" w:hAnsi="Arial"/>
          <w:sz w:val="20"/>
          <w:szCs w:val="20"/>
          <w:color w:val="363636"/>
        </w:rPr>
        <w:t xml:space="p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470535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04"/>
          </w:cols>
          <w:pgMar w:left="436" w:top="676" w:right="1159" w:bottom="1440" w:gutter="0" w:footer="0" w:header="0"/>
        </w:sectPr>
      </w:pPr>
    </w:p>
    <w:bookmarkStart w:id="155" w:name="page156"/>
    <w:bookmarkEnd w:id="155"/>
    <w:p>
      <w:pPr>
        <w:ind w:left="1800" w:right="560" w:hanging="796"/>
        <w:spacing w:after="0" w:line="264" w:lineRule="auto"/>
        <w:tabs>
          <w:tab w:leader="none" w:pos="1800" w:val="left"/>
        </w:tabs>
        <w:numPr>
          <w:ilvl w:val="1"/>
          <w:numId w:val="169"/>
        </w:numPr>
        <w:rPr>
          <w:rFonts w:ascii="Arial" w:cs="Arial" w:eastAsia="Arial" w:hAnsi="Arial"/>
          <w:sz w:val="21"/>
          <w:szCs w:val="21"/>
          <w:color w:val="232323"/>
        </w:rPr>
      </w:pPr>
      <w:r>
        <w:rPr>
          <w:rFonts w:ascii="Arial" w:cs="Arial" w:eastAsia="Arial" w:hAnsi="Arial"/>
          <w:sz w:val="21"/>
          <w:szCs w:val="21"/>
          <w:color w:val="313131"/>
        </w:rPr>
        <w:t xml:space="preserve">112,500 options will vest based upon Executive achieving certain established </w:t>
      </w:r>
      <w:r>
        <w:rPr>
          <w:rFonts w:ascii="Arial" w:cs="Arial" w:eastAsia="Arial" w:hAnsi="Arial"/>
          <w:sz w:val="21"/>
          <w:szCs w:val="21"/>
          <w:color w:val="232323"/>
        </w:rPr>
        <w:t>metrics</w:t>
      </w:r>
      <w:r>
        <w:rPr>
          <w:rFonts w:ascii="Arial" w:cs="Arial" w:eastAsia="Arial" w:hAnsi="Arial"/>
          <w:sz w:val="21"/>
          <w:szCs w:val="21"/>
          <w:color w:val="313131"/>
        </w:rPr>
        <w:t xml:space="preserve"> as agreed </w:t>
      </w:r>
      <w:r>
        <w:rPr>
          <w:rFonts w:ascii="Arial" w:cs="Arial" w:eastAsia="Arial" w:hAnsi="Arial"/>
          <w:sz w:val="21"/>
          <w:szCs w:val="21"/>
          <w:color w:val="232323"/>
        </w:rPr>
        <w:t xml:space="preserve">upon between </w:t>
      </w:r>
      <w:r>
        <w:rPr>
          <w:rFonts w:ascii="Arial" w:cs="Arial" w:eastAsia="Arial" w:hAnsi="Arial"/>
          <w:sz w:val="21"/>
          <w:szCs w:val="21"/>
          <w:color w:val="313131"/>
        </w:rPr>
        <w:t>Executive and</w:t>
      </w:r>
      <w:r>
        <w:rPr>
          <w:rFonts w:ascii="Arial" w:cs="Arial" w:eastAsia="Arial" w:hAnsi="Arial"/>
          <w:sz w:val="21"/>
          <w:szCs w:val="21"/>
          <w:color w:val="232323"/>
        </w:rPr>
        <w:t xml:space="preserve"> the </w:t>
      </w:r>
      <w:r>
        <w:rPr>
          <w:rFonts w:ascii="Arial" w:cs="Arial" w:eastAsia="Arial" w:hAnsi="Arial"/>
          <w:sz w:val="21"/>
          <w:szCs w:val="21"/>
          <w:color w:val="313131"/>
        </w:rPr>
        <w:t>CEO;</w:t>
      </w:r>
    </w:p>
    <w:p>
      <w:pPr>
        <w:spacing w:after="0" w:line="170" w:lineRule="exact"/>
        <w:rPr>
          <w:rFonts w:ascii="Arial" w:cs="Arial" w:eastAsia="Arial" w:hAnsi="Arial"/>
          <w:sz w:val="21"/>
          <w:szCs w:val="21"/>
          <w:color w:val="232323"/>
        </w:rPr>
      </w:pPr>
    </w:p>
    <w:p>
      <w:pPr>
        <w:ind w:left="1780" w:right="20" w:hanging="789"/>
        <w:spacing w:after="0" w:line="252" w:lineRule="auto"/>
        <w:tabs>
          <w:tab w:leader="none" w:pos="1780" w:val="left"/>
        </w:tabs>
        <w:numPr>
          <w:ilvl w:val="0"/>
          <w:numId w:val="169"/>
        </w:numPr>
        <w:rPr>
          <w:rFonts w:ascii="Arial" w:cs="Arial" w:eastAsia="Arial" w:hAnsi="Arial"/>
          <w:sz w:val="21"/>
          <w:szCs w:val="21"/>
          <w:color w:val="232323"/>
        </w:rPr>
      </w:pPr>
      <w:r>
        <w:rPr>
          <w:rFonts w:ascii="Arial" w:cs="Arial" w:eastAsia="Arial" w:hAnsi="Arial"/>
          <w:sz w:val="21"/>
          <w:szCs w:val="21"/>
          <w:color w:val="313131"/>
        </w:rPr>
        <w:t xml:space="preserve">37,500 options will vest </w:t>
      </w:r>
      <w:r>
        <w:rPr>
          <w:rFonts w:ascii="Arial" w:cs="Arial" w:eastAsia="Arial" w:hAnsi="Arial"/>
          <w:sz w:val="21"/>
          <w:szCs w:val="21"/>
          <w:color w:val="232323"/>
        </w:rPr>
        <w:t>based</w:t>
      </w:r>
      <w:r>
        <w:rPr>
          <w:rFonts w:ascii="Arial" w:cs="Arial" w:eastAsia="Arial" w:hAnsi="Arial"/>
          <w:sz w:val="21"/>
          <w:szCs w:val="21"/>
          <w:color w:val="313131"/>
        </w:rPr>
        <w:t xml:space="preserve"> on Executive's </w:t>
      </w:r>
      <w:r>
        <w:rPr>
          <w:rFonts w:ascii="Arial" w:cs="Arial" w:eastAsia="Arial" w:hAnsi="Arial"/>
          <w:sz w:val="21"/>
          <w:szCs w:val="21"/>
          <w:color w:val="232323"/>
        </w:rPr>
        <w:t>continued</w:t>
      </w:r>
      <w:r>
        <w:rPr>
          <w:rFonts w:ascii="Arial" w:cs="Arial" w:eastAsia="Arial" w:hAnsi="Arial"/>
          <w:sz w:val="21"/>
          <w:szCs w:val="21"/>
          <w:color w:val="313131"/>
        </w:rPr>
        <w:t xml:space="preserve"> employment with </w:t>
      </w:r>
      <w:r>
        <w:rPr>
          <w:rFonts w:ascii="Arial" w:cs="Arial" w:eastAsia="Arial" w:hAnsi="Arial"/>
          <w:sz w:val="21"/>
          <w:szCs w:val="21"/>
          <w:color w:val="232323"/>
        </w:rPr>
        <w:t>the</w:t>
      </w:r>
      <w:r>
        <w:rPr>
          <w:rFonts w:ascii="Arial" w:cs="Arial" w:eastAsia="Arial" w:hAnsi="Arial"/>
          <w:sz w:val="21"/>
          <w:szCs w:val="21"/>
          <w:color w:val="313131"/>
        </w:rPr>
        <w:t xml:space="preserve"> Company </w:t>
      </w:r>
      <w:r>
        <w:rPr>
          <w:rFonts w:ascii="Arial" w:cs="Arial" w:eastAsia="Arial" w:hAnsi="Arial"/>
          <w:sz w:val="21"/>
          <w:szCs w:val="21"/>
          <w:color w:val="232323"/>
        </w:rPr>
        <w:t>at</w:t>
      </w:r>
      <w:r>
        <w:rPr>
          <w:rFonts w:ascii="Arial" w:cs="Arial" w:eastAsia="Arial" w:hAnsi="Arial"/>
          <w:sz w:val="21"/>
          <w:szCs w:val="21"/>
          <w:color w:val="313131"/>
        </w:rPr>
        <w:t xml:space="preserve"> a rate </w:t>
      </w:r>
      <w:r>
        <w:rPr>
          <w:rFonts w:ascii="Arial" w:cs="Arial" w:eastAsia="Arial" w:hAnsi="Arial"/>
          <w:sz w:val="21"/>
          <w:szCs w:val="21"/>
          <w:color w:val="232323"/>
        </w:rPr>
        <w:t>of</w:t>
      </w:r>
      <w:r>
        <w:rPr>
          <w:rFonts w:ascii="Arial" w:cs="Arial" w:eastAsia="Arial" w:hAnsi="Arial"/>
          <w:sz w:val="21"/>
          <w:szCs w:val="21"/>
          <w:color w:val="313131"/>
        </w:rPr>
        <w:t xml:space="preserve"> 9,375 </w:t>
      </w:r>
      <w:r>
        <w:rPr>
          <w:rFonts w:ascii="Arial" w:cs="Arial" w:eastAsia="Arial" w:hAnsi="Arial"/>
          <w:sz w:val="21"/>
          <w:szCs w:val="21"/>
          <w:color w:val="232323"/>
        </w:rPr>
        <w:t>per</w:t>
      </w:r>
      <w:r>
        <w:rPr>
          <w:rFonts w:ascii="Arial" w:cs="Arial" w:eastAsia="Arial" w:hAnsi="Arial"/>
          <w:sz w:val="21"/>
          <w:szCs w:val="21"/>
          <w:color w:val="313131"/>
        </w:rPr>
        <w:t xml:space="preserve"> year for four (4) years, commencing with the first 9,375 option </w:t>
      </w:r>
      <w:r>
        <w:rPr>
          <w:rFonts w:ascii="Arial" w:cs="Arial" w:eastAsia="Arial" w:hAnsi="Arial"/>
          <w:sz w:val="21"/>
          <w:szCs w:val="21"/>
          <w:color w:val="232323"/>
        </w:rPr>
        <w:t>installment</w:t>
      </w:r>
      <w:r>
        <w:rPr>
          <w:rFonts w:ascii="Arial" w:cs="Arial" w:eastAsia="Arial" w:hAnsi="Arial"/>
          <w:sz w:val="21"/>
          <w:szCs w:val="21"/>
          <w:color w:val="484848"/>
        </w:rPr>
        <w:t>,</w:t>
      </w:r>
      <w:r>
        <w:rPr>
          <w:rFonts w:ascii="Arial" w:cs="Arial" w:eastAsia="Arial" w:hAnsi="Arial"/>
          <w:sz w:val="21"/>
          <w:szCs w:val="21"/>
          <w:color w:val="313131"/>
        </w:rPr>
        <w:t xml:space="preserve"> which will vest </w:t>
      </w:r>
      <w:r>
        <w:rPr>
          <w:rFonts w:ascii="Arial" w:cs="Arial" w:eastAsia="Arial" w:hAnsi="Arial"/>
          <w:sz w:val="21"/>
          <w:szCs w:val="21"/>
          <w:color w:val="232323"/>
        </w:rPr>
        <w:t xml:space="preserve">upon the </w:t>
      </w:r>
      <w:r>
        <w:rPr>
          <w:rFonts w:ascii="Arial" w:cs="Arial" w:eastAsia="Arial" w:hAnsi="Arial"/>
          <w:sz w:val="21"/>
          <w:szCs w:val="21"/>
          <w:color w:val="313131"/>
        </w:rPr>
        <w:t>completion of Executive's first year of service.</w:t>
      </w:r>
    </w:p>
    <w:p>
      <w:pPr>
        <w:spacing w:after="0" w:line="144" w:lineRule="exact"/>
        <w:rPr>
          <w:sz w:val="20"/>
          <w:szCs w:val="20"/>
          <w:color w:val="auto"/>
        </w:rPr>
      </w:pPr>
    </w:p>
    <w:p>
      <w:pPr>
        <w:ind w:right="280" w:firstLine="555"/>
        <w:spacing w:after="0" w:line="292" w:lineRule="auto"/>
        <w:rPr>
          <w:sz w:val="20"/>
          <w:szCs w:val="20"/>
          <w:color w:val="auto"/>
        </w:rPr>
      </w:pPr>
      <w:r>
        <w:rPr>
          <w:rFonts w:ascii="Arial" w:cs="Arial" w:eastAsia="Arial" w:hAnsi="Arial"/>
          <w:sz w:val="19"/>
          <w:szCs w:val="19"/>
          <w:color w:val="232323"/>
        </w:rPr>
        <w:t xml:space="preserve">Any </w:t>
      </w:r>
      <w:r>
        <w:rPr>
          <w:rFonts w:ascii="Arial" w:cs="Arial" w:eastAsia="Arial" w:hAnsi="Arial"/>
          <w:sz w:val="19"/>
          <w:szCs w:val="19"/>
          <w:color w:val="313131"/>
        </w:rPr>
        <w:t>such equity grants shall</w:t>
      </w:r>
      <w:r>
        <w:rPr>
          <w:rFonts w:ascii="Arial" w:cs="Arial" w:eastAsia="Arial" w:hAnsi="Arial"/>
          <w:sz w:val="19"/>
          <w:szCs w:val="19"/>
          <w:color w:val="232323"/>
        </w:rPr>
        <w:t xml:space="preserve"> be </w:t>
      </w:r>
      <w:r>
        <w:rPr>
          <w:rFonts w:ascii="Arial" w:cs="Arial" w:eastAsia="Arial" w:hAnsi="Arial"/>
          <w:sz w:val="19"/>
          <w:szCs w:val="19"/>
          <w:color w:val="313131"/>
        </w:rPr>
        <w:t>subject</w:t>
      </w:r>
      <w:r>
        <w:rPr>
          <w:rFonts w:ascii="Arial" w:cs="Arial" w:eastAsia="Arial" w:hAnsi="Arial"/>
          <w:sz w:val="19"/>
          <w:szCs w:val="19"/>
          <w:color w:val="232323"/>
        </w:rPr>
        <w:t xml:space="preserve"> to </w:t>
      </w:r>
      <w:r>
        <w:rPr>
          <w:rFonts w:ascii="Arial" w:cs="Arial" w:eastAsia="Arial" w:hAnsi="Arial"/>
          <w:sz w:val="19"/>
          <w:szCs w:val="19"/>
          <w:color w:val="313131"/>
        </w:rPr>
        <w:t>the terms of a Share Option Agreement and the governing equity plan</w:t>
      </w:r>
      <w:r>
        <w:rPr>
          <w:rFonts w:ascii="Arial" w:cs="Arial" w:eastAsia="Arial" w:hAnsi="Arial"/>
          <w:sz w:val="19"/>
          <w:szCs w:val="19"/>
          <w:color w:val="232323"/>
        </w:rPr>
        <w:t xml:space="preserve"> </w:t>
      </w:r>
      <w:r>
        <w:rPr>
          <w:rFonts w:ascii="Arial" w:cs="Arial" w:eastAsia="Arial" w:hAnsi="Arial"/>
          <w:sz w:val="19"/>
          <w:szCs w:val="19"/>
          <w:color w:val="313131"/>
        </w:rPr>
        <w:t xml:space="preserve">which will </w:t>
      </w:r>
      <w:r>
        <w:rPr>
          <w:rFonts w:ascii="Arial" w:cs="Arial" w:eastAsia="Arial" w:hAnsi="Arial"/>
          <w:sz w:val="19"/>
          <w:szCs w:val="19"/>
          <w:color w:val="232323"/>
        </w:rPr>
        <w:t>be provided to the</w:t>
      </w:r>
      <w:r>
        <w:rPr>
          <w:rFonts w:ascii="Arial" w:cs="Arial" w:eastAsia="Arial" w:hAnsi="Arial"/>
          <w:sz w:val="19"/>
          <w:szCs w:val="19"/>
          <w:color w:val="313131"/>
        </w:rPr>
        <w:t xml:space="preserve"> Executive within </w:t>
      </w:r>
      <w:r>
        <w:rPr>
          <w:rFonts w:ascii="Arial" w:cs="Arial" w:eastAsia="Arial" w:hAnsi="Arial"/>
          <w:sz w:val="19"/>
          <w:szCs w:val="19"/>
          <w:color w:val="232323"/>
        </w:rPr>
        <w:t>thirty</w:t>
      </w:r>
      <w:r>
        <w:rPr>
          <w:rFonts w:ascii="Arial" w:cs="Arial" w:eastAsia="Arial" w:hAnsi="Arial"/>
          <w:sz w:val="19"/>
          <w:szCs w:val="19"/>
          <w:color w:val="313131"/>
        </w:rPr>
        <w:t xml:space="preserve"> (30) </w:t>
      </w:r>
      <w:r>
        <w:rPr>
          <w:rFonts w:ascii="Arial" w:cs="Arial" w:eastAsia="Arial" w:hAnsi="Arial"/>
          <w:sz w:val="19"/>
          <w:szCs w:val="19"/>
          <w:color w:val="232323"/>
        </w:rPr>
        <w:t>days</w:t>
      </w:r>
      <w:r>
        <w:rPr>
          <w:rFonts w:ascii="Arial" w:cs="Arial" w:eastAsia="Arial" w:hAnsi="Arial"/>
          <w:sz w:val="19"/>
          <w:szCs w:val="19"/>
          <w:color w:val="313131"/>
        </w:rPr>
        <w:t xml:space="preserve"> of </w:t>
      </w:r>
      <w:r>
        <w:rPr>
          <w:rFonts w:ascii="Arial" w:cs="Arial" w:eastAsia="Arial" w:hAnsi="Arial"/>
          <w:sz w:val="19"/>
          <w:szCs w:val="19"/>
          <w:color w:val="232323"/>
        </w:rPr>
        <w:t>his</w:t>
      </w:r>
      <w:r>
        <w:rPr>
          <w:rFonts w:ascii="Arial" w:cs="Arial" w:eastAsia="Arial" w:hAnsi="Arial"/>
          <w:sz w:val="19"/>
          <w:szCs w:val="19"/>
          <w:color w:val="313131"/>
        </w:rPr>
        <w:t xml:space="preserve"> Effective </w:t>
      </w:r>
      <w:r>
        <w:rPr>
          <w:rFonts w:ascii="Arial" w:cs="Arial" w:eastAsia="Arial" w:hAnsi="Arial"/>
          <w:sz w:val="19"/>
          <w:szCs w:val="19"/>
          <w:color w:val="232323"/>
        </w:rPr>
        <w:t>Date</w:t>
      </w:r>
      <w:r>
        <w:rPr>
          <w:rFonts w:ascii="Arial" w:cs="Arial" w:eastAsia="Arial" w:hAnsi="Arial"/>
          <w:sz w:val="19"/>
          <w:szCs w:val="19"/>
          <w:color w:val="050505"/>
        </w:rPr>
        <w:t>.</w:t>
      </w:r>
      <w:r>
        <w:rPr>
          <w:rFonts w:ascii="Arial" w:cs="Arial" w:eastAsia="Arial" w:hAnsi="Arial"/>
          <w:sz w:val="19"/>
          <w:szCs w:val="19"/>
          <w:color w:val="313131"/>
        </w:rPr>
        <w:t xml:space="preserve"> </w:t>
      </w:r>
      <w:r>
        <w:rPr>
          <w:rFonts w:ascii="Arial" w:cs="Arial" w:eastAsia="Arial" w:hAnsi="Arial"/>
          <w:sz w:val="19"/>
          <w:szCs w:val="19"/>
          <w:color w:val="232323"/>
        </w:rPr>
        <w:t>In</w:t>
      </w:r>
      <w:r>
        <w:rPr>
          <w:rFonts w:ascii="Arial" w:cs="Arial" w:eastAsia="Arial" w:hAnsi="Arial"/>
          <w:sz w:val="19"/>
          <w:szCs w:val="19"/>
          <w:color w:val="313131"/>
        </w:rPr>
        <w:t xml:space="preserve"> addition, Executive shall </w:t>
      </w:r>
      <w:r>
        <w:rPr>
          <w:rFonts w:ascii="Arial" w:cs="Arial" w:eastAsia="Arial" w:hAnsi="Arial"/>
          <w:sz w:val="19"/>
          <w:szCs w:val="19"/>
          <w:color w:val="232323"/>
        </w:rPr>
        <w:t>be</w:t>
      </w:r>
      <w:r>
        <w:rPr>
          <w:rFonts w:ascii="Arial" w:cs="Arial" w:eastAsia="Arial" w:hAnsi="Arial"/>
          <w:sz w:val="19"/>
          <w:szCs w:val="19"/>
          <w:color w:val="313131"/>
        </w:rPr>
        <w:t xml:space="preserve"> eligible for the annual equity grants </w:t>
      </w:r>
      <w:r>
        <w:rPr>
          <w:rFonts w:ascii="Arial" w:cs="Arial" w:eastAsia="Arial" w:hAnsi="Arial"/>
          <w:sz w:val="19"/>
          <w:szCs w:val="19"/>
          <w:color w:val="232323"/>
        </w:rPr>
        <w:t>under the</w:t>
      </w:r>
      <w:r>
        <w:rPr>
          <w:rFonts w:ascii="Arial" w:cs="Arial" w:eastAsia="Arial" w:hAnsi="Arial"/>
          <w:sz w:val="19"/>
          <w:szCs w:val="19"/>
          <w:color w:val="313131"/>
        </w:rPr>
        <w:t xml:space="preserve"> 2020 </w:t>
      </w:r>
      <w:r>
        <w:rPr>
          <w:rFonts w:ascii="Arial" w:cs="Arial" w:eastAsia="Arial" w:hAnsi="Arial"/>
          <w:sz w:val="19"/>
          <w:szCs w:val="19"/>
          <w:color w:val="232323"/>
        </w:rPr>
        <w:t>Omnibus Incentive Plan once the plan has been implemented.</w:t>
      </w:r>
    </w:p>
    <w:p>
      <w:pPr>
        <w:spacing w:after="0" w:line="148" w:lineRule="exact"/>
        <w:rPr>
          <w:sz w:val="20"/>
          <w:szCs w:val="20"/>
          <w:color w:val="auto"/>
        </w:rPr>
      </w:pPr>
    </w:p>
    <w:p>
      <w:pPr>
        <w:ind w:right="360" w:firstLine="539"/>
        <w:spacing w:after="0" w:line="249" w:lineRule="auto"/>
        <w:rPr>
          <w:sz w:val="20"/>
          <w:szCs w:val="20"/>
          <w:color w:val="auto"/>
        </w:rPr>
      </w:pPr>
      <w:r>
        <w:rPr>
          <w:rFonts w:ascii="Arial" w:cs="Arial" w:eastAsia="Arial" w:hAnsi="Arial"/>
          <w:sz w:val="21"/>
          <w:szCs w:val="21"/>
          <w:color w:val="313131"/>
        </w:rPr>
        <w:t xml:space="preserve">2.4 </w:t>
      </w:r>
      <w:r>
        <w:rPr>
          <w:rFonts w:ascii="Arial" w:cs="Arial" w:eastAsia="Arial" w:hAnsi="Arial"/>
          <w:sz w:val="21"/>
          <w:szCs w:val="21"/>
          <w:u w:val="single" w:color="auto"/>
          <w:color w:val="232323"/>
        </w:rPr>
        <w:t>Business</w:t>
      </w:r>
      <w:r>
        <w:rPr>
          <w:rFonts w:ascii="Arial" w:cs="Arial" w:eastAsia="Arial" w:hAnsi="Arial"/>
          <w:sz w:val="21"/>
          <w:szCs w:val="21"/>
          <w:color w:val="313131"/>
        </w:rPr>
        <w:t xml:space="preserve"> </w:t>
      </w:r>
      <w:r>
        <w:rPr>
          <w:rFonts w:ascii="Arial" w:cs="Arial" w:eastAsia="Arial" w:hAnsi="Arial"/>
          <w:sz w:val="21"/>
          <w:szCs w:val="21"/>
          <w:u w:val="single" w:color="auto"/>
          <w:color w:val="313131"/>
        </w:rPr>
        <w:t>Expenses.</w:t>
      </w:r>
      <w:r>
        <w:rPr>
          <w:rFonts w:ascii="Arial" w:cs="Arial" w:eastAsia="Arial" w:hAnsi="Arial"/>
          <w:sz w:val="21"/>
          <w:szCs w:val="21"/>
          <w:color w:val="313131"/>
        </w:rPr>
        <w:t xml:space="preserve"> </w:t>
      </w:r>
      <w:r>
        <w:rPr>
          <w:rFonts w:ascii="Arial" w:cs="Arial" w:eastAsia="Arial" w:hAnsi="Arial"/>
          <w:sz w:val="21"/>
          <w:szCs w:val="21"/>
          <w:color w:val="232323"/>
        </w:rPr>
        <w:t>During</w:t>
      </w:r>
      <w:r>
        <w:rPr>
          <w:rFonts w:ascii="Arial" w:cs="Arial" w:eastAsia="Arial" w:hAnsi="Arial"/>
          <w:sz w:val="21"/>
          <w:szCs w:val="21"/>
          <w:color w:val="313131"/>
        </w:rPr>
        <w:t xml:space="preserve"> employment, the Executive </w:t>
      </w:r>
      <w:r>
        <w:rPr>
          <w:rFonts w:ascii="Arial" w:cs="Arial" w:eastAsia="Arial" w:hAnsi="Arial"/>
          <w:sz w:val="21"/>
          <w:szCs w:val="21"/>
          <w:color w:val="232323"/>
        </w:rPr>
        <w:t>is</w:t>
      </w:r>
      <w:r>
        <w:rPr>
          <w:rFonts w:ascii="Arial" w:cs="Arial" w:eastAsia="Arial" w:hAnsi="Arial"/>
          <w:sz w:val="21"/>
          <w:szCs w:val="21"/>
          <w:color w:val="313131"/>
        </w:rPr>
        <w:t xml:space="preserve"> entitled </w:t>
      </w:r>
      <w:r>
        <w:rPr>
          <w:rFonts w:ascii="Arial" w:cs="Arial" w:eastAsia="Arial" w:hAnsi="Arial"/>
          <w:sz w:val="21"/>
          <w:szCs w:val="21"/>
          <w:color w:val="232323"/>
        </w:rPr>
        <w:t>to reimbursement</w:t>
      </w:r>
      <w:r>
        <w:rPr>
          <w:rFonts w:ascii="Arial" w:cs="Arial" w:eastAsia="Arial" w:hAnsi="Arial"/>
          <w:sz w:val="21"/>
          <w:szCs w:val="21"/>
          <w:color w:val="313131"/>
        </w:rPr>
        <w:t xml:space="preserve"> for reasonable and </w:t>
      </w:r>
      <w:r>
        <w:rPr>
          <w:rFonts w:ascii="Arial" w:cs="Arial" w:eastAsia="Arial" w:hAnsi="Arial"/>
          <w:sz w:val="21"/>
          <w:szCs w:val="21"/>
          <w:color w:val="232323"/>
        </w:rPr>
        <w:t>necessary business</w:t>
      </w:r>
      <w:r>
        <w:rPr>
          <w:rFonts w:ascii="Arial" w:cs="Arial" w:eastAsia="Arial" w:hAnsi="Arial"/>
          <w:sz w:val="21"/>
          <w:szCs w:val="21"/>
          <w:color w:val="313131"/>
        </w:rPr>
        <w:t xml:space="preserve"> expenses incurred </w:t>
      </w:r>
      <w:r>
        <w:rPr>
          <w:rFonts w:ascii="Arial" w:cs="Arial" w:eastAsia="Arial" w:hAnsi="Arial"/>
          <w:sz w:val="21"/>
          <w:szCs w:val="21"/>
          <w:color w:val="232323"/>
        </w:rPr>
        <w:t>by</w:t>
      </w:r>
      <w:r>
        <w:rPr>
          <w:rFonts w:ascii="Arial" w:cs="Arial" w:eastAsia="Arial" w:hAnsi="Arial"/>
          <w:sz w:val="21"/>
          <w:szCs w:val="21"/>
          <w:color w:val="313131"/>
        </w:rPr>
        <w:t xml:space="preserve"> Executive in </w:t>
      </w:r>
      <w:r>
        <w:rPr>
          <w:rFonts w:ascii="Arial" w:cs="Arial" w:eastAsia="Arial" w:hAnsi="Arial"/>
          <w:sz w:val="21"/>
          <w:szCs w:val="21"/>
          <w:color w:val="232323"/>
        </w:rPr>
        <w:t>connection</w:t>
      </w:r>
      <w:r>
        <w:rPr>
          <w:rFonts w:ascii="Arial" w:cs="Arial" w:eastAsia="Arial" w:hAnsi="Arial"/>
          <w:sz w:val="21"/>
          <w:szCs w:val="21"/>
          <w:color w:val="313131"/>
        </w:rPr>
        <w:t xml:space="preserve"> with </w:t>
      </w:r>
      <w:r>
        <w:rPr>
          <w:rFonts w:ascii="Arial" w:cs="Arial" w:eastAsia="Arial" w:hAnsi="Arial"/>
          <w:sz w:val="21"/>
          <w:szCs w:val="21"/>
          <w:color w:val="232323"/>
        </w:rPr>
        <w:t>the performance</w:t>
      </w:r>
      <w:r>
        <w:rPr>
          <w:rFonts w:ascii="Arial" w:cs="Arial" w:eastAsia="Arial" w:hAnsi="Arial"/>
          <w:sz w:val="21"/>
          <w:szCs w:val="21"/>
          <w:color w:val="313131"/>
        </w:rPr>
        <w:t xml:space="preserve"> of Executive's duties, subject to proper </w:t>
      </w:r>
      <w:r>
        <w:rPr>
          <w:rFonts w:ascii="Arial" w:cs="Arial" w:eastAsia="Arial" w:hAnsi="Arial"/>
          <w:sz w:val="21"/>
          <w:szCs w:val="21"/>
          <w:color w:val="232323"/>
        </w:rPr>
        <w:t>documentation</w:t>
      </w:r>
      <w:r>
        <w:rPr>
          <w:rFonts w:ascii="Arial" w:cs="Arial" w:eastAsia="Arial" w:hAnsi="Arial"/>
          <w:sz w:val="21"/>
          <w:szCs w:val="21"/>
          <w:color w:val="313131"/>
        </w:rPr>
        <w:t xml:space="preserve"> and approval as </w:t>
      </w:r>
      <w:r>
        <w:rPr>
          <w:rFonts w:ascii="Arial" w:cs="Arial" w:eastAsia="Arial" w:hAnsi="Arial"/>
          <w:sz w:val="21"/>
          <w:szCs w:val="21"/>
          <w:color w:val="232323"/>
        </w:rPr>
        <w:t>required pursuant to the</w:t>
      </w:r>
      <w:r>
        <w:rPr>
          <w:rFonts w:ascii="Arial" w:cs="Arial" w:eastAsia="Arial" w:hAnsi="Arial"/>
          <w:sz w:val="21"/>
          <w:szCs w:val="21"/>
          <w:color w:val="313131"/>
        </w:rPr>
        <w:t xml:space="preserve"> applicable Company expense reimbursement </w:t>
      </w:r>
      <w:r>
        <w:rPr>
          <w:rFonts w:ascii="Arial" w:cs="Arial" w:eastAsia="Arial" w:hAnsi="Arial"/>
          <w:sz w:val="21"/>
          <w:szCs w:val="21"/>
          <w:color w:val="232323"/>
        </w:rPr>
        <w:t>policies.</w:t>
      </w:r>
    </w:p>
    <w:p>
      <w:pPr>
        <w:spacing w:after="0" w:line="159" w:lineRule="exact"/>
        <w:rPr>
          <w:sz w:val="20"/>
          <w:szCs w:val="20"/>
          <w:color w:val="auto"/>
        </w:rPr>
      </w:pPr>
    </w:p>
    <w:p>
      <w:pPr>
        <w:ind w:right="900" w:firstLine="537"/>
        <w:spacing w:after="0" w:line="264" w:lineRule="auto"/>
        <w:rPr>
          <w:sz w:val="20"/>
          <w:szCs w:val="20"/>
          <w:color w:val="auto"/>
        </w:rPr>
      </w:pPr>
      <w:r>
        <w:rPr>
          <w:rFonts w:ascii="Arial" w:cs="Arial" w:eastAsia="Arial" w:hAnsi="Arial"/>
          <w:sz w:val="21"/>
          <w:szCs w:val="21"/>
          <w:color w:val="313131"/>
        </w:rPr>
        <w:t xml:space="preserve">2.5 </w:t>
      </w:r>
      <w:r>
        <w:rPr>
          <w:rFonts w:ascii="Arial" w:cs="Arial" w:eastAsia="Arial" w:hAnsi="Arial"/>
          <w:sz w:val="21"/>
          <w:szCs w:val="21"/>
          <w:u w:val="single" w:color="auto"/>
          <w:color w:val="232323"/>
        </w:rPr>
        <w:t>Fringe Benefits.</w:t>
      </w:r>
      <w:r>
        <w:rPr>
          <w:rFonts w:ascii="Arial" w:cs="Arial" w:eastAsia="Arial" w:hAnsi="Arial"/>
          <w:sz w:val="21"/>
          <w:szCs w:val="21"/>
          <w:color w:val="313131"/>
        </w:rPr>
        <w:t xml:space="preserve"> The Executive shall </w:t>
      </w:r>
      <w:r>
        <w:rPr>
          <w:rFonts w:ascii="Arial" w:cs="Arial" w:eastAsia="Arial" w:hAnsi="Arial"/>
          <w:sz w:val="21"/>
          <w:szCs w:val="21"/>
          <w:color w:val="232323"/>
        </w:rPr>
        <w:t>be</w:t>
      </w:r>
      <w:r>
        <w:rPr>
          <w:rFonts w:ascii="Arial" w:cs="Arial" w:eastAsia="Arial" w:hAnsi="Arial"/>
          <w:sz w:val="21"/>
          <w:szCs w:val="21"/>
          <w:color w:val="313131"/>
        </w:rPr>
        <w:t xml:space="preserve"> entitled to fringe </w:t>
      </w:r>
      <w:r>
        <w:rPr>
          <w:rFonts w:ascii="Arial" w:cs="Arial" w:eastAsia="Arial" w:hAnsi="Arial"/>
          <w:sz w:val="21"/>
          <w:szCs w:val="21"/>
          <w:color w:val="232323"/>
        </w:rPr>
        <w:t>benefits</w:t>
      </w:r>
      <w:r>
        <w:rPr>
          <w:rFonts w:ascii="Arial" w:cs="Arial" w:eastAsia="Arial" w:hAnsi="Arial"/>
          <w:sz w:val="21"/>
          <w:szCs w:val="21"/>
          <w:color w:val="313131"/>
        </w:rPr>
        <w:t xml:space="preserve"> in accordance with </w:t>
      </w:r>
      <w:r>
        <w:rPr>
          <w:rFonts w:ascii="Arial" w:cs="Arial" w:eastAsia="Arial" w:hAnsi="Arial"/>
          <w:sz w:val="21"/>
          <w:szCs w:val="21"/>
          <w:color w:val="232323"/>
        </w:rPr>
        <w:t>the plans</w:t>
      </w:r>
      <w:r>
        <w:rPr>
          <w:rFonts w:ascii="Arial" w:cs="Arial" w:eastAsia="Arial" w:hAnsi="Arial"/>
          <w:sz w:val="21"/>
          <w:szCs w:val="21"/>
          <w:color w:val="5B5B5B"/>
        </w:rPr>
        <w:t>,</w:t>
      </w:r>
      <w:r>
        <w:rPr>
          <w:rFonts w:ascii="Arial" w:cs="Arial" w:eastAsia="Arial" w:hAnsi="Arial"/>
          <w:sz w:val="21"/>
          <w:szCs w:val="21"/>
          <w:color w:val="313131"/>
        </w:rPr>
        <w:t xml:space="preserve"> </w:t>
      </w:r>
      <w:r>
        <w:rPr>
          <w:rFonts w:ascii="Arial" w:cs="Arial" w:eastAsia="Arial" w:hAnsi="Arial"/>
          <w:sz w:val="21"/>
          <w:szCs w:val="21"/>
          <w:color w:val="232323"/>
        </w:rPr>
        <w:t>practices</w:t>
      </w:r>
      <w:r>
        <w:rPr>
          <w:rFonts w:ascii="Arial" w:cs="Arial" w:eastAsia="Arial" w:hAnsi="Arial"/>
          <w:sz w:val="21"/>
          <w:szCs w:val="21"/>
          <w:color w:val="5B5B5B"/>
        </w:rPr>
        <w:t>,</w:t>
      </w:r>
      <w:r>
        <w:rPr>
          <w:rFonts w:ascii="Arial" w:cs="Arial" w:eastAsia="Arial" w:hAnsi="Arial"/>
          <w:sz w:val="21"/>
          <w:szCs w:val="21"/>
          <w:color w:val="232323"/>
        </w:rPr>
        <w:t xml:space="preserve"> programs </w:t>
      </w:r>
      <w:r>
        <w:rPr>
          <w:rFonts w:ascii="Arial" w:cs="Arial" w:eastAsia="Arial" w:hAnsi="Arial"/>
          <w:sz w:val="21"/>
          <w:szCs w:val="21"/>
          <w:color w:val="313131"/>
        </w:rPr>
        <w:t>and policies applicable</w:t>
      </w:r>
      <w:r>
        <w:rPr>
          <w:rFonts w:ascii="Arial" w:cs="Arial" w:eastAsia="Arial" w:hAnsi="Arial"/>
          <w:sz w:val="21"/>
          <w:szCs w:val="21"/>
          <w:color w:val="232323"/>
        </w:rPr>
        <w:t xml:space="preserve"> to </w:t>
      </w:r>
      <w:r>
        <w:rPr>
          <w:rFonts w:ascii="Arial" w:cs="Arial" w:eastAsia="Arial" w:hAnsi="Arial"/>
          <w:sz w:val="21"/>
          <w:szCs w:val="21"/>
          <w:color w:val="313131"/>
        </w:rPr>
        <w:t>other</w:t>
      </w:r>
      <w:r>
        <w:rPr>
          <w:rFonts w:ascii="Arial" w:cs="Arial" w:eastAsia="Arial" w:hAnsi="Arial"/>
          <w:sz w:val="21"/>
          <w:szCs w:val="21"/>
          <w:color w:val="232323"/>
        </w:rPr>
        <w:t xml:space="preserve"> peer </w:t>
      </w:r>
      <w:r>
        <w:rPr>
          <w:rFonts w:ascii="Arial" w:cs="Arial" w:eastAsia="Arial" w:hAnsi="Arial"/>
          <w:sz w:val="21"/>
          <w:szCs w:val="21"/>
          <w:color w:val="313131"/>
        </w:rPr>
        <w:t>executives of</w:t>
      </w:r>
      <w:r>
        <w:rPr>
          <w:rFonts w:ascii="Arial" w:cs="Arial" w:eastAsia="Arial" w:hAnsi="Arial"/>
          <w:sz w:val="21"/>
          <w:szCs w:val="21"/>
          <w:color w:val="232323"/>
        </w:rPr>
        <w:t xml:space="preserve"> the </w:t>
      </w:r>
      <w:r>
        <w:rPr>
          <w:rFonts w:ascii="Arial" w:cs="Arial" w:eastAsia="Arial" w:hAnsi="Arial"/>
          <w:sz w:val="21"/>
          <w:szCs w:val="21"/>
          <w:color w:val="313131"/>
        </w:rPr>
        <w:t>Company</w:t>
      </w:r>
      <w:r>
        <w:rPr>
          <w:rFonts w:ascii="Arial" w:cs="Arial" w:eastAsia="Arial" w:hAnsi="Arial"/>
          <w:sz w:val="21"/>
          <w:szCs w:val="21"/>
          <w:color w:val="050505"/>
        </w:rPr>
        <w:t>.</w:t>
      </w:r>
    </w:p>
    <w:p>
      <w:pPr>
        <w:spacing w:after="0" w:line="130" w:lineRule="exact"/>
        <w:rPr>
          <w:sz w:val="20"/>
          <w:szCs w:val="20"/>
          <w:color w:val="auto"/>
        </w:rPr>
      </w:pPr>
    </w:p>
    <w:p>
      <w:pPr>
        <w:ind w:right="40" w:firstLine="547"/>
        <w:spacing w:after="0" w:line="246" w:lineRule="auto"/>
        <w:rPr>
          <w:sz w:val="20"/>
          <w:szCs w:val="20"/>
          <w:color w:val="auto"/>
        </w:rPr>
      </w:pPr>
      <w:r>
        <w:rPr>
          <w:rFonts w:ascii="Arial" w:cs="Arial" w:eastAsia="Arial" w:hAnsi="Arial"/>
          <w:sz w:val="21"/>
          <w:szCs w:val="21"/>
          <w:color w:val="313131"/>
        </w:rPr>
        <w:t xml:space="preserve">2.6 </w:t>
      </w:r>
      <w:r>
        <w:rPr>
          <w:rFonts w:ascii="Arial" w:cs="Arial" w:eastAsia="Arial" w:hAnsi="Arial"/>
          <w:sz w:val="21"/>
          <w:szCs w:val="21"/>
          <w:u w:val="single" w:color="auto"/>
          <w:color w:val="313131"/>
        </w:rPr>
        <w:t>Vacation.</w:t>
      </w:r>
      <w:r>
        <w:rPr>
          <w:rFonts w:ascii="Arial" w:cs="Arial" w:eastAsia="Arial" w:hAnsi="Arial"/>
          <w:sz w:val="21"/>
          <w:szCs w:val="21"/>
          <w:color w:val="313131"/>
        </w:rPr>
        <w:t xml:space="preserve"> The Executive shall </w:t>
      </w:r>
      <w:r>
        <w:rPr>
          <w:rFonts w:ascii="Arial" w:cs="Arial" w:eastAsia="Arial" w:hAnsi="Arial"/>
          <w:sz w:val="21"/>
          <w:szCs w:val="21"/>
          <w:color w:val="232323"/>
        </w:rPr>
        <w:t>be</w:t>
      </w:r>
      <w:r>
        <w:rPr>
          <w:rFonts w:ascii="Arial" w:cs="Arial" w:eastAsia="Arial" w:hAnsi="Arial"/>
          <w:sz w:val="21"/>
          <w:szCs w:val="21"/>
          <w:color w:val="313131"/>
        </w:rPr>
        <w:t xml:space="preserve"> entitled each year to a vacation</w:t>
      </w:r>
      <w:r>
        <w:rPr>
          <w:rFonts w:ascii="Arial" w:cs="Arial" w:eastAsia="Arial" w:hAnsi="Arial"/>
          <w:sz w:val="21"/>
          <w:szCs w:val="21"/>
          <w:color w:val="5B5B5B"/>
        </w:rPr>
        <w:t>,</w:t>
      </w:r>
      <w:r>
        <w:rPr>
          <w:rFonts w:ascii="Arial" w:cs="Arial" w:eastAsia="Arial" w:hAnsi="Arial"/>
          <w:sz w:val="21"/>
          <w:szCs w:val="21"/>
          <w:color w:val="313131"/>
        </w:rPr>
        <w:t xml:space="preserve"> </w:t>
      </w:r>
      <w:r>
        <w:rPr>
          <w:rFonts w:ascii="Arial" w:cs="Arial" w:eastAsia="Arial" w:hAnsi="Arial"/>
          <w:sz w:val="21"/>
          <w:szCs w:val="21"/>
          <w:color w:val="232323"/>
        </w:rPr>
        <w:t>during</w:t>
      </w:r>
      <w:r>
        <w:rPr>
          <w:rFonts w:ascii="Arial" w:cs="Arial" w:eastAsia="Arial" w:hAnsi="Arial"/>
          <w:sz w:val="21"/>
          <w:szCs w:val="21"/>
          <w:color w:val="313131"/>
        </w:rPr>
        <w:t xml:space="preserve"> which </w:t>
      </w:r>
      <w:r>
        <w:rPr>
          <w:rFonts w:ascii="Arial" w:cs="Arial" w:eastAsia="Arial" w:hAnsi="Arial"/>
          <w:sz w:val="21"/>
          <w:szCs w:val="21"/>
          <w:color w:val="232323"/>
        </w:rPr>
        <w:t>time</w:t>
      </w:r>
      <w:r>
        <w:rPr>
          <w:rFonts w:ascii="Arial" w:cs="Arial" w:eastAsia="Arial" w:hAnsi="Arial"/>
          <w:sz w:val="21"/>
          <w:szCs w:val="21"/>
          <w:color w:val="313131"/>
        </w:rPr>
        <w:t xml:space="preserve"> his compensation shall </w:t>
      </w:r>
      <w:r>
        <w:rPr>
          <w:rFonts w:ascii="Arial" w:cs="Arial" w:eastAsia="Arial" w:hAnsi="Arial"/>
          <w:sz w:val="21"/>
          <w:szCs w:val="21"/>
          <w:color w:val="232323"/>
        </w:rPr>
        <w:t>be paid in full</w:t>
      </w:r>
      <w:r>
        <w:rPr>
          <w:rFonts w:ascii="Arial" w:cs="Arial" w:eastAsia="Arial" w:hAnsi="Arial"/>
          <w:sz w:val="21"/>
          <w:szCs w:val="21"/>
          <w:color w:val="050505"/>
        </w:rPr>
        <w:t>.</w:t>
      </w:r>
      <w:r>
        <w:rPr>
          <w:rFonts w:ascii="Arial" w:cs="Arial" w:eastAsia="Arial" w:hAnsi="Arial"/>
          <w:sz w:val="21"/>
          <w:szCs w:val="21"/>
          <w:color w:val="313131"/>
        </w:rPr>
        <w:t xml:space="preserve"> </w:t>
      </w:r>
      <w:r>
        <w:rPr>
          <w:rFonts w:ascii="Arial" w:cs="Arial" w:eastAsia="Arial" w:hAnsi="Arial"/>
          <w:sz w:val="21"/>
          <w:szCs w:val="21"/>
          <w:color w:val="232323"/>
        </w:rPr>
        <w:t>The</w:t>
      </w:r>
      <w:r>
        <w:rPr>
          <w:rFonts w:ascii="Arial" w:cs="Arial" w:eastAsia="Arial" w:hAnsi="Arial"/>
          <w:sz w:val="21"/>
          <w:szCs w:val="21"/>
          <w:color w:val="313131"/>
        </w:rPr>
        <w:t xml:space="preserve"> time allotted for such vacation shall be four </w:t>
      </w:r>
      <w:r>
        <w:rPr>
          <w:rFonts w:ascii="Arial" w:cs="Arial" w:eastAsia="Arial" w:hAnsi="Arial"/>
          <w:sz w:val="21"/>
          <w:szCs w:val="21"/>
          <w:color w:val="484848"/>
        </w:rPr>
        <w:t>(</w:t>
      </w:r>
      <w:r>
        <w:rPr>
          <w:rFonts w:ascii="Arial" w:cs="Arial" w:eastAsia="Arial" w:hAnsi="Arial"/>
          <w:sz w:val="21"/>
          <w:szCs w:val="21"/>
          <w:color w:val="232323"/>
        </w:rPr>
        <w:t>4)</w:t>
      </w:r>
      <w:r>
        <w:rPr>
          <w:rFonts w:ascii="Arial" w:cs="Arial" w:eastAsia="Arial" w:hAnsi="Arial"/>
          <w:sz w:val="21"/>
          <w:szCs w:val="21"/>
          <w:color w:val="313131"/>
        </w:rPr>
        <w:t xml:space="preserve"> weeks </w:t>
      </w:r>
      <w:r>
        <w:rPr>
          <w:rFonts w:ascii="Arial" w:cs="Arial" w:eastAsia="Arial" w:hAnsi="Arial"/>
          <w:sz w:val="21"/>
          <w:szCs w:val="21"/>
          <w:color w:val="232323"/>
        </w:rPr>
        <w:t>per</w:t>
      </w:r>
      <w:r>
        <w:rPr>
          <w:rFonts w:ascii="Arial" w:cs="Arial" w:eastAsia="Arial" w:hAnsi="Arial"/>
          <w:sz w:val="21"/>
          <w:szCs w:val="21"/>
          <w:color w:val="313131"/>
        </w:rPr>
        <w:t xml:space="preserve"> year. Executive can accrue </w:t>
      </w:r>
      <w:r>
        <w:rPr>
          <w:rFonts w:ascii="Arial" w:cs="Arial" w:eastAsia="Arial" w:hAnsi="Arial"/>
          <w:sz w:val="21"/>
          <w:szCs w:val="21"/>
          <w:color w:val="232323"/>
        </w:rPr>
        <w:t>up to</w:t>
      </w:r>
      <w:r>
        <w:rPr>
          <w:rFonts w:ascii="Arial" w:cs="Arial" w:eastAsia="Arial" w:hAnsi="Arial"/>
          <w:sz w:val="21"/>
          <w:szCs w:val="21"/>
          <w:color w:val="313131"/>
        </w:rPr>
        <w:t xml:space="preserve"> six (6) weeks of vacation time, at which </w:t>
      </w:r>
      <w:r>
        <w:rPr>
          <w:rFonts w:ascii="Arial" w:cs="Arial" w:eastAsia="Arial" w:hAnsi="Arial"/>
          <w:sz w:val="21"/>
          <w:szCs w:val="21"/>
          <w:color w:val="232323"/>
        </w:rPr>
        <w:t>point</w:t>
      </w:r>
      <w:r>
        <w:rPr>
          <w:rFonts w:ascii="Arial" w:cs="Arial" w:eastAsia="Arial" w:hAnsi="Arial"/>
          <w:sz w:val="21"/>
          <w:szCs w:val="21"/>
          <w:color w:val="313131"/>
        </w:rPr>
        <w:t xml:space="preserve"> no </w:t>
      </w:r>
      <w:r>
        <w:rPr>
          <w:rFonts w:ascii="Arial" w:cs="Arial" w:eastAsia="Arial" w:hAnsi="Arial"/>
          <w:sz w:val="21"/>
          <w:szCs w:val="21"/>
          <w:color w:val="232323"/>
        </w:rPr>
        <w:t>additional</w:t>
      </w:r>
      <w:r>
        <w:rPr>
          <w:rFonts w:ascii="Arial" w:cs="Arial" w:eastAsia="Arial" w:hAnsi="Arial"/>
          <w:sz w:val="21"/>
          <w:szCs w:val="21"/>
          <w:color w:val="313131"/>
        </w:rPr>
        <w:t xml:space="preserve"> </w:t>
      </w:r>
      <w:r>
        <w:rPr>
          <w:rFonts w:ascii="Arial" w:cs="Arial" w:eastAsia="Arial" w:hAnsi="Arial"/>
          <w:sz w:val="21"/>
          <w:szCs w:val="21"/>
          <w:color w:val="484848"/>
        </w:rPr>
        <w:t>va</w:t>
      </w:r>
      <w:r>
        <w:rPr>
          <w:rFonts w:ascii="Arial" w:cs="Arial" w:eastAsia="Arial" w:hAnsi="Arial"/>
          <w:sz w:val="21"/>
          <w:szCs w:val="21"/>
          <w:color w:val="232323"/>
        </w:rPr>
        <w:t>cation may</w:t>
      </w:r>
      <w:r>
        <w:rPr>
          <w:rFonts w:ascii="Arial" w:cs="Arial" w:eastAsia="Arial" w:hAnsi="Arial"/>
          <w:sz w:val="21"/>
          <w:szCs w:val="21"/>
          <w:color w:val="313131"/>
        </w:rPr>
        <w:t xml:space="preserve"> accrue </w:t>
      </w:r>
      <w:r>
        <w:rPr>
          <w:rFonts w:ascii="Arial" w:cs="Arial" w:eastAsia="Arial" w:hAnsi="Arial"/>
          <w:sz w:val="21"/>
          <w:szCs w:val="21"/>
          <w:color w:val="232323"/>
        </w:rPr>
        <w:t>beyond</w:t>
      </w:r>
      <w:r>
        <w:rPr>
          <w:rFonts w:ascii="Arial" w:cs="Arial" w:eastAsia="Arial" w:hAnsi="Arial"/>
          <w:sz w:val="21"/>
          <w:szCs w:val="21"/>
          <w:color w:val="313131"/>
        </w:rPr>
        <w:t xml:space="preserve"> the </w:t>
      </w:r>
      <w:r>
        <w:rPr>
          <w:rFonts w:ascii="Arial" w:cs="Arial" w:eastAsia="Arial" w:hAnsi="Arial"/>
          <w:sz w:val="21"/>
          <w:szCs w:val="21"/>
          <w:color w:val="484848"/>
        </w:rPr>
        <w:t>s</w:t>
      </w:r>
      <w:r>
        <w:rPr>
          <w:rFonts w:ascii="Arial" w:cs="Arial" w:eastAsia="Arial" w:hAnsi="Arial"/>
          <w:sz w:val="21"/>
          <w:szCs w:val="21"/>
          <w:color w:val="232323"/>
        </w:rPr>
        <w:t>ix</w:t>
      </w:r>
      <w:r>
        <w:rPr>
          <w:rFonts w:ascii="Arial" w:cs="Arial" w:eastAsia="Arial" w:hAnsi="Arial"/>
          <w:sz w:val="21"/>
          <w:szCs w:val="21"/>
          <w:color w:val="313131"/>
        </w:rPr>
        <w:t xml:space="preserve"> (6) weeks until a </w:t>
      </w:r>
      <w:r>
        <w:rPr>
          <w:rFonts w:ascii="Arial" w:cs="Arial" w:eastAsia="Arial" w:hAnsi="Arial"/>
          <w:sz w:val="21"/>
          <w:szCs w:val="21"/>
          <w:color w:val="232323"/>
        </w:rPr>
        <w:t>portion</w:t>
      </w:r>
      <w:r>
        <w:rPr>
          <w:rFonts w:ascii="Arial" w:cs="Arial" w:eastAsia="Arial" w:hAnsi="Arial"/>
          <w:sz w:val="21"/>
          <w:szCs w:val="21"/>
          <w:color w:val="313131"/>
        </w:rPr>
        <w:t xml:space="preserve"> thereof is used. Any accrued vacation will </w:t>
      </w:r>
      <w:r>
        <w:rPr>
          <w:rFonts w:ascii="Arial" w:cs="Arial" w:eastAsia="Arial" w:hAnsi="Arial"/>
          <w:sz w:val="21"/>
          <w:szCs w:val="21"/>
          <w:color w:val="232323"/>
        </w:rPr>
        <w:t>roll over</w:t>
      </w:r>
      <w:r>
        <w:rPr>
          <w:rFonts w:ascii="Arial" w:cs="Arial" w:eastAsia="Arial" w:hAnsi="Arial"/>
          <w:sz w:val="21"/>
          <w:szCs w:val="21"/>
          <w:color w:val="313131"/>
        </w:rPr>
        <w:t xml:space="preserve"> into the following calendar year and </w:t>
      </w:r>
      <w:r>
        <w:rPr>
          <w:rFonts w:ascii="Arial" w:cs="Arial" w:eastAsia="Arial" w:hAnsi="Arial"/>
          <w:sz w:val="21"/>
          <w:szCs w:val="21"/>
          <w:color w:val="232323"/>
        </w:rPr>
        <w:t>will not be</w:t>
      </w:r>
      <w:r>
        <w:rPr>
          <w:rFonts w:ascii="Arial" w:cs="Arial" w:eastAsia="Arial" w:hAnsi="Arial"/>
          <w:sz w:val="21"/>
          <w:szCs w:val="21"/>
          <w:color w:val="313131"/>
        </w:rPr>
        <w:t xml:space="preserve"> forfeited. The Executive agrees to schedule </w:t>
      </w:r>
      <w:r>
        <w:rPr>
          <w:rFonts w:ascii="Arial" w:cs="Arial" w:eastAsia="Arial" w:hAnsi="Arial"/>
          <w:sz w:val="21"/>
          <w:szCs w:val="21"/>
          <w:color w:val="232323"/>
        </w:rPr>
        <w:t>planned</w:t>
      </w:r>
      <w:r>
        <w:rPr>
          <w:rFonts w:ascii="Arial" w:cs="Arial" w:eastAsia="Arial" w:hAnsi="Arial"/>
          <w:sz w:val="21"/>
          <w:szCs w:val="21"/>
          <w:color w:val="313131"/>
        </w:rPr>
        <w:t xml:space="preserve"> </w:t>
      </w:r>
      <w:r>
        <w:rPr>
          <w:rFonts w:ascii="Arial" w:cs="Arial" w:eastAsia="Arial" w:hAnsi="Arial"/>
          <w:sz w:val="21"/>
          <w:szCs w:val="21"/>
          <w:color w:val="484848"/>
        </w:rPr>
        <w:t>vacat</w:t>
      </w:r>
      <w:r>
        <w:rPr>
          <w:rFonts w:ascii="Arial" w:cs="Arial" w:eastAsia="Arial" w:hAnsi="Arial"/>
          <w:sz w:val="21"/>
          <w:szCs w:val="21"/>
          <w:color w:val="232323"/>
        </w:rPr>
        <w:t>ion</w:t>
      </w:r>
      <w:r>
        <w:rPr>
          <w:rFonts w:ascii="Arial" w:cs="Arial" w:eastAsia="Arial" w:hAnsi="Arial"/>
          <w:sz w:val="21"/>
          <w:szCs w:val="21"/>
          <w:color w:val="313131"/>
        </w:rPr>
        <w:t xml:space="preserve"> to </w:t>
      </w:r>
      <w:r>
        <w:rPr>
          <w:rFonts w:ascii="Arial" w:cs="Arial" w:eastAsia="Arial" w:hAnsi="Arial"/>
          <w:sz w:val="21"/>
          <w:szCs w:val="21"/>
          <w:color w:val="232323"/>
        </w:rPr>
        <w:t>be</w:t>
      </w:r>
      <w:r>
        <w:rPr>
          <w:rFonts w:ascii="Arial" w:cs="Arial" w:eastAsia="Arial" w:hAnsi="Arial"/>
          <w:sz w:val="21"/>
          <w:szCs w:val="21"/>
          <w:color w:val="313131"/>
        </w:rPr>
        <w:t xml:space="preserve"> taken at a time mutually convenient to the Executive, CEO, </w:t>
      </w:r>
      <w:r>
        <w:rPr>
          <w:rFonts w:ascii="Arial" w:cs="Arial" w:eastAsia="Arial" w:hAnsi="Arial"/>
          <w:sz w:val="21"/>
          <w:szCs w:val="21"/>
          <w:color w:val="232323"/>
        </w:rPr>
        <w:t>and</w:t>
      </w:r>
      <w:r>
        <w:rPr>
          <w:rFonts w:ascii="Arial" w:cs="Arial" w:eastAsia="Arial" w:hAnsi="Arial"/>
          <w:sz w:val="21"/>
          <w:szCs w:val="21"/>
          <w:color w:val="313131"/>
        </w:rPr>
        <w:t xml:space="preserve"> the Company.</w:t>
      </w:r>
    </w:p>
    <w:p>
      <w:pPr>
        <w:spacing w:after="0" w:line="175" w:lineRule="exact"/>
        <w:rPr>
          <w:sz w:val="20"/>
          <w:szCs w:val="20"/>
          <w:color w:val="auto"/>
        </w:rPr>
      </w:pPr>
    </w:p>
    <w:p>
      <w:pPr>
        <w:ind w:right="240" w:firstLine="549"/>
        <w:spacing w:after="0" w:line="317" w:lineRule="auto"/>
        <w:rPr>
          <w:sz w:val="20"/>
          <w:szCs w:val="20"/>
          <w:color w:val="auto"/>
        </w:rPr>
      </w:pPr>
      <w:r>
        <w:rPr>
          <w:rFonts w:ascii="Arial" w:cs="Arial" w:eastAsia="Arial" w:hAnsi="Arial"/>
          <w:sz w:val="19"/>
          <w:szCs w:val="19"/>
          <w:color w:val="232323"/>
        </w:rPr>
        <w:t xml:space="preserve">2.7 </w:t>
      </w:r>
      <w:r>
        <w:rPr>
          <w:rFonts w:ascii="Arial" w:cs="Arial" w:eastAsia="Arial" w:hAnsi="Arial"/>
          <w:sz w:val="19"/>
          <w:szCs w:val="19"/>
          <w:u w:val="single" w:color="auto"/>
          <w:color w:val="232323"/>
        </w:rPr>
        <w:t>Health Insurance</w:t>
      </w:r>
      <w:r>
        <w:rPr>
          <w:rFonts w:ascii="Arial" w:cs="Arial" w:eastAsia="Arial" w:hAnsi="Arial"/>
          <w:sz w:val="19"/>
          <w:szCs w:val="19"/>
          <w:color w:val="232323"/>
        </w:rPr>
        <w:t xml:space="preserve"> </w:t>
      </w:r>
      <w:r>
        <w:rPr>
          <w:rFonts w:ascii="Arial" w:cs="Arial" w:eastAsia="Arial" w:hAnsi="Arial"/>
          <w:sz w:val="19"/>
          <w:szCs w:val="19"/>
          <w:u w:val="single" w:color="auto"/>
          <w:color w:val="313131"/>
        </w:rPr>
        <w:t>and</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Benefits.</w:t>
      </w:r>
      <w:r>
        <w:rPr>
          <w:rFonts w:ascii="Arial" w:cs="Arial" w:eastAsia="Arial" w:hAnsi="Arial"/>
          <w:sz w:val="19"/>
          <w:szCs w:val="19"/>
          <w:color w:val="232323"/>
        </w:rPr>
        <w:t xml:space="preserve"> </w:t>
      </w:r>
      <w:r>
        <w:rPr>
          <w:rFonts w:ascii="Arial" w:cs="Arial" w:eastAsia="Arial" w:hAnsi="Arial"/>
          <w:sz w:val="19"/>
          <w:szCs w:val="19"/>
          <w:color w:val="313131"/>
        </w:rPr>
        <w:t>The Executive shall</w:t>
      </w:r>
      <w:r>
        <w:rPr>
          <w:rFonts w:ascii="Arial" w:cs="Arial" w:eastAsia="Arial" w:hAnsi="Arial"/>
          <w:sz w:val="19"/>
          <w:szCs w:val="19"/>
          <w:color w:val="232323"/>
        </w:rPr>
        <w:t xml:space="preserve"> be </w:t>
      </w:r>
      <w:r>
        <w:rPr>
          <w:rFonts w:ascii="Arial" w:cs="Arial" w:eastAsia="Arial" w:hAnsi="Arial"/>
          <w:sz w:val="19"/>
          <w:szCs w:val="19"/>
          <w:color w:val="313131"/>
        </w:rPr>
        <w:t>eligible</w:t>
      </w:r>
      <w:r>
        <w:rPr>
          <w:rFonts w:ascii="Arial" w:cs="Arial" w:eastAsia="Arial" w:hAnsi="Arial"/>
          <w:sz w:val="19"/>
          <w:szCs w:val="19"/>
          <w:color w:val="232323"/>
        </w:rPr>
        <w:t xml:space="preserve"> to </w:t>
      </w:r>
      <w:r>
        <w:rPr>
          <w:rFonts w:ascii="Arial" w:cs="Arial" w:eastAsia="Arial" w:hAnsi="Arial"/>
          <w:sz w:val="19"/>
          <w:szCs w:val="19"/>
          <w:color w:val="313131"/>
        </w:rPr>
        <w:t>participate</w:t>
      </w:r>
      <w:r>
        <w:rPr>
          <w:rFonts w:ascii="Arial" w:cs="Arial" w:eastAsia="Arial" w:hAnsi="Arial"/>
          <w:sz w:val="19"/>
          <w:szCs w:val="19"/>
          <w:color w:val="232323"/>
        </w:rPr>
        <w:t xml:space="preserve"> </w:t>
      </w:r>
      <w:r>
        <w:rPr>
          <w:rFonts w:ascii="Arial" w:cs="Arial" w:eastAsia="Arial" w:hAnsi="Arial"/>
          <w:sz w:val="16"/>
          <w:szCs w:val="16"/>
          <w:color w:val="232323"/>
        </w:rPr>
        <w:t>in</w:t>
      </w:r>
      <w:r>
        <w:rPr>
          <w:rFonts w:ascii="Arial" w:cs="Arial" w:eastAsia="Arial" w:hAnsi="Arial"/>
          <w:sz w:val="19"/>
          <w:szCs w:val="19"/>
          <w:color w:val="232323"/>
        </w:rPr>
        <w:t xml:space="preserve"> </w:t>
      </w:r>
      <w:r>
        <w:rPr>
          <w:rFonts w:ascii="Arial" w:cs="Arial" w:eastAsia="Arial" w:hAnsi="Arial"/>
          <w:sz w:val="19"/>
          <w:szCs w:val="19"/>
          <w:color w:val="313131"/>
        </w:rPr>
        <w:t>the Company's</w:t>
      </w:r>
      <w:r>
        <w:rPr>
          <w:rFonts w:ascii="Arial" w:cs="Arial" w:eastAsia="Arial" w:hAnsi="Arial"/>
          <w:sz w:val="19"/>
          <w:szCs w:val="19"/>
          <w:color w:val="232323"/>
        </w:rPr>
        <w:t xml:space="preserve"> health</w:t>
      </w:r>
      <w:r>
        <w:rPr>
          <w:rFonts w:ascii="Arial" w:cs="Arial" w:eastAsia="Arial" w:hAnsi="Arial"/>
          <w:sz w:val="19"/>
          <w:szCs w:val="19"/>
          <w:color w:val="484848"/>
        </w:rPr>
        <w:t>,</w:t>
      </w:r>
      <w:r>
        <w:rPr>
          <w:rFonts w:ascii="Arial" w:cs="Arial" w:eastAsia="Arial" w:hAnsi="Arial"/>
          <w:sz w:val="19"/>
          <w:szCs w:val="19"/>
          <w:color w:val="232323"/>
        </w:rPr>
        <w:t xml:space="preserve"> dental and </w:t>
      </w:r>
      <w:r>
        <w:rPr>
          <w:rFonts w:ascii="Arial" w:cs="Arial" w:eastAsia="Arial" w:hAnsi="Arial"/>
          <w:sz w:val="19"/>
          <w:szCs w:val="19"/>
          <w:color w:val="313131"/>
        </w:rPr>
        <w:t>vision</w:t>
      </w:r>
      <w:r>
        <w:rPr>
          <w:rFonts w:ascii="Arial" w:cs="Arial" w:eastAsia="Arial" w:hAnsi="Arial"/>
          <w:sz w:val="19"/>
          <w:szCs w:val="19"/>
          <w:color w:val="232323"/>
        </w:rPr>
        <w:t xml:space="preserve"> plan</w:t>
      </w:r>
      <w:r>
        <w:rPr>
          <w:rFonts w:ascii="Arial" w:cs="Arial" w:eastAsia="Arial" w:hAnsi="Arial"/>
          <w:sz w:val="19"/>
          <w:szCs w:val="19"/>
          <w:color w:val="484848"/>
        </w:rPr>
        <w:t>s,</w:t>
      </w:r>
      <w:r>
        <w:rPr>
          <w:rFonts w:ascii="Arial" w:cs="Arial" w:eastAsia="Arial" w:hAnsi="Arial"/>
          <w:sz w:val="19"/>
          <w:szCs w:val="19"/>
          <w:color w:val="232323"/>
        </w:rPr>
        <w:t xml:space="preserve"> </w:t>
      </w:r>
      <w:r>
        <w:rPr>
          <w:rFonts w:ascii="Arial" w:cs="Arial" w:eastAsia="Arial" w:hAnsi="Arial"/>
          <w:sz w:val="19"/>
          <w:szCs w:val="19"/>
          <w:color w:val="313131"/>
        </w:rPr>
        <w:t>as well as</w:t>
      </w:r>
      <w:r>
        <w:rPr>
          <w:rFonts w:ascii="Arial" w:cs="Arial" w:eastAsia="Arial" w:hAnsi="Arial"/>
          <w:sz w:val="19"/>
          <w:szCs w:val="19"/>
          <w:color w:val="232323"/>
        </w:rPr>
        <w:t xml:space="preserve"> the </w:t>
      </w:r>
      <w:r>
        <w:rPr>
          <w:rFonts w:ascii="Arial" w:cs="Arial" w:eastAsia="Arial" w:hAnsi="Arial"/>
          <w:sz w:val="19"/>
          <w:szCs w:val="19"/>
          <w:color w:val="484848"/>
        </w:rPr>
        <w:t>C</w:t>
      </w:r>
      <w:r>
        <w:rPr>
          <w:rFonts w:ascii="Arial" w:cs="Arial" w:eastAsia="Arial" w:hAnsi="Arial"/>
          <w:sz w:val="19"/>
          <w:szCs w:val="19"/>
          <w:color w:val="232323"/>
        </w:rPr>
        <w:t>ompany</w:t>
      </w:r>
      <w:r>
        <w:rPr>
          <w:rFonts w:ascii="Arial" w:cs="Arial" w:eastAsia="Arial" w:hAnsi="Arial"/>
          <w:sz w:val="19"/>
          <w:szCs w:val="19"/>
          <w:color w:val="484848"/>
        </w:rPr>
        <w:t>'s</w:t>
      </w:r>
      <w:r>
        <w:rPr>
          <w:rFonts w:ascii="Arial" w:cs="Arial" w:eastAsia="Arial" w:hAnsi="Arial"/>
          <w:sz w:val="19"/>
          <w:szCs w:val="19"/>
          <w:color w:val="232323"/>
        </w:rPr>
        <w:t xml:space="preserve"> </w:t>
      </w:r>
      <w:r>
        <w:rPr>
          <w:rFonts w:ascii="Arial" w:cs="Arial" w:eastAsia="Arial" w:hAnsi="Arial"/>
          <w:sz w:val="19"/>
          <w:szCs w:val="19"/>
          <w:color w:val="313131"/>
        </w:rPr>
        <w:t>401k</w:t>
      </w:r>
      <w:r>
        <w:rPr>
          <w:rFonts w:ascii="Arial" w:cs="Arial" w:eastAsia="Arial" w:hAnsi="Arial"/>
          <w:sz w:val="19"/>
          <w:szCs w:val="19"/>
          <w:color w:val="232323"/>
        </w:rPr>
        <w:t xml:space="preserve"> program</w:t>
      </w:r>
      <w:r>
        <w:rPr>
          <w:rFonts w:ascii="Arial" w:cs="Arial" w:eastAsia="Arial" w:hAnsi="Arial"/>
          <w:sz w:val="19"/>
          <w:szCs w:val="19"/>
          <w:color w:val="484848"/>
        </w:rPr>
        <w:t>,</w:t>
      </w:r>
      <w:r>
        <w:rPr>
          <w:rFonts w:ascii="Arial" w:cs="Arial" w:eastAsia="Arial" w:hAnsi="Arial"/>
          <w:sz w:val="19"/>
          <w:szCs w:val="19"/>
          <w:color w:val="232323"/>
        </w:rPr>
        <w:t xml:space="preserve"> pursuant </w:t>
      </w:r>
      <w:r>
        <w:rPr>
          <w:rFonts w:ascii="Arial" w:cs="Arial" w:eastAsia="Arial" w:hAnsi="Arial"/>
          <w:sz w:val="19"/>
          <w:szCs w:val="19"/>
          <w:color w:val="313131"/>
        </w:rPr>
        <w:t>to the</w:t>
      </w:r>
      <w:r>
        <w:rPr>
          <w:rFonts w:ascii="Arial" w:cs="Arial" w:eastAsia="Arial" w:hAnsi="Arial"/>
          <w:sz w:val="19"/>
          <w:szCs w:val="19"/>
          <w:color w:val="232323"/>
        </w:rPr>
        <w:t xml:space="preserve"> terms </w:t>
      </w:r>
      <w:r>
        <w:rPr>
          <w:rFonts w:ascii="Arial" w:cs="Arial" w:eastAsia="Arial" w:hAnsi="Arial"/>
          <w:sz w:val="19"/>
          <w:szCs w:val="19"/>
          <w:color w:val="313131"/>
        </w:rPr>
        <w:t>of</w:t>
      </w:r>
      <w:r>
        <w:rPr>
          <w:rFonts w:ascii="Arial" w:cs="Arial" w:eastAsia="Arial" w:hAnsi="Arial"/>
          <w:sz w:val="19"/>
          <w:szCs w:val="19"/>
          <w:color w:val="232323"/>
        </w:rPr>
        <w:t xml:space="preserve"> these plans </w:t>
      </w:r>
      <w:r>
        <w:rPr>
          <w:rFonts w:ascii="Arial" w:cs="Arial" w:eastAsia="Arial" w:hAnsi="Arial"/>
          <w:sz w:val="19"/>
          <w:szCs w:val="19"/>
          <w:color w:val="313131"/>
        </w:rPr>
        <w:t>and</w:t>
      </w:r>
      <w:r>
        <w:rPr>
          <w:rFonts w:ascii="Arial" w:cs="Arial" w:eastAsia="Arial" w:hAnsi="Arial"/>
          <w:sz w:val="19"/>
          <w:szCs w:val="19"/>
          <w:color w:val="232323"/>
        </w:rPr>
        <w:t xml:space="preserve"> programs.</w:t>
      </w:r>
    </w:p>
    <w:p>
      <w:pPr>
        <w:spacing w:after="0" w:line="92" w:lineRule="exact"/>
        <w:rPr>
          <w:sz w:val="20"/>
          <w:szCs w:val="20"/>
          <w:color w:val="auto"/>
        </w:rPr>
      </w:pPr>
    </w:p>
    <w:p>
      <w:pPr>
        <w:ind w:left="600" w:hanging="595"/>
        <w:spacing w:after="0"/>
        <w:tabs>
          <w:tab w:leader="none" w:pos="600" w:val="left"/>
        </w:tabs>
        <w:numPr>
          <w:ilvl w:val="0"/>
          <w:numId w:val="170"/>
        </w:numPr>
        <w:rPr>
          <w:rFonts w:ascii="Arial" w:cs="Arial" w:eastAsia="Arial" w:hAnsi="Arial"/>
          <w:sz w:val="20"/>
          <w:szCs w:val="20"/>
          <w:b w:val="1"/>
          <w:bCs w:val="1"/>
          <w:color w:val="232323"/>
        </w:rPr>
      </w:pPr>
      <w:r>
        <w:rPr>
          <w:rFonts w:ascii="Arial" w:cs="Arial" w:eastAsia="Arial" w:hAnsi="Arial"/>
          <w:sz w:val="21"/>
          <w:szCs w:val="21"/>
          <w:b w:val="1"/>
          <w:bCs w:val="1"/>
          <w:color w:val="232323"/>
        </w:rPr>
        <w:t xml:space="preserve">Term </w:t>
      </w:r>
      <w:r>
        <w:rPr>
          <w:rFonts w:ascii="Arial" w:cs="Arial" w:eastAsia="Arial" w:hAnsi="Arial"/>
          <w:sz w:val="21"/>
          <w:szCs w:val="21"/>
          <w:b w:val="1"/>
          <w:bCs w:val="1"/>
          <w:color w:val="313131"/>
        </w:rPr>
        <w:t>and</w:t>
      </w:r>
      <w:r>
        <w:rPr>
          <w:rFonts w:ascii="Arial" w:cs="Arial" w:eastAsia="Arial" w:hAnsi="Arial"/>
          <w:sz w:val="21"/>
          <w:szCs w:val="21"/>
          <w:b w:val="1"/>
          <w:bCs w:val="1"/>
          <w:color w:val="232323"/>
        </w:rPr>
        <w:t xml:space="preserve"> Termination of Employment</w:t>
      </w:r>
    </w:p>
    <w:p>
      <w:pPr>
        <w:spacing w:after="0" w:line="210" w:lineRule="exact"/>
        <w:rPr>
          <w:sz w:val="20"/>
          <w:szCs w:val="20"/>
          <w:color w:val="auto"/>
        </w:rPr>
      </w:pPr>
    </w:p>
    <w:p>
      <w:pPr>
        <w:ind w:left="20" w:firstLine="546"/>
        <w:spacing w:after="0" w:line="283" w:lineRule="auto"/>
        <w:rPr>
          <w:sz w:val="20"/>
          <w:szCs w:val="20"/>
          <w:color w:val="auto"/>
        </w:rPr>
      </w:pPr>
      <w:r>
        <w:rPr>
          <w:rFonts w:ascii="Arial" w:cs="Arial" w:eastAsia="Arial" w:hAnsi="Arial"/>
          <w:sz w:val="19"/>
          <w:szCs w:val="19"/>
          <w:color w:val="313131"/>
        </w:rPr>
        <w:t xml:space="preserve">3.1 </w:t>
      </w:r>
      <w:r>
        <w:rPr>
          <w:rFonts w:ascii="Arial" w:cs="Arial" w:eastAsia="Arial" w:hAnsi="Arial"/>
          <w:sz w:val="19"/>
          <w:szCs w:val="19"/>
          <w:u w:val="single" w:color="auto"/>
          <w:color w:val="313131"/>
        </w:rPr>
        <w:t>At-Will Employment.</w:t>
      </w:r>
      <w:r>
        <w:rPr>
          <w:rFonts w:ascii="Arial" w:cs="Arial" w:eastAsia="Arial" w:hAnsi="Arial"/>
          <w:sz w:val="19"/>
          <w:szCs w:val="19"/>
          <w:color w:val="313131"/>
        </w:rPr>
        <w:t xml:space="preserve"> The </w:t>
      </w:r>
      <w:r>
        <w:rPr>
          <w:rFonts w:ascii="Arial" w:cs="Arial" w:eastAsia="Arial" w:hAnsi="Arial"/>
          <w:sz w:val="19"/>
          <w:szCs w:val="19"/>
          <w:color w:val="484848"/>
        </w:rPr>
        <w:t>Co</w:t>
      </w:r>
      <w:r>
        <w:rPr>
          <w:rFonts w:ascii="Arial" w:cs="Arial" w:eastAsia="Arial" w:hAnsi="Arial"/>
          <w:sz w:val="19"/>
          <w:szCs w:val="19"/>
          <w:color w:val="232323"/>
        </w:rPr>
        <w:t>mpany</w:t>
      </w:r>
      <w:r>
        <w:rPr>
          <w:rFonts w:ascii="Arial" w:cs="Arial" w:eastAsia="Arial" w:hAnsi="Arial"/>
          <w:sz w:val="19"/>
          <w:szCs w:val="19"/>
          <w:color w:val="313131"/>
        </w:rPr>
        <w:t xml:space="preserve"> and the Executive </w:t>
      </w:r>
      <w:r>
        <w:rPr>
          <w:rFonts w:ascii="Arial" w:cs="Arial" w:eastAsia="Arial" w:hAnsi="Arial"/>
          <w:sz w:val="19"/>
          <w:szCs w:val="19"/>
          <w:color w:val="232323"/>
        </w:rPr>
        <w:t>her</w:t>
      </w:r>
      <w:r>
        <w:rPr>
          <w:rFonts w:ascii="Arial" w:cs="Arial" w:eastAsia="Arial" w:hAnsi="Arial"/>
          <w:sz w:val="19"/>
          <w:szCs w:val="19"/>
          <w:color w:val="484848"/>
        </w:rPr>
        <w:t>e</w:t>
      </w:r>
      <w:r>
        <w:rPr>
          <w:rFonts w:ascii="Arial" w:cs="Arial" w:eastAsia="Arial" w:hAnsi="Arial"/>
          <w:sz w:val="19"/>
          <w:szCs w:val="19"/>
          <w:color w:val="232323"/>
        </w:rPr>
        <w:t>by</w:t>
      </w:r>
      <w:r>
        <w:rPr>
          <w:rFonts w:ascii="Arial" w:cs="Arial" w:eastAsia="Arial" w:hAnsi="Arial"/>
          <w:sz w:val="19"/>
          <w:szCs w:val="19"/>
          <w:color w:val="313131"/>
        </w:rPr>
        <w:t xml:space="preserve"> agree </w:t>
      </w:r>
      <w:r>
        <w:rPr>
          <w:rFonts w:ascii="Arial" w:cs="Arial" w:eastAsia="Arial" w:hAnsi="Arial"/>
          <w:sz w:val="19"/>
          <w:szCs w:val="19"/>
          <w:color w:val="232323"/>
        </w:rPr>
        <w:t>that</w:t>
      </w:r>
      <w:r>
        <w:rPr>
          <w:rFonts w:ascii="Arial" w:cs="Arial" w:eastAsia="Arial" w:hAnsi="Arial"/>
          <w:sz w:val="19"/>
          <w:szCs w:val="19"/>
          <w:color w:val="313131"/>
        </w:rPr>
        <w:t xml:space="preserve"> the Executive's </w:t>
      </w:r>
      <w:r>
        <w:rPr>
          <w:rFonts w:ascii="Arial" w:cs="Arial" w:eastAsia="Arial" w:hAnsi="Arial"/>
          <w:sz w:val="19"/>
          <w:szCs w:val="19"/>
          <w:color w:val="232323"/>
        </w:rPr>
        <w:t>employment</w:t>
      </w:r>
      <w:r>
        <w:rPr>
          <w:rFonts w:ascii="Arial" w:cs="Arial" w:eastAsia="Arial" w:hAnsi="Arial"/>
          <w:sz w:val="19"/>
          <w:szCs w:val="19"/>
          <w:color w:val="313131"/>
        </w:rPr>
        <w:t xml:space="preserve"> </w:t>
      </w:r>
      <w:r>
        <w:rPr>
          <w:rFonts w:ascii="Arial" w:cs="Arial" w:eastAsia="Arial" w:hAnsi="Arial"/>
          <w:sz w:val="19"/>
          <w:szCs w:val="19"/>
          <w:color w:val="232323"/>
        </w:rPr>
        <w:t xml:space="preserve">by </w:t>
      </w:r>
      <w:r>
        <w:rPr>
          <w:rFonts w:ascii="Arial" w:cs="Arial" w:eastAsia="Arial" w:hAnsi="Arial"/>
          <w:sz w:val="19"/>
          <w:szCs w:val="19"/>
          <w:color w:val="313131"/>
        </w:rPr>
        <w:t>the Company shall</w:t>
      </w:r>
      <w:r>
        <w:rPr>
          <w:rFonts w:ascii="Arial" w:cs="Arial" w:eastAsia="Arial" w:hAnsi="Arial"/>
          <w:sz w:val="19"/>
          <w:szCs w:val="19"/>
          <w:color w:val="232323"/>
        </w:rPr>
        <w:t xml:space="preserve"> be </w:t>
      </w:r>
      <w:r>
        <w:rPr>
          <w:rFonts w:ascii="Arial" w:cs="Arial" w:eastAsia="Arial" w:hAnsi="Arial"/>
          <w:sz w:val="19"/>
          <w:szCs w:val="19"/>
          <w:color w:val="484848"/>
        </w:rPr>
        <w:t>"at</w:t>
      </w:r>
      <w:r>
        <w:rPr>
          <w:rFonts w:ascii="Arial" w:cs="Arial" w:eastAsia="Arial" w:hAnsi="Arial"/>
          <w:sz w:val="19"/>
          <w:szCs w:val="19"/>
          <w:color w:val="232323"/>
        </w:rPr>
        <w:t>-will</w:t>
      </w:r>
      <w:r>
        <w:rPr>
          <w:rFonts w:ascii="Arial" w:cs="Arial" w:eastAsia="Arial" w:hAnsi="Arial"/>
          <w:sz w:val="19"/>
          <w:szCs w:val="19"/>
          <w:color w:val="484848"/>
        </w:rPr>
        <w:t>"</w:t>
      </w:r>
      <w:r>
        <w:rPr>
          <w:rFonts w:ascii="Arial" w:cs="Arial" w:eastAsia="Arial" w:hAnsi="Arial"/>
          <w:sz w:val="19"/>
          <w:szCs w:val="19"/>
          <w:color w:val="232323"/>
        </w:rPr>
        <w:t xml:space="preserve"> </w:t>
      </w:r>
      <w:r>
        <w:rPr>
          <w:rFonts w:ascii="Arial" w:cs="Arial" w:eastAsia="Arial" w:hAnsi="Arial"/>
          <w:sz w:val="19"/>
          <w:szCs w:val="19"/>
          <w:color w:val="313131"/>
        </w:rPr>
        <w:t>and for an indefinite period of time. Subject</w:t>
      </w:r>
      <w:r>
        <w:rPr>
          <w:rFonts w:ascii="Arial" w:cs="Arial" w:eastAsia="Arial" w:hAnsi="Arial"/>
          <w:sz w:val="19"/>
          <w:szCs w:val="19"/>
          <w:color w:val="232323"/>
        </w:rPr>
        <w:t xml:space="preserve"> to </w:t>
      </w:r>
      <w:r>
        <w:rPr>
          <w:rFonts w:ascii="Arial" w:cs="Arial" w:eastAsia="Arial" w:hAnsi="Arial"/>
          <w:sz w:val="19"/>
          <w:szCs w:val="19"/>
          <w:color w:val="313131"/>
        </w:rPr>
        <w:t>the provisions of</w:t>
      </w:r>
      <w:r>
        <w:rPr>
          <w:rFonts w:ascii="Arial" w:cs="Arial" w:eastAsia="Arial" w:hAnsi="Arial"/>
          <w:sz w:val="19"/>
          <w:szCs w:val="19"/>
          <w:color w:val="232323"/>
        </w:rPr>
        <w:t xml:space="preserve"> this </w:t>
      </w:r>
      <w:r>
        <w:rPr>
          <w:rFonts w:ascii="Arial" w:cs="Arial" w:eastAsia="Arial" w:hAnsi="Arial"/>
          <w:sz w:val="19"/>
          <w:szCs w:val="19"/>
          <w:color w:val="313131"/>
        </w:rPr>
        <w:t>Section,</w:t>
      </w:r>
      <w:r>
        <w:rPr>
          <w:rFonts w:ascii="Arial" w:cs="Arial" w:eastAsia="Arial" w:hAnsi="Arial"/>
          <w:sz w:val="19"/>
          <w:szCs w:val="19"/>
          <w:color w:val="232323"/>
        </w:rPr>
        <w:t xml:space="preserve"> both the </w:t>
      </w:r>
      <w:r>
        <w:rPr>
          <w:rFonts w:ascii="Arial" w:cs="Arial" w:eastAsia="Arial" w:hAnsi="Arial"/>
          <w:sz w:val="19"/>
          <w:szCs w:val="19"/>
          <w:color w:val="313131"/>
        </w:rPr>
        <w:t xml:space="preserve">Executive and the Company </w:t>
      </w:r>
      <w:r>
        <w:rPr>
          <w:rFonts w:ascii="Arial" w:cs="Arial" w:eastAsia="Arial" w:hAnsi="Arial"/>
          <w:sz w:val="19"/>
          <w:szCs w:val="19"/>
          <w:color w:val="484848"/>
        </w:rPr>
        <w:t>s</w:t>
      </w:r>
      <w:r>
        <w:rPr>
          <w:rFonts w:ascii="Arial" w:cs="Arial" w:eastAsia="Arial" w:hAnsi="Arial"/>
          <w:sz w:val="19"/>
          <w:szCs w:val="19"/>
          <w:color w:val="232323"/>
        </w:rPr>
        <w:t>h</w:t>
      </w:r>
      <w:r>
        <w:rPr>
          <w:rFonts w:ascii="Arial" w:cs="Arial" w:eastAsia="Arial" w:hAnsi="Arial"/>
          <w:sz w:val="19"/>
          <w:szCs w:val="19"/>
          <w:color w:val="484848"/>
        </w:rPr>
        <w:t>a</w:t>
      </w:r>
      <w:r>
        <w:rPr>
          <w:rFonts w:ascii="Arial" w:cs="Arial" w:eastAsia="Arial" w:hAnsi="Arial"/>
          <w:sz w:val="19"/>
          <w:szCs w:val="19"/>
          <w:color w:val="232323"/>
        </w:rPr>
        <w:t>ll</w:t>
      </w:r>
      <w:r>
        <w:rPr>
          <w:rFonts w:ascii="Arial" w:cs="Arial" w:eastAsia="Arial" w:hAnsi="Arial"/>
          <w:sz w:val="19"/>
          <w:szCs w:val="19"/>
          <w:color w:val="313131"/>
        </w:rPr>
        <w:t xml:space="preserve"> have the </w:t>
      </w:r>
      <w:r>
        <w:rPr>
          <w:rFonts w:ascii="Arial" w:cs="Arial" w:eastAsia="Arial" w:hAnsi="Arial"/>
          <w:sz w:val="19"/>
          <w:szCs w:val="19"/>
          <w:color w:val="232323"/>
        </w:rPr>
        <w:t>right to terminate</w:t>
      </w:r>
      <w:r>
        <w:rPr>
          <w:rFonts w:ascii="Arial" w:cs="Arial" w:eastAsia="Arial" w:hAnsi="Arial"/>
          <w:sz w:val="19"/>
          <w:szCs w:val="19"/>
          <w:color w:val="313131"/>
        </w:rPr>
        <w:t xml:space="preserve"> this Agreement and the employment relationship at any time and for any reason, </w:t>
      </w:r>
      <w:r>
        <w:rPr>
          <w:rFonts w:ascii="Arial" w:cs="Arial" w:eastAsia="Arial" w:hAnsi="Arial"/>
          <w:sz w:val="19"/>
          <w:szCs w:val="19"/>
          <w:color w:val="232323"/>
        </w:rPr>
        <w:t>with</w:t>
      </w:r>
      <w:r>
        <w:rPr>
          <w:rFonts w:ascii="Arial" w:cs="Arial" w:eastAsia="Arial" w:hAnsi="Arial"/>
          <w:sz w:val="19"/>
          <w:szCs w:val="19"/>
          <w:color w:val="313131"/>
        </w:rPr>
        <w:t xml:space="preserve"> or without Cause, with or without Good </w:t>
      </w:r>
      <w:r>
        <w:rPr>
          <w:rFonts w:ascii="Arial" w:cs="Arial" w:eastAsia="Arial" w:hAnsi="Arial"/>
          <w:sz w:val="19"/>
          <w:szCs w:val="19"/>
          <w:color w:val="232323"/>
        </w:rPr>
        <w:t>Reason</w:t>
      </w:r>
      <w:r>
        <w:rPr>
          <w:rFonts w:ascii="Arial" w:cs="Arial" w:eastAsia="Arial" w:hAnsi="Arial"/>
          <w:sz w:val="19"/>
          <w:szCs w:val="19"/>
          <w:color w:val="484848"/>
        </w:rPr>
        <w:t>,</w:t>
      </w:r>
      <w:r>
        <w:rPr>
          <w:rFonts w:ascii="Arial" w:cs="Arial" w:eastAsia="Arial" w:hAnsi="Arial"/>
          <w:sz w:val="19"/>
          <w:szCs w:val="19"/>
          <w:color w:val="313131"/>
        </w:rPr>
        <w:t xml:space="preserve"> and with </w:t>
      </w:r>
      <w:r>
        <w:rPr>
          <w:rFonts w:ascii="Arial" w:cs="Arial" w:eastAsia="Arial" w:hAnsi="Arial"/>
          <w:sz w:val="19"/>
          <w:szCs w:val="19"/>
          <w:color w:val="232323"/>
        </w:rPr>
        <w:t>or</w:t>
      </w:r>
      <w:r>
        <w:rPr>
          <w:rFonts w:ascii="Arial" w:cs="Arial" w:eastAsia="Arial" w:hAnsi="Arial"/>
          <w:sz w:val="19"/>
          <w:szCs w:val="19"/>
          <w:color w:val="313131"/>
        </w:rPr>
        <w:t xml:space="preserve"> without advance </w:t>
      </w:r>
      <w:r>
        <w:rPr>
          <w:rFonts w:ascii="Arial" w:cs="Arial" w:eastAsia="Arial" w:hAnsi="Arial"/>
          <w:sz w:val="16"/>
          <w:szCs w:val="16"/>
          <w:color w:val="313131"/>
        </w:rPr>
        <w:t>notice.</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313131"/>
        </w:rPr>
        <w:t>3.2</w:t>
      </w:r>
      <w:r>
        <w:rPr>
          <w:sz w:val="20"/>
          <w:szCs w:val="20"/>
          <w:color w:val="auto"/>
        </w:rPr>
        <w:tab/>
      </w:r>
      <w:r>
        <w:rPr>
          <w:rFonts w:ascii="Arial" w:cs="Arial" w:eastAsia="Arial" w:hAnsi="Arial"/>
          <w:sz w:val="20"/>
          <w:szCs w:val="20"/>
          <w:u w:val="single" w:color="auto"/>
          <w:color w:val="232323"/>
        </w:rPr>
        <w:t>Definitions</w:t>
      </w:r>
      <w:r>
        <w:rPr>
          <w:rFonts w:ascii="Arial" w:cs="Arial" w:eastAsia="Arial" w:hAnsi="Arial"/>
          <w:sz w:val="20"/>
          <w:szCs w:val="20"/>
          <w:color w:val="484848"/>
        </w:rPr>
        <w:t>.</w:t>
      </w:r>
    </w:p>
    <w:p>
      <w:pPr>
        <w:spacing w:after="0" w:line="191" w:lineRule="exact"/>
        <w:rPr>
          <w:sz w:val="20"/>
          <w:szCs w:val="20"/>
          <w:color w:val="auto"/>
        </w:rPr>
      </w:pPr>
    </w:p>
    <w:p>
      <w:pPr>
        <w:ind w:left="2140" w:hanging="876"/>
        <w:spacing w:after="0"/>
        <w:tabs>
          <w:tab w:leader="none" w:pos="2140" w:val="left"/>
        </w:tabs>
        <w:numPr>
          <w:ilvl w:val="1"/>
          <w:numId w:val="171"/>
        </w:numPr>
        <w:rPr>
          <w:rFonts w:ascii="Arial" w:cs="Arial" w:eastAsia="Arial" w:hAnsi="Arial"/>
          <w:sz w:val="20"/>
          <w:szCs w:val="20"/>
          <w:color w:val="313131"/>
        </w:rPr>
      </w:pPr>
      <w:r>
        <w:rPr>
          <w:rFonts w:ascii="Arial" w:cs="Arial" w:eastAsia="Arial" w:hAnsi="Arial"/>
          <w:sz w:val="19"/>
          <w:szCs w:val="19"/>
          <w:b w:val="1"/>
          <w:bCs w:val="1"/>
          <w:color w:val="313131"/>
        </w:rPr>
        <w:t xml:space="preserve">Cause. </w:t>
      </w:r>
      <w:r>
        <w:rPr>
          <w:rFonts w:ascii="Arial" w:cs="Arial" w:eastAsia="Arial" w:hAnsi="Arial"/>
          <w:sz w:val="19"/>
          <w:szCs w:val="19"/>
          <w:color w:val="313131"/>
        </w:rPr>
        <w:t>For</w:t>
      </w:r>
      <w:r>
        <w:rPr>
          <w:rFonts w:ascii="Arial" w:cs="Arial" w:eastAsia="Arial" w:hAnsi="Arial"/>
          <w:sz w:val="19"/>
          <w:szCs w:val="19"/>
          <w:b w:val="1"/>
          <w:bCs w:val="1"/>
          <w:color w:val="313131"/>
        </w:rPr>
        <w:t xml:space="preserve"> </w:t>
      </w:r>
      <w:r>
        <w:rPr>
          <w:rFonts w:ascii="Arial" w:cs="Arial" w:eastAsia="Arial" w:hAnsi="Arial"/>
          <w:sz w:val="19"/>
          <w:szCs w:val="19"/>
          <w:color w:val="232323"/>
        </w:rPr>
        <w:t>purposes of</w:t>
      </w:r>
      <w:r>
        <w:rPr>
          <w:rFonts w:ascii="Arial" w:cs="Arial" w:eastAsia="Arial" w:hAnsi="Arial"/>
          <w:sz w:val="19"/>
          <w:szCs w:val="19"/>
          <w:b w:val="1"/>
          <w:bCs w:val="1"/>
          <w:color w:val="313131"/>
        </w:rPr>
        <w:t xml:space="preserve"> </w:t>
      </w:r>
      <w:r>
        <w:rPr>
          <w:rFonts w:ascii="Arial" w:cs="Arial" w:eastAsia="Arial" w:hAnsi="Arial"/>
          <w:sz w:val="19"/>
          <w:szCs w:val="19"/>
          <w:color w:val="313131"/>
        </w:rPr>
        <w:t>this Agreement, "Cause</w:t>
      </w:r>
      <w:r>
        <w:rPr>
          <w:rFonts w:ascii="Arial" w:cs="Arial" w:eastAsia="Arial" w:hAnsi="Arial"/>
          <w:sz w:val="19"/>
          <w:szCs w:val="19"/>
          <w:color w:val="5B5B5B"/>
        </w:rPr>
        <w:t>"</w:t>
      </w:r>
      <w:r>
        <w:rPr>
          <w:rFonts w:ascii="Arial" w:cs="Arial" w:eastAsia="Arial" w:hAnsi="Arial"/>
          <w:sz w:val="19"/>
          <w:szCs w:val="19"/>
          <w:b w:val="1"/>
          <w:bCs w:val="1"/>
          <w:color w:val="313131"/>
        </w:rPr>
        <w:t xml:space="preserve"> </w:t>
      </w:r>
      <w:r>
        <w:rPr>
          <w:rFonts w:ascii="Arial" w:cs="Arial" w:eastAsia="Arial" w:hAnsi="Arial"/>
          <w:sz w:val="19"/>
          <w:szCs w:val="19"/>
          <w:color w:val="313131"/>
        </w:rPr>
        <w:t>shall</w:t>
      </w:r>
      <w:r>
        <w:rPr>
          <w:rFonts w:ascii="Arial" w:cs="Arial" w:eastAsia="Arial" w:hAnsi="Arial"/>
          <w:sz w:val="19"/>
          <w:szCs w:val="19"/>
          <w:b w:val="1"/>
          <w:bCs w:val="1"/>
          <w:color w:val="313131"/>
        </w:rPr>
        <w:t xml:space="preserve"> </w:t>
      </w:r>
      <w:r>
        <w:rPr>
          <w:rFonts w:ascii="Arial" w:cs="Arial" w:eastAsia="Arial" w:hAnsi="Arial"/>
          <w:sz w:val="19"/>
          <w:szCs w:val="19"/>
          <w:color w:val="232323"/>
        </w:rPr>
        <w:t>mean the</w:t>
      </w:r>
      <w:r>
        <w:rPr>
          <w:rFonts w:ascii="Arial" w:cs="Arial" w:eastAsia="Arial" w:hAnsi="Arial"/>
          <w:sz w:val="19"/>
          <w:szCs w:val="19"/>
          <w:b w:val="1"/>
          <w:bCs w:val="1"/>
          <w:color w:val="313131"/>
        </w:rPr>
        <w:t xml:space="preserve"> </w:t>
      </w:r>
      <w:r>
        <w:rPr>
          <w:rFonts w:ascii="Arial" w:cs="Arial" w:eastAsia="Arial" w:hAnsi="Arial"/>
          <w:sz w:val="19"/>
          <w:szCs w:val="19"/>
          <w:color w:val="313131"/>
        </w:rPr>
        <w:t>occurrence of one or more of</w:t>
      </w:r>
    </w:p>
    <w:p>
      <w:pPr>
        <w:spacing w:after="0" w:line="31" w:lineRule="exact"/>
        <w:rPr>
          <w:rFonts w:ascii="Arial" w:cs="Arial" w:eastAsia="Arial" w:hAnsi="Arial"/>
          <w:sz w:val="20"/>
          <w:szCs w:val="20"/>
          <w:color w:val="313131"/>
        </w:rPr>
      </w:pPr>
    </w:p>
    <w:p>
      <w:pPr>
        <w:ind w:left="20"/>
        <w:spacing w:after="0"/>
        <w:rPr>
          <w:rFonts w:ascii="Arial" w:cs="Arial" w:eastAsia="Arial" w:hAnsi="Arial"/>
          <w:sz w:val="20"/>
          <w:szCs w:val="20"/>
          <w:color w:val="313131"/>
        </w:rPr>
      </w:pPr>
      <w:r>
        <w:rPr>
          <w:rFonts w:ascii="Arial" w:cs="Arial" w:eastAsia="Arial" w:hAnsi="Arial"/>
          <w:sz w:val="20"/>
          <w:szCs w:val="20"/>
          <w:color w:val="232323"/>
        </w:rPr>
        <w:t xml:space="preserve">the </w:t>
      </w:r>
      <w:r>
        <w:rPr>
          <w:rFonts w:ascii="Arial" w:cs="Arial" w:eastAsia="Arial" w:hAnsi="Arial"/>
          <w:sz w:val="20"/>
          <w:szCs w:val="20"/>
          <w:color w:val="313131"/>
        </w:rPr>
        <w:t>following: (i) conviction of, or a</w:t>
      </w:r>
      <w:r>
        <w:rPr>
          <w:rFonts w:ascii="Arial" w:cs="Arial" w:eastAsia="Arial" w:hAnsi="Arial"/>
          <w:sz w:val="20"/>
          <w:szCs w:val="20"/>
          <w:color w:val="232323"/>
        </w:rPr>
        <w:t xml:space="preserve"> pl</w:t>
      </w:r>
      <w:r>
        <w:rPr>
          <w:rFonts w:ascii="Arial" w:cs="Arial" w:eastAsia="Arial" w:hAnsi="Arial"/>
          <w:sz w:val="20"/>
          <w:szCs w:val="20"/>
          <w:color w:val="484848"/>
        </w:rPr>
        <w:t>ea</w:t>
      </w:r>
      <w:r>
        <w:rPr>
          <w:rFonts w:ascii="Arial" w:cs="Arial" w:eastAsia="Arial" w:hAnsi="Arial"/>
          <w:sz w:val="20"/>
          <w:szCs w:val="20"/>
          <w:color w:val="232323"/>
        </w:rPr>
        <w:t xml:space="preserve"> </w:t>
      </w:r>
      <w:r>
        <w:rPr>
          <w:rFonts w:ascii="Arial" w:cs="Arial" w:eastAsia="Arial" w:hAnsi="Arial"/>
          <w:sz w:val="20"/>
          <w:szCs w:val="20"/>
          <w:color w:val="313131"/>
        </w:rPr>
        <w:t>of guilty or</w:t>
      </w:r>
      <w:r>
        <w:rPr>
          <w:rFonts w:ascii="Arial" w:cs="Arial" w:eastAsia="Arial" w:hAnsi="Arial"/>
          <w:sz w:val="20"/>
          <w:szCs w:val="20"/>
          <w:color w:val="232323"/>
        </w:rPr>
        <w:t xml:space="preserve"> nolo contendere </w:t>
      </w:r>
      <w:r>
        <w:rPr>
          <w:rFonts w:ascii="Arial" w:cs="Arial" w:eastAsia="Arial" w:hAnsi="Arial"/>
          <w:sz w:val="20"/>
          <w:szCs w:val="20"/>
          <w:color w:val="313131"/>
        </w:rPr>
        <w:t>to, a felony</w:t>
      </w:r>
      <w:r>
        <w:rPr>
          <w:rFonts w:ascii="Arial" w:cs="Arial" w:eastAsia="Arial" w:hAnsi="Arial"/>
          <w:sz w:val="20"/>
          <w:szCs w:val="20"/>
          <w:color w:val="232323"/>
        </w:rPr>
        <w:t xml:space="preserve"> or </w:t>
      </w:r>
      <w:r>
        <w:rPr>
          <w:rFonts w:ascii="Arial" w:cs="Arial" w:eastAsia="Arial" w:hAnsi="Arial"/>
          <w:sz w:val="20"/>
          <w:szCs w:val="20"/>
          <w:color w:val="313131"/>
        </w:rPr>
        <w:t>crime involving</w:t>
      </w:r>
      <w:r>
        <w:rPr>
          <w:rFonts w:ascii="Arial" w:cs="Arial" w:eastAsia="Arial" w:hAnsi="Arial"/>
          <w:sz w:val="20"/>
          <w:szCs w:val="20"/>
          <w:color w:val="232323"/>
        </w:rPr>
        <w:t xml:space="preserve"> moral </w:t>
      </w:r>
      <w:r>
        <w:rPr>
          <w:rFonts w:ascii="Arial" w:cs="Arial" w:eastAsia="Arial" w:hAnsi="Arial"/>
          <w:sz w:val="20"/>
          <w:szCs w:val="20"/>
          <w:color w:val="313131"/>
        </w:rPr>
        <w:t>turpitude;</w:t>
      </w:r>
    </w:p>
    <w:p>
      <w:pPr>
        <w:spacing w:after="0" w:line="13" w:lineRule="exact"/>
        <w:rPr>
          <w:rFonts w:ascii="Arial" w:cs="Arial" w:eastAsia="Arial" w:hAnsi="Arial"/>
          <w:sz w:val="20"/>
          <w:szCs w:val="20"/>
          <w:color w:val="313131"/>
        </w:rPr>
      </w:pPr>
    </w:p>
    <w:p>
      <w:pPr>
        <w:ind w:left="320" w:hanging="296"/>
        <w:spacing w:after="0"/>
        <w:tabs>
          <w:tab w:leader="none" w:pos="320" w:val="left"/>
        </w:tabs>
        <w:numPr>
          <w:ilvl w:val="0"/>
          <w:numId w:val="172"/>
        </w:numPr>
        <w:rPr>
          <w:rFonts w:ascii="Arial" w:cs="Arial" w:eastAsia="Arial" w:hAnsi="Arial"/>
          <w:sz w:val="21"/>
          <w:szCs w:val="21"/>
          <w:color w:val="313131"/>
        </w:rPr>
      </w:pPr>
      <w:r>
        <w:rPr>
          <w:rFonts w:ascii="Arial" w:cs="Arial" w:eastAsia="Arial" w:hAnsi="Arial"/>
          <w:sz w:val="21"/>
          <w:szCs w:val="21"/>
          <w:color w:val="232323"/>
        </w:rPr>
        <w:t xml:space="preserve">participation </w:t>
      </w:r>
      <w:r>
        <w:rPr>
          <w:rFonts w:ascii="Arial" w:cs="Arial" w:eastAsia="Arial" w:hAnsi="Arial"/>
          <w:sz w:val="21"/>
          <w:szCs w:val="21"/>
          <w:color w:val="313131"/>
        </w:rPr>
        <w:t>in an act of</w:t>
      </w:r>
      <w:r>
        <w:rPr>
          <w:rFonts w:ascii="Arial" w:cs="Arial" w:eastAsia="Arial" w:hAnsi="Arial"/>
          <w:sz w:val="21"/>
          <w:szCs w:val="21"/>
          <w:color w:val="232323"/>
        </w:rPr>
        <w:t xml:space="preserve">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490855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80"/>
          </w:cols>
          <w:pgMar w:left="660" w:top="653" w:right="1059" w:bottom="1440" w:gutter="0" w:footer="0" w:header="0"/>
        </w:sectPr>
      </w:pPr>
    </w:p>
    <w:bookmarkStart w:id="156" w:name="page157"/>
    <w:bookmarkEnd w:id="156"/>
    <w:p>
      <w:pPr>
        <w:ind w:firstLine="6"/>
        <w:spacing w:after="0" w:line="278" w:lineRule="auto"/>
        <w:rPr>
          <w:sz w:val="20"/>
          <w:szCs w:val="20"/>
          <w:color w:val="auto"/>
        </w:rPr>
      </w:pPr>
      <w:r>
        <w:rPr>
          <w:rFonts w:ascii="Arial" w:cs="Arial" w:eastAsia="Arial" w:hAnsi="Arial"/>
          <w:sz w:val="18"/>
          <w:szCs w:val="18"/>
          <w:color w:val="282828"/>
        </w:rPr>
        <w:t xml:space="preserve">or theft </w:t>
      </w:r>
      <w:r>
        <w:rPr>
          <w:rFonts w:ascii="Arial" w:cs="Arial" w:eastAsia="Arial" w:hAnsi="Arial"/>
          <w:sz w:val="18"/>
          <w:szCs w:val="18"/>
          <w:color w:val="3A3A3A"/>
        </w:rPr>
        <w:t>against</w:t>
      </w:r>
      <w:r>
        <w:rPr>
          <w:rFonts w:ascii="Arial" w:cs="Arial" w:eastAsia="Arial" w:hAnsi="Arial"/>
          <w:sz w:val="18"/>
          <w:szCs w:val="18"/>
          <w:color w:val="282828"/>
        </w:rPr>
        <w:t xml:space="preserve"> the Company; (iii) willful and material </w:t>
      </w:r>
      <w:r>
        <w:rPr>
          <w:rFonts w:ascii="Arial" w:cs="Arial" w:eastAsia="Arial" w:hAnsi="Arial"/>
          <w:sz w:val="18"/>
          <w:szCs w:val="18"/>
          <w:color w:val="161616"/>
        </w:rPr>
        <w:t>bre</w:t>
      </w:r>
      <w:r>
        <w:rPr>
          <w:rFonts w:ascii="Arial" w:cs="Arial" w:eastAsia="Arial" w:hAnsi="Arial"/>
          <w:sz w:val="18"/>
          <w:szCs w:val="18"/>
          <w:color w:val="3A3A3A"/>
        </w:rPr>
        <w:t>ach of</w:t>
      </w:r>
      <w:r>
        <w:rPr>
          <w:rFonts w:ascii="Arial" w:cs="Arial" w:eastAsia="Arial" w:hAnsi="Arial"/>
          <w:sz w:val="18"/>
          <w:szCs w:val="18"/>
          <w:color w:val="282828"/>
        </w:rPr>
        <w:t xml:space="preserve"> any contractual, </w:t>
      </w:r>
      <w:r>
        <w:rPr>
          <w:rFonts w:ascii="Arial" w:cs="Arial" w:eastAsia="Arial" w:hAnsi="Arial"/>
          <w:sz w:val="18"/>
          <w:szCs w:val="18"/>
          <w:color w:val="3A3A3A"/>
        </w:rPr>
        <w:t>statutory,</w:t>
      </w:r>
      <w:r>
        <w:rPr>
          <w:rFonts w:ascii="Arial" w:cs="Arial" w:eastAsia="Arial" w:hAnsi="Arial"/>
          <w:sz w:val="18"/>
          <w:szCs w:val="18"/>
          <w:color w:val="282828"/>
        </w:rPr>
        <w:t xml:space="preserve"> fiduciary</w:t>
      </w:r>
      <w:r>
        <w:rPr>
          <w:rFonts w:ascii="Arial" w:cs="Arial" w:eastAsia="Arial" w:hAnsi="Arial"/>
          <w:sz w:val="18"/>
          <w:szCs w:val="18"/>
          <w:color w:val="525252"/>
        </w:rPr>
        <w:t>,</w:t>
      </w:r>
      <w:r>
        <w:rPr>
          <w:rFonts w:ascii="Arial" w:cs="Arial" w:eastAsia="Arial" w:hAnsi="Arial"/>
          <w:sz w:val="18"/>
          <w:szCs w:val="18"/>
          <w:color w:val="282828"/>
        </w:rPr>
        <w:t xml:space="preserve"> or common law duty owed to the </w:t>
      </w:r>
      <w:r>
        <w:rPr>
          <w:rFonts w:ascii="Arial" w:cs="Arial" w:eastAsia="Arial" w:hAnsi="Arial"/>
          <w:sz w:val="18"/>
          <w:szCs w:val="18"/>
          <w:color w:val="3A3A3A"/>
        </w:rPr>
        <w:t>Company including without</w:t>
      </w:r>
      <w:r>
        <w:rPr>
          <w:rFonts w:ascii="Arial" w:cs="Arial" w:eastAsia="Arial" w:hAnsi="Arial"/>
          <w:sz w:val="18"/>
          <w:szCs w:val="18"/>
          <w:color w:val="282828"/>
        </w:rPr>
        <w:t xml:space="preserve"> limitation Section 4.1 of this Agreement; </w:t>
      </w:r>
      <w:r>
        <w:rPr>
          <w:rFonts w:ascii="Arial" w:cs="Arial" w:eastAsia="Arial" w:hAnsi="Arial"/>
          <w:sz w:val="18"/>
          <w:szCs w:val="18"/>
          <w:color w:val="3A3A3A"/>
        </w:rPr>
        <w:t>(iv) intentional</w:t>
      </w:r>
      <w:r>
        <w:rPr>
          <w:rFonts w:ascii="Arial" w:cs="Arial" w:eastAsia="Arial" w:hAnsi="Arial"/>
          <w:sz w:val="18"/>
          <w:szCs w:val="18"/>
          <w:color w:val="282828"/>
        </w:rPr>
        <w:t xml:space="preserve"> and repeated </w:t>
      </w:r>
      <w:r>
        <w:rPr>
          <w:rFonts w:ascii="Arial" w:cs="Arial" w:eastAsia="Arial" w:hAnsi="Arial"/>
          <w:sz w:val="18"/>
          <w:szCs w:val="18"/>
          <w:color w:val="3A3A3A"/>
        </w:rPr>
        <w:t>failure</w:t>
      </w:r>
      <w:r>
        <w:rPr>
          <w:rFonts w:ascii="Arial" w:cs="Arial" w:eastAsia="Arial" w:hAnsi="Arial"/>
          <w:sz w:val="18"/>
          <w:szCs w:val="18"/>
          <w:color w:val="282828"/>
        </w:rPr>
        <w:t xml:space="preserve"> of </w:t>
      </w:r>
      <w:r>
        <w:rPr>
          <w:rFonts w:ascii="Arial" w:cs="Arial" w:eastAsia="Arial" w:hAnsi="Arial"/>
          <w:sz w:val="18"/>
          <w:szCs w:val="18"/>
          <w:color w:val="3A3A3A"/>
        </w:rPr>
        <w:t>Executive</w:t>
      </w:r>
      <w:r>
        <w:rPr>
          <w:rFonts w:ascii="Arial" w:cs="Arial" w:eastAsia="Arial" w:hAnsi="Arial"/>
          <w:sz w:val="18"/>
          <w:szCs w:val="18"/>
          <w:color w:val="282828"/>
        </w:rPr>
        <w:t xml:space="preserve"> to perform </w:t>
      </w:r>
      <w:r>
        <w:rPr>
          <w:rFonts w:ascii="Arial" w:cs="Arial" w:eastAsia="Arial" w:hAnsi="Arial"/>
          <w:sz w:val="18"/>
          <w:szCs w:val="18"/>
          <w:color w:val="3A3A3A"/>
        </w:rPr>
        <w:t>Executive's</w:t>
      </w:r>
      <w:r>
        <w:rPr>
          <w:rFonts w:ascii="Arial" w:cs="Arial" w:eastAsia="Arial" w:hAnsi="Arial"/>
          <w:sz w:val="18"/>
          <w:szCs w:val="18"/>
          <w:color w:val="282828"/>
        </w:rPr>
        <w:t xml:space="preserve"> job duties </w:t>
      </w:r>
      <w:r>
        <w:rPr>
          <w:rFonts w:ascii="Arial" w:cs="Arial" w:eastAsia="Arial" w:hAnsi="Arial"/>
          <w:sz w:val="18"/>
          <w:szCs w:val="18"/>
          <w:color w:val="3A3A3A"/>
        </w:rPr>
        <w:t>after</w:t>
      </w:r>
      <w:r>
        <w:rPr>
          <w:rFonts w:ascii="Arial" w:cs="Arial" w:eastAsia="Arial" w:hAnsi="Arial"/>
          <w:sz w:val="18"/>
          <w:szCs w:val="18"/>
          <w:color w:val="282828"/>
        </w:rPr>
        <w:t xml:space="preserve"> receiving notice of the </w:t>
      </w:r>
      <w:r>
        <w:rPr>
          <w:rFonts w:ascii="Arial" w:cs="Arial" w:eastAsia="Arial" w:hAnsi="Arial"/>
          <w:sz w:val="18"/>
          <w:szCs w:val="18"/>
          <w:color w:val="3A3A3A"/>
        </w:rPr>
        <w:t>stated</w:t>
      </w:r>
      <w:r>
        <w:rPr>
          <w:rFonts w:ascii="Arial" w:cs="Arial" w:eastAsia="Arial" w:hAnsi="Arial"/>
          <w:sz w:val="18"/>
          <w:szCs w:val="18"/>
          <w:color w:val="282828"/>
        </w:rPr>
        <w:t xml:space="preserve"> deficiencies and </w:t>
      </w:r>
      <w:r>
        <w:rPr>
          <w:rFonts w:ascii="Arial" w:cs="Arial" w:eastAsia="Arial" w:hAnsi="Arial"/>
          <w:sz w:val="18"/>
          <w:szCs w:val="18"/>
          <w:color w:val="3A3A3A"/>
        </w:rPr>
        <w:t>Executive willfully</w:t>
      </w:r>
      <w:r>
        <w:rPr>
          <w:rFonts w:ascii="Arial" w:cs="Arial" w:eastAsia="Arial" w:hAnsi="Arial"/>
          <w:sz w:val="18"/>
          <w:szCs w:val="18"/>
          <w:color w:val="282828"/>
        </w:rPr>
        <w:t xml:space="preserve"> failing to addressthe deficiencies and deliberately continuing to </w:t>
      </w:r>
      <w:r>
        <w:rPr>
          <w:rFonts w:ascii="Arial" w:cs="Arial" w:eastAsia="Arial" w:hAnsi="Arial"/>
          <w:sz w:val="18"/>
          <w:szCs w:val="18"/>
          <w:color w:val="3A3A3A"/>
        </w:rPr>
        <w:t>not</w:t>
      </w:r>
      <w:r>
        <w:rPr>
          <w:rFonts w:ascii="Arial" w:cs="Arial" w:eastAsia="Arial" w:hAnsi="Arial"/>
          <w:sz w:val="18"/>
          <w:szCs w:val="18"/>
          <w:color w:val="282828"/>
        </w:rPr>
        <w:t xml:space="preserve"> perform </w:t>
      </w:r>
      <w:r>
        <w:rPr>
          <w:rFonts w:ascii="Arial" w:cs="Arial" w:eastAsia="Arial" w:hAnsi="Arial"/>
          <w:sz w:val="18"/>
          <w:szCs w:val="18"/>
          <w:color w:val="3A3A3A"/>
        </w:rPr>
        <w:t>stated</w:t>
      </w:r>
      <w:r>
        <w:rPr>
          <w:rFonts w:ascii="Arial" w:cs="Arial" w:eastAsia="Arial" w:hAnsi="Arial"/>
          <w:sz w:val="18"/>
          <w:szCs w:val="18"/>
          <w:color w:val="282828"/>
        </w:rPr>
        <w:t xml:space="preserve"> job duties; or </w:t>
      </w:r>
      <w:r>
        <w:rPr>
          <w:rFonts w:ascii="Arial" w:cs="Arial" w:eastAsia="Arial" w:hAnsi="Arial"/>
          <w:sz w:val="18"/>
          <w:szCs w:val="18"/>
          <w:color w:val="3A3A3A"/>
        </w:rPr>
        <w:t>(v)</w:t>
      </w:r>
      <w:r>
        <w:rPr>
          <w:rFonts w:ascii="Arial" w:cs="Arial" w:eastAsia="Arial" w:hAnsi="Arial"/>
          <w:sz w:val="18"/>
          <w:szCs w:val="18"/>
          <w:color w:val="282828"/>
        </w:rPr>
        <w:t xml:space="preserve"> any </w:t>
      </w:r>
      <w:r>
        <w:rPr>
          <w:rFonts w:ascii="Arial" w:cs="Arial" w:eastAsia="Arial" w:hAnsi="Arial"/>
          <w:sz w:val="18"/>
          <w:szCs w:val="18"/>
          <w:color w:val="3A3A3A"/>
        </w:rPr>
        <w:t>willfu</w:t>
      </w:r>
      <w:r>
        <w:rPr>
          <w:rFonts w:ascii="Arial" w:cs="Arial" w:eastAsia="Arial" w:hAnsi="Arial"/>
          <w:sz w:val="18"/>
          <w:szCs w:val="18"/>
          <w:color w:val="161616"/>
        </w:rPr>
        <w:t>l</w:t>
      </w:r>
      <w:r>
        <w:rPr>
          <w:rFonts w:ascii="Arial" w:cs="Arial" w:eastAsia="Arial" w:hAnsi="Arial"/>
          <w:sz w:val="18"/>
          <w:szCs w:val="18"/>
          <w:color w:val="525252"/>
        </w:rPr>
        <w:t>,</w:t>
      </w:r>
      <w:r>
        <w:rPr>
          <w:rFonts w:ascii="Arial" w:cs="Arial" w:eastAsia="Arial" w:hAnsi="Arial"/>
          <w:sz w:val="18"/>
          <w:szCs w:val="18"/>
          <w:color w:val="282828"/>
        </w:rPr>
        <w:t xml:space="preserve"> deliberate, premeditated act by Executive </w:t>
      </w:r>
      <w:r>
        <w:rPr>
          <w:rFonts w:ascii="Arial" w:cs="Arial" w:eastAsia="Arial" w:hAnsi="Arial"/>
          <w:sz w:val="18"/>
          <w:szCs w:val="18"/>
          <w:color w:val="3A3A3A"/>
        </w:rPr>
        <w:t>that</w:t>
      </w:r>
      <w:r>
        <w:rPr>
          <w:rFonts w:ascii="Arial" w:cs="Arial" w:eastAsia="Arial" w:hAnsi="Arial"/>
          <w:sz w:val="18"/>
          <w:szCs w:val="18"/>
          <w:color w:val="282828"/>
        </w:rPr>
        <w:t xml:space="preserve"> materially </w:t>
      </w:r>
      <w:r>
        <w:rPr>
          <w:rFonts w:ascii="Arial" w:cs="Arial" w:eastAsia="Arial" w:hAnsi="Arial"/>
          <w:sz w:val="18"/>
          <w:szCs w:val="18"/>
          <w:color w:val="3A3A3A"/>
        </w:rPr>
        <w:t>and</w:t>
      </w:r>
      <w:r>
        <w:rPr>
          <w:rFonts w:ascii="Arial" w:cs="Arial" w:eastAsia="Arial" w:hAnsi="Arial"/>
          <w:sz w:val="18"/>
          <w:szCs w:val="18"/>
          <w:color w:val="282828"/>
        </w:rPr>
        <w:t xml:space="preserve"> demonstrably injures the reputation, business</w:t>
      </w:r>
      <w:r>
        <w:rPr>
          <w:rFonts w:ascii="Arial" w:cs="Arial" w:eastAsia="Arial" w:hAnsi="Arial"/>
          <w:sz w:val="18"/>
          <w:szCs w:val="18"/>
          <w:color w:val="525252"/>
        </w:rPr>
        <w:t>,</w:t>
      </w:r>
      <w:r>
        <w:rPr>
          <w:rFonts w:ascii="Arial" w:cs="Arial" w:eastAsia="Arial" w:hAnsi="Arial"/>
          <w:sz w:val="18"/>
          <w:szCs w:val="18"/>
          <w:color w:val="282828"/>
        </w:rPr>
        <w:t xml:space="preserve"> or a business relationship of the </w:t>
      </w:r>
      <w:r>
        <w:rPr>
          <w:rFonts w:ascii="Arial" w:cs="Arial" w:eastAsia="Arial" w:hAnsi="Arial"/>
          <w:sz w:val="18"/>
          <w:szCs w:val="18"/>
          <w:color w:val="3A3A3A"/>
        </w:rPr>
        <w:t>Company.</w:t>
      </w:r>
    </w:p>
    <w:p>
      <w:pPr>
        <w:spacing w:after="0" w:line="159" w:lineRule="exact"/>
        <w:rPr>
          <w:sz w:val="20"/>
          <w:szCs w:val="20"/>
          <w:color w:val="auto"/>
        </w:rPr>
      </w:pPr>
    </w:p>
    <w:p>
      <w:pPr>
        <w:ind w:right="60" w:firstLine="1282"/>
        <w:spacing w:after="0" w:line="257" w:lineRule="auto"/>
        <w:tabs>
          <w:tab w:leader="none" w:pos="2154" w:val="left"/>
        </w:tabs>
        <w:numPr>
          <w:ilvl w:val="1"/>
          <w:numId w:val="173"/>
        </w:numPr>
        <w:rPr>
          <w:rFonts w:ascii="Arial" w:cs="Arial" w:eastAsia="Arial" w:hAnsi="Arial"/>
          <w:sz w:val="19"/>
          <w:szCs w:val="19"/>
          <w:color w:val="282828"/>
        </w:rPr>
      </w:pPr>
      <w:r>
        <w:rPr>
          <w:rFonts w:ascii="Arial" w:cs="Arial" w:eastAsia="Arial" w:hAnsi="Arial"/>
          <w:sz w:val="19"/>
          <w:szCs w:val="19"/>
          <w:b w:val="1"/>
          <w:bCs w:val="1"/>
          <w:color w:val="282828"/>
        </w:rPr>
        <w:t xml:space="preserve">Good Reason. </w:t>
      </w:r>
      <w:r>
        <w:rPr>
          <w:rFonts w:ascii="Arial" w:cs="Arial" w:eastAsia="Arial" w:hAnsi="Arial"/>
          <w:sz w:val="19"/>
          <w:szCs w:val="19"/>
          <w:color w:val="282828"/>
        </w:rPr>
        <w:t>For purposes of this Agreement</w:t>
      </w:r>
      <w:r>
        <w:rPr>
          <w:rFonts w:ascii="Arial" w:cs="Arial" w:eastAsia="Arial" w:hAnsi="Arial"/>
          <w:sz w:val="19"/>
          <w:szCs w:val="19"/>
          <w:color w:val="525252"/>
        </w:rPr>
        <w:t>,</w:t>
      </w:r>
      <w:r>
        <w:rPr>
          <w:rFonts w:ascii="Arial" w:cs="Arial" w:eastAsia="Arial" w:hAnsi="Arial"/>
          <w:sz w:val="19"/>
          <w:szCs w:val="19"/>
          <w:b w:val="1"/>
          <w:bCs w:val="1"/>
          <w:color w:val="282828"/>
        </w:rPr>
        <w:t xml:space="preserve"> </w:t>
      </w:r>
      <w:r>
        <w:rPr>
          <w:rFonts w:ascii="Arial" w:cs="Arial" w:eastAsia="Arial" w:hAnsi="Arial"/>
          <w:sz w:val="19"/>
          <w:szCs w:val="19"/>
          <w:color w:val="3A3A3A"/>
        </w:rPr>
        <w:t>"Good</w:t>
      </w:r>
      <w:r>
        <w:rPr>
          <w:rFonts w:ascii="Arial" w:cs="Arial" w:eastAsia="Arial" w:hAnsi="Arial"/>
          <w:sz w:val="19"/>
          <w:szCs w:val="19"/>
          <w:b w:val="1"/>
          <w:bCs w:val="1"/>
          <w:color w:val="282828"/>
        </w:rPr>
        <w:t xml:space="preserve"> </w:t>
      </w:r>
      <w:r>
        <w:rPr>
          <w:rFonts w:ascii="Arial" w:cs="Arial" w:eastAsia="Arial" w:hAnsi="Arial"/>
          <w:sz w:val="19"/>
          <w:szCs w:val="19"/>
          <w:color w:val="282828"/>
        </w:rPr>
        <w:t>Reason" shall mean: (i) a material diminution</w:t>
      </w:r>
      <w:r>
        <w:rPr>
          <w:rFonts w:ascii="Arial" w:cs="Arial" w:eastAsia="Arial" w:hAnsi="Arial"/>
          <w:sz w:val="19"/>
          <w:szCs w:val="19"/>
          <w:b w:val="1"/>
          <w:bCs w:val="1"/>
          <w:color w:val="282828"/>
        </w:rPr>
        <w:t xml:space="preserve"> </w:t>
      </w:r>
      <w:r>
        <w:rPr>
          <w:rFonts w:ascii="Arial" w:cs="Arial" w:eastAsia="Arial" w:hAnsi="Arial"/>
          <w:sz w:val="19"/>
          <w:szCs w:val="19"/>
          <w:color w:val="161616"/>
        </w:rPr>
        <w:t xml:space="preserve">in </w:t>
      </w:r>
      <w:r>
        <w:rPr>
          <w:rFonts w:ascii="Arial" w:cs="Arial" w:eastAsia="Arial" w:hAnsi="Arial"/>
          <w:sz w:val="19"/>
          <w:szCs w:val="19"/>
          <w:color w:val="3A3A3A"/>
        </w:rPr>
        <w:t>Executive's authority,</w:t>
      </w:r>
      <w:r>
        <w:rPr>
          <w:rFonts w:ascii="Arial" w:cs="Arial" w:eastAsia="Arial" w:hAnsi="Arial"/>
          <w:sz w:val="19"/>
          <w:szCs w:val="19"/>
          <w:color w:val="161616"/>
        </w:rPr>
        <w:t xml:space="preserve"> </w:t>
      </w:r>
      <w:r>
        <w:rPr>
          <w:rFonts w:ascii="Arial" w:cs="Arial" w:eastAsia="Arial" w:hAnsi="Arial"/>
          <w:sz w:val="19"/>
          <w:szCs w:val="19"/>
          <w:color w:val="282828"/>
        </w:rPr>
        <w:t>duties</w:t>
      </w:r>
      <w:r>
        <w:rPr>
          <w:rFonts w:ascii="Arial" w:cs="Arial" w:eastAsia="Arial" w:hAnsi="Arial"/>
          <w:sz w:val="19"/>
          <w:szCs w:val="19"/>
          <w:color w:val="525252"/>
        </w:rPr>
        <w:t>,</w:t>
      </w:r>
      <w:r>
        <w:rPr>
          <w:rFonts w:ascii="Arial" w:cs="Arial" w:eastAsia="Arial" w:hAnsi="Arial"/>
          <w:sz w:val="19"/>
          <w:szCs w:val="19"/>
          <w:color w:val="161616"/>
        </w:rPr>
        <w:t xml:space="preserve"> </w:t>
      </w:r>
      <w:r>
        <w:rPr>
          <w:rFonts w:ascii="Arial" w:cs="Arial" w:eastAsia="Arial" w:hAnsi="Arial"/>
          <w:sz w:val="19"/>
          <w:szCs w:val="19"/>
          <w:color w:val="282828"/>
        </w:rPr>
        <w:t>or responsibilities in</w:t>
      </w:r>
      <w:r>
        <w:rPr>
          <w:rFonts w:ascii="Arial" w:cs="Arial" w:eastAsia="Arial" w:hAnsi="Arial"/>
          <w:sz w:val="19"/>
          <w:szCs w:val="19"/>
          <w:color w:val="161616"/>
        </w:rPr>
        <w:t xml:space="preserve"> </w:t>
      </w:r>
      <w:r>
        <w:rPr>
          <w:rFonts w:ascii="Arial" w:cs="Arial" w:eastAsia="Arial" w:hAnsi="Arial"/>
          <w:sz w:val="19"/>
          <w:szCs w:val="19"/>
          <w:color w:val="3A3A3A"/>
        </w:rPr>
        <w:t>effect at</w:t>
      </w:r>
      <w:r>
        <w:rPr>
          <w:rFonts w:ascii="Arial" w:cs="Arial" w:eastAsia="Arial" w:hAnsi="Arial"/>
          <w:sz w:val="19"/>
          <w:szCs w:val="19"/>
          <w:color w:val="161616"/>
        </w:rPr>
        <w:t xml:space="preserve"> </w:t>
      </w:r>
      <w:r>
        <w:rPr>
          <w:rFonts w:ascii="Arial" w:cs="Arial" w:eastAsia="Arial" w:hAnsi="Arial"/>
          <w:sz w:val="19"/>
          <w:szCs w:val="19"/>
          <w:color w:val="282828"/>
        </w:rPr>
        <w:t>the time of</w:t>
      </w:r>
      <w:r>
        <w:rPr>
          <w:rFonts w:ascii="Arial" w:cs="Arial" w:eastAsia="Arial" w:hAnsi="Arial"/>
          <w:sz w:val="19"/>
          <w:szCs w:val="19"/>
          <w:color w:val="161616"/>
        </w:rPr>
        <w:t xml:space="preserve"> </w:t>
      </w:r>
      <w:r>
        <w:rPr>
          <w:rFonts w:ascii="Arial" w:cs="Arial" w:eastAsia="Arial" w:hAnsi="Arial"/>
          <w:sz w:val="19"/>
          <w:szCs w:val="19"/>
          <w:color w:val="3A3A3A"/>
        </w:rPr>
        <w:t>this</w:t>
      </w:r>
      <w:r>
        <w:rPr>
          <w:rFonts w:ascii="Arial" w:cs="Arial" w:eastAsia="Arial" w:hAnsi="Arial"/>
          <w:sz w:val="19"/>
          <w:szCs w:val="19"/>
          <w:color w:val="161616"/>
        </w:rPr>
        <w:t xml:space="preserve"> </w:t>
      </w:r>
      <w:r>
        <w:rPr>
          <w:rFonts w:ascii="Arial" w:cs="Arial" w:eastAsia="Arial" w:hAnsi="Arial"/>
          <w:sz w:val="19"/>
          <w:szCs w:val="19"/>
          <w:color w:val="282828"/>
        </w:rPr>
        <w:t>Agreement;</w:t>
      </w:r>
      <w:r>
        <w:rPr>
          <w:rFonts w:ascii="Arial" w:cs="Arial" w:eastAsia="Arial" w:hAnsi="Arial"/>
          <w:sz w:val="19"/>
          <w:szCs w:val="19"/>
          <w:color w:val="161616"/>
        </w:rPr>
        <w:t xml:space="preserve"> </w:t>
      </w:r>
      <w:r>
        <w:rPr>
          <w:rFonts w:ascii="Arial" w:cs="Arial" w:eastAsia="Arial" w:hAnsi="Arial"/>
          <w:sz w:val="19"/>
          <w:szCs w:val="19"/>
          <w:color w:val="3A3A3A"/>
        </w:rPr>
        <w:t>(ii)</w:t>
      </w:r>
      <w:r>
        <w:rPr>
          <w:rFonts w:ascii="Arial" w:cs="Arial" w:eastAsia="Arial" w:hAnsi="Arial"/>
          <w:sz w:val="19"/>
          <w:szCs w:val="19"/>
          <w:color w:val="161616"/>
        </w:rPr>
        <w:t xml:space="preserve"> </w:t>
      </w:r>
      <w:r>
        <w:rPr>
          <w:rFonts w:ascii="Arial" w:cs="Arial" w:eastAsia="Arial" w:hAnsi="Arial"/>
          <w:sz w:val="19"/>
          <w:szCs w:val="19"/>
          <w:color w:val="282828"/>
        </w:rPr>
        <w:t>any reduction in the</w:t>
      </w:r>
      <w:r>
        <w:rPr>
          <w:rFonts w:ascii="Arial" w:cs="Arial" w:eastAsia="Arial" w:hAnsi="Arial"/>
          <w:sz w:val="19"/>
          <w:szCs w:val="19"/>
          <w:color w:val="161616"/>
        </w:rPr>
        <w:t xml:space="preserve"> </w:t>
      </w:r>
      <w:r>
        <w:rPr>
          <w:rFonts w:ascii="Arial" w:cs="Arial" w:eastAsia="Arial" w:hAnsi="Arial"/>
          <w:sz w:val="19"/>
          <w:szCs w:val="19"/>
          <w:color w:val="3A3A3A"/>
        </w:rPr>
        <w:t>Executive</w:t>
      </w:r>
      <w:r>
        <w:rPr>
          <w:rFonts w:ascii="Arial" w:cs="Arial" w:eastAsia="Arial" w:hAnsi="Arial"/>
          <w:sz w:val="19"/>
          <w:szCs w:val="19"/>
          <w:color w:val="525252"/>
        </w:rPr>
        <w:t>'</w:t>
      </w:r>
      <w:r>
        <w:rPr>
          <w:rFonts w:ascii="Arial" w:cs="Arial" w:eastAsia="Arial" w:hAnsi="Arial"/>
          <w:sz w:val="19"/>
          <w:szCs w:val="19"/>
          <w:color w:val="161616"/>
        </w:rPr>
        <w:t xml:space="preserve"> </w:t>
      </w:r>
      <w:r>
        <w:rPr>
          <w:rFonts w:ascii="Arial" w:cs="Arial" w:eastAsia="Arial" w:hAnsi="Arial"/>
          <w:sz w:val="19"/>
          <w:szCs w:val="19"/>
          <w:color w:val="3A3A3A"/>
        </w:rPr>
        <w:t>s</w:t>
      </w:r>
      <w:r>
        <w:rPr>
          <w:rFonts w:ascii="Arial" w:cs="Arial" w:eastAsia="Arial" w:hAnsi="Arial"/>
          <w:sz w:val="19"/>
          <w:szCs w:val="19"/>
          <w:color w:val="161616"/>
        </w:rPr>
        <w:t xml:space="preserve"> </w:t>
      </w:r>
      <w:r>
        <w:rPr>
          <w:rFonts w:ascii="Arial" w:cs="Arial" w:eastAsia="Arial" w:hAnsi="Arial"/>
          <w:sz w:val="19"/>
          <w:szCs w:val="19"/>
          <w:color w:val="282828"/>
        </w:rPr>
        <w:t xml:space="preserve">then-current base </w:t>
      </w:r>
      <w:r>
        <w:rPr>
          <w:rFonts w:ascii="Arial" w:cs="Arial" w:eastAsia="Arial" w:hAnsi="Arial"/>
          <w:sz w:val="19"/>
          <w:szCs w:val="19"/>
          <w:color w:val="3A3A3A"/>
        </w:rPr>
        <w:t>salary;</w:t>
      </w:r>
      <w:r>
        <w:rPr>
          <w:rFonts w:ascii="Arial" w:cs="Arial" w:eastAsia="Arial" w:hAnsi="Arial"/>
          <w:sz w:val="19"/>
          <w:szCs w:val="19"/>
          <w:color w:val="282828"/>
        </w:rPr>
        <w:t xml:space="preserve"> (iii) relocation of Executive</w:t>
      </w:r>
      <w:r>
        <w:rPr>
          <w:rFonts w:ascii="Arial" w:cs="Arial" w:eastAsia="Arial" w:hAnsi="Arial"/>
          <w:sz w:val="19"/>
          <w:szCs w:val="19"/>
          <w:color w:val="525252"/>
        </w:rPr>
        <w:t>'</w:t>
      </w:r>
      <w:r>
        <w:rPr>
          <w:rFonts w:ascii="Arial" w:cs="Arial" w:eastAsia="Arial" w:hAnsi="Arial"/>
          <w:sz w:val="19"/>
          <w:szCs w:val="19"/>
          <w:color w:val="282828"/>
        </w:rPr>
        <w:t xml:space="preserve"> s principal place of </w:t>
      </w:r>
      <w:r>
        <w:rPr>
          <w:rFonts w:ascii="Arial" w:cs="Arial" w:eastAsia="Arial" w:hAnsi="Arial"/>
          <w:sz w:val="19"/>
          <w:szCs w:val="19"/>
          <w:color w:val="3A3A3A"/>
        </w:rPr>
        <w:t>work</w:t>
      </w:r>
      <w:r>
        <w:rPr>
          <w:rFonts w:ascii="Arial" w:cs="Arial" w:eastAsia="Arial" w:hAnsi="Arial"/>
          <w:sz w:val="19"/>
          <w:szCs w:val="19"/>
          <w:color w:val="282828"/>
        </w:rPr>
        <w:t xml:space="preserve"> by </w:t>
      </w:r>
      <w:r>
        <w:rPr>
          <w:rFonts w:ascii="Arial" w:cs="Arial" w:eastAsia="Arial" w:hAnsi="Arial"/>
          <w:sz w:val="19"/>
          <w:szCs w:val="19"/>
          <w:color w:val="3A3A3A"/>
        </w:rPr>
        <w:t>a</w:t>
      </w:r>
      <w:r>
        <w:rPr>
          <w:rFonts w:ascii="Arial" w:cs="Arial" w:eastAsia="Arial" w:hAnsi="Arial"/>
          <w:sz w:val="19"/>
          <w:szCs w:val="19"/>
          <w:color w:val="282828"/>
        </w:rPr>
        <w:t xml:space="preserve"> distance of fifty </w:t>
      </w:r>
      <w:r>
        <w:rPr>
          <w:rFonts w:ascii="Arial" w:cs="Arial" w:eastAsia="Arial" w:hAnsi="Arial"/>
          <w:sz w:val="19"/>
          <w:szCs w:val="19"/>
          <w:color w:val="3A3A3A"/>
        </w:rPr>
        <w:t>(50) miles</w:t>
      </w:r>
      <w:r>
        <w:rPr>
          <w:rFonts w:ascii="Arial" w:cs="Arial" w:eastAsia="Arial" w:hAnsi="Arial"/>
          <w:sz w:val="19"/>
          <w:szCs w:val="19"/>
          <w:color w:val="282828"/>
        </w:rPr>
        <w:t xml:space="preserve"> or more </w:t>
      </w:r>
      <w:r>
        <w:rPr>
          <w:rFonts w:ascii="Arial" w:cs="Arial" w:eastAsia="Arial" w:hAnsi="Arial"/>
          <w:sz w:val="19"/>
          <w:szCs w:val="19"/>
          <w:color w:val="3A3A3A"/>
        </w:rPr>
        <w:t>from</w:t>
      </w:r>
      <w:r>
        <w:rPr>
          <w:rFonts w:ascii="Arial" w:cs="Arial" w:eastAsia="Arial" w:hAnsi="Arial"/>
          <w:sz w:val="19"/>
          <w:szCs w:val="19"/>
          <w:color w:val="282828"/>
        </w:rPr>
        <w:t>the Executive</w:t>
      </w:r>
      <w:r>
        <w:rPr>
          <w:rFonts w:ascii="Arial" w:cs="Arial" w:eastAsia="Arial" w:hAnsi="Arial"/>
          <w:sz w:val="19"/>
          <w:szCs w:val="19"/>
          <w:color w:val="525252"/>
        </w:rPr>
        <w:t>'</w:t>
      </w:r>
      <w:r>
        <w:rPr>
          <w:rFonts w:ascii="Arial" w:cs="Arial" w:eastAsia="Arial" w:hAnsi="Arial"/>
          <w:sz w:val="19"/>
          <w:szCs w:val="19"/>
          <w:color w:val="282828"/>
        </w:rPr>
        <w:t xml:space="preserve"> </w:t>
      </w:r>
      <w:r>
        <w:rPr>
          <w:rFonts w:ascii="Arial" w:cs="Arial" w:eastAsia="Arial" w:hAnsi="Arial"/>
          <w:sz w:val="19"/>
          <w:szCs w:val="19"/>
          <w:color w:val="3A3A3A"/>
        </w:rPr>
        <w:t>s</w:t>
      </w:r>
      <w:r>
        <w:rPr>
          <w:rFonts w:ascii="Arial" w:cs="Arial" w:eastAsia="Arial" w:hAnsi="Arial"/>
          <w:sz w:val="19"/>
          <w:szCs w:val="19"/>
          <w:color w:val="282828"/>
        </w:rPr>
        <w:t xml:space="preserve"> then-current principal place of </w:t>
      </w:r>
      <w:r>
        <w:rPr>
          <w:rFonts w:ascii="Arial" w:cs="Arial" w:eastAsia="Arial" w:hAnsi="Arial"/>
          <w:sz w:val="19"/>
          <w:szCs w:val="19"/>
          <w:color w:val="3A3A3A"/>
        </w:rPr>
        <w:t>work without</w:t>
      </w:r>
      <w:r>
        <w:rPr>
          <w:rFonts w:ascii="Arial" w:cs="Arial" w:eastAsia="Arial" w:hAnsi="Arial"/>
          <w:sz w:val="19"/>
          <w:szCs w:val="19"/>
          <w:color w:val="282828"/>
        </w:rPr>
        <w:t xml:space="preserve"> the </w:t>
      </w:r>
      <w:r>
        <w:rPr>
          <w:rFonts w:ascii="Arial" w:cs="Arial" w:eastAsia="Arial" w:hAnsi="Arial"/>
          <w:sz w:val="19"/>
          <w:szCs w:val="19"/>
          <w:color w:val="3A3A3A"/>
        </w:rPr>
        <w:t>Execut</w:t>
      </w:r>
      <w:r>
        <w:rPr>
          <w:rFonts w:ascii="Arial" w:cs="Arial" w:eastAsia="Arial" w:hAnsi="Arial"/>
          <w:sz w:val="19"/>
          <w:szCs w:val="19"/>
          <w:color w:val="161616"/>
        </w:rPr>
        <w:t>i</w:t>
      </w:r>
      <w:r>
        <w:rPr>
          <w:rFonts w:ascii="Arial" w:cs="Arial" w:eastAsia="Arial" w:hAnsi="Arial"/>
          <w:sz w:val="19"/>
          <w:szCs w:val="19"/>
          <w:color w:val="3A3A3A"/>
        </w:rPr>
        <w:t>ve's</w:t>
      </w:r>
      <w:r>
        <w:rPr>
          <w:rFonts w:ascii="Arial" w:cs="Arial" w:eastAsia="Arial" w:hAnsi="Arial"/>
          <w:sz w:val="19"/>
          <w:szCs w:val="19"/>
          <w:color w:val="282828"/>
        </w:rPr>
        <w:t xml:space="preserve"> consent</w:t>
      </w:r>
      <w:r>
        <w:rPr>
          <w:rFonts w:ascii="Arial" w:cs="Arial" w:eastAsia="Arial" w:hAnsi="Arial"/>
          <w:sz w:val="19"/>
          <w:szCs w:val="19"/>
          <w:color w:val="525252"/>
        </w:rPr>
        <w:t>;</w:t>
      </w:r>
      <w:r>
        <w:rPr>
          <w:rFonts w:ascii="Arial" w:cs="Arial" w:eastAsia="Arial" w:hAnsi="Arial"/>
          <w:sz w:val="19"/>
          <w:szCs w:val="19"/>
          <w:color w:val="282828"/>
        </w:rPr>
        <w:t xml:space="preserve"> </w:t>
      </w:r>
      <w:r>
        <w:rPr>
          <w:rFonts w:ascii="Arial" w:cs="Arial" w:eastAsia="Arial" w:hAnsi="Arial"/>
          <w:sz w:val="19"/>
          <w:szCs w:val="19"/>
          <w:color w:val="3A3A3A"/>
        </w:rPr>
        <w:t>(iv)</w:t>
      </w:r>
      <w:r>
        <w:rPr>
          <w:rFonts w:ascii="Arial" w:cs="Arial" w:eastAsia="Arial" w:hAnsi="Arial"/>
          <w:sz w:val="19"/>
          <w:szCs w:val="19"/>
          <w:color w:val="282828"/>
        </w:rPr>
        <w:t xml:space="preserve"> material breach by the </w:t>
      </w:r>
      <w:r>
        <w:rPr>
          <w:rFonts w:ascii="Arial" w:cs="Arial" w:eastAsia="Arial" w:hAnsi="Arial"/>
          <w:sz w:val="19"/>
          <w:szCs w:val="19"/>
          <w:color w:val="3A3A3A"/>
        </w:rPr>
        <w:t>Company of</w:t>
      </w:r>
      <w:r>
        <w:rPr>
          <w:rFonts w:ascii="Arial" w:cs="Arial" w:eastAsia="Arial" w:hAnsi="Arial"/>
          <w:sz w:val="19"/>
          <w:szCs w:val="19"/>
          <w:color w:val="282828"/>
        </w:rPr>
        <w:t xml:space="preserve"> any provision of this Agreement; or </w:t>
      </w:r>
      <w:r>
        <w:rPr>
          <w:rFonts w:ascii="Arial" w:cs="Arial" w:eastAsia="Arial" w:hAnsi="Arial"/>
          <w:sz w:val="19"/>
          <w:szCs w:val="19"/>
          <w:color w:val="3A3A3A"/>
        </w:rPr>
        <w:t>(v)</w:t>
      </w:r>
      <w:r>
        <w:rPr>
          <w:rFonts w:ascii="Arial" w:cs="Arial" w:eastAsia="Arial" w:hAnsi="Arial"/>
          <w:sz w:val="19"/>
          <w:szCs w:val="19"/>
          <w:color w:val="282828"/>
        </w:rPr>
        <w:t xml:space="preserve"> the </w:t>
      </w:r>
      <w:r>
        <w:rPr>
          <w:rFonts w:ascii="Arial" w:cs="Arial" w:eastAsia="Arial" w:hAnsi="Arial"/>
          <w:sz w:val="19"/>
          <w:szCs w:val="19"/>
          <w:color w:val="3A3A3A"/>
        </w:rPr>
        <w:t>occurrence</w:t>
      </w:r>
      <w:r>
        <w:rPr>
          <w:rFonts w:ascii="Arial" w:cs="Arial" w:eastAsia="Arial" w:hAnsi="Arial"/>
          <w:sz w:val="19"/>
          <w:szCs w:val="19"/>
          <w:color w:val="282828"/>
        </w:rPr>
        <w:t xml:space="preserve"> of a </w:t>
      </w:r>
      <w:r>
        <w:rPr>
          <w:rFonts w:ascii="Arial" w:cs="Arial" w:eastAsia="Arial" w:hAnsi="Arial"/>
          <w:sz w:val="19"/>
          <w:szCs w:val="19"/>
          <w:color w:val="3A3A3A"/>
        </w:rPr>
        <w:t>Change</w:t>
      </w:r>
      <w:r>
        <w:rPr>
          <w:rFonts w:ascii="Arial" w:cs="Arial" w:eastAsia="Arial" w:hAnsi="Arial"/>
          <w:sz w:val="19"/>
          <w:szCs w:val="19"/>
          <w:color w:val="282828"/>
        </w:rPr>
        <w:t xml:space="preserve"> in </w:t>
      </w:r>
      <w:r>
        <w:rPr>
          <w:rFonts w:ascii="Arial" w:cs="Arial" w:eastAsia="Arial" w:hAnsi="Arial"/>
          <w:sz w:val="19"/>
          <w:szCs w:val="19"/>
          <w:color w:val="3A3A3A"/>
        </w:rPr>
        <w:t>Control</w:t>
      </w:r>
      <w:r>
        <w:rPr>
          <w:rFonts w:ascii="Arial" w:cs="Arial" w:eastAsia="Arial" w:hAnsi="Arial"/>
          <w:sz w:val="19"/>
          <w:szCs w:val="19"/>
          <w:color w:val="282828"/>
        </w:rPr>
        <w:t xml:space="preserve"> of the </w:t>
      </w:r>
      <w:r>
        <w:rPr>
          <w:rFonts w:ascii="Arial" w:cs="Arial" w:eastAsia="Arial" w:hAnsi="Arial"/>
          <w:sz w:val="19"/>
          <w:szCs w:val="19"/>
          <w:color w:val="3A3A3A"/>
        </w:rPr>
        <w:t>Company</w:t>
      </w:r>
      <w:r>
        <w:rPr>
          <w:rFonts w:ascii="Arial" w:cs="Arial" w:eastAsia="Arial" w:hAnsi="Arial"/>
          <w:sz w:val="19"/>
          <w:szCs w:val="19"/>
          <w:color w:val="282828"/>
        </w:rPr>
        <w:t xml:space="preserve"> as defined in Section </w:t>
      </w:r>
      <w:r>
        <w:rPr>
          <w:rFonts w:ascii="Arial" w:cs="Arial" w:eastAsia="Arial" w:hAnsi="Arial"/>
          <w:sz w:val="19"/>
          <w:szCs w:val="19"/>
          <w:color w:val="3A3A3A"/>
        </w:rPr>
        <w:t>3.2(c)</w:t>
      </w:r>
      <w:r>
        <w:rPr>
          <w:rFonts w:ascii="Arial" w:cs="Arial" w:eastAsia="Arial" w:hAnsi="Arial"/>
          <w:sz w:val="19"/>
          <w:szCs w:val="19"/>
          <w:color w:val="282828"/>
        </w:rPr>
        <w:t xml:space="preserve"> below, provided</w:t>
      </w:r>
      <w:r>
        <w:rPr>
          <w:rFonts w:ascii="Arial" w:cs="Arial" w:eastAsia="Arial" w:hAnsi="Arial"/>
          <w:sz w:val="19"/>
          <w:szCs w:val="19"/>
          <w:color w:val="646464"/>
        </w:rPr>
        <w:t>,</w:t>
      </w:r>
      <w:r>
        <w:rPr>
          <w:rFonts w:ascii="Arial" w:cs="Arial" w:eastAsia="Arial" w:hAnsi="Arial"/>
          <w:sz w:val="19"/>
          <w:szCs w:val="19"/>
          <w:color w:val="282828"/>
        </w:rPr>
        <w:t xml:space="preserve"> however </w:t>
      </w:r>
      <w:r>
        <w:rPr>
          <w:rFonts w:ascii="Arial" w:cs="Arial" w:eastAsia="Arial" w:hAnsi="Arial"/>
          <w:sz w:val="19"/>
          <w:szCs w:val="19"/>
          <w:color w:val="525252"/>
        </w:rPr>
        <w:t>,</w:t>
      </w:r>
      <w:r>
        <w:rPr>
          <w:rFonts w:ascii="Arial" w:cs="Arial" w:eastAsia="Arial" w:hAnsi="Arial"/>
          <w:sz w:val="19"/>
          <w:szCs w:val="19"/>
          <w:color w:val="282828"/>
        </w:rPr>
        <w:t xml:space="preserve"> thatthe conduct described </w:t>
      </w:r>
      <w:r>
        <w:rPr>
          <w:rFonts w:ascii="Arial" w:cs="Arial" w:eastAsia="Arial" w:hAnsi="Arial"/>
          <w:sz w:val="19"/>
          <w:szCs w:val="19"/>
          <w:color w:val="3A3A3A"/>
        </w:rPr>
        <w:t>in</w:t>
      </w:r>
      <w:r>
        <w:rPr>
          <w:rFonts w:ascii="Arial" w:cs="Arial" w:eastAsia="Arial" w:hAnsi="Arial"/>
          <w:sz w:val="19"/>
          <w:szCs w:val="19"/>
          <w:color w:val="282828"/>
        </w:rPr>
        <w:t xml:space="preserve"> the foregoing subsections </w:t>
      </w:r>
      <w:r>
        <w:rPr>
          <w:rFonts w:ascii="Arial" w:cs="Arial" w:eastAsia="Arial" w:hAnsi="Arial"/>
          <w:sz w:val="19"/>
          <w:szCs w:val="19"/>
          <w:color w:val="3A3A3A"/>
        </w:rPr>
        <w:t>(i)</w:t>
      </w:r>
      <w:r>
        <w:rPr>
          <w:rFonts w:ascii="Arial" w:cs="Arial" w:eastAsia="Arial" w:hAnsi="Arial"/>
          <w:sz w:val="19"/>
          <w:szCs w:val="19"/>
          <w:color w:val="282828"/>
        </w:rPr>
        <w:t xml:space="preserve"> through </w:t>
      </w:r>
      <w:r>
        <w:rPr>
          <w:rFonts w:ascii="Arial" w:cs="Arial" w:eastAsia="Arial" w:hAnsi="Arial"/>
          <w:sz w:val="19"/>
          <w:szCs w:val="19"/>
          <w:color w:val="3A3A3A"/>
        </w:rPr>
        <w:t>(iv) will only constitute</w:t>
      </w:r>
      <w:r>
        <w:rPr>
          <w:rFonts w:ascii="Arial" w:cs="Arial" w:eastAsia="Arial" w:hAnsi="Arial"/>
          <w:sz w:val="19"/>
          <w:szCs w:val="19"/>
          <w:color w:val="282828"/>
        </w:rPr>
        <w:t xml:space="preserve"> Good Reason if </w:t>
      </w:r>
      <w:r>
        <w:rPr>
          <w:rFonts w:ascii="Arial" w:cs="Arial" w:eastAsia="Arial" w:hAnsi="Arial"/>
          <w:sz w:val="19"/>
          <w:szCs w:val="19"/>
          <w:color w:val="3A3A3A"/>
        </w:rPr>
        <w:t xml:space="preserve">such </w:t>
      </w:r>
      <w:r>
        <w:rPr>
          <w:rFonts w:ascii="Arial" w:cs="Arial" w:eastAsia="Arial" w:hAnsi="Arial"/>
          <w:sz w:val="19"/>
          <w:szCs w:val="19"/>
          <w:color w:val="282828"/>
        </w:rPr>
        <w:t>conduct is not</w:t>
      </w:r>
      <w:r>
        <w:rPr>
          <w:rFonts w:ascii="Arial" w:cs="Arial" w:eastAsia="Arial" w:hAnsi="Arial"/>
          <w:sz w:val="19"/>
          <w:szCs w:val="19"/>
          <w:color w:val="3A3A3A"/>
        </w:rPr>
        <w:t xml:space="preserve"> cured within </w:t>
      </w:r>
      <w:r>
        <w:rPr>
          <w:rFonts w:ascii="Arial" w:cs="Arial" w:eastAsia="Arial" w:hAnsi="Arial"/>
          <w:sz w:val="19"/>
          <w:szCs w:val="19"/>
          <w:color w:val="282828"/>
        </w:rPr>
        <w:t>thirty</w:t>
      </w:r>
      <w:r>
        <w:rPr>
          <w:rFonts w:ascii="Arial" w:cs="Arial" w:eastAsia="Arial" w:hAnsi="Arial"/>
          <w:sz w:val="19"/>
          <w:szCs w:val="19"/>
          <w:color w:val="3A3A3A"/>
        </w:rPr>
        <w:t xml:space="preserve"> (30) </w:t>
      </w:r>
      <w:r>
        <w:rPr>
          <w:rFonts w:ascii="Arial" w:cs="Arial" w:eastAsia="Arial" w:hAnsi="Arial"/>
          <w:sz w:val="19"/>
          <w:szCs w:val="19"/>
          <w:color w:val="282828"/>
        </w:rPr>
        <w:t>days</w:t>
      </w:r>
      <w:r>
        <w:rPr>
          <w:rFonts w:ascii="Arial" w:cs="Arial" w:eastAsia="Arial" w:hAnsi="Arial"/>
          <w:sz w:val="19"/>
          <w:szCs w:val="19"/>
          <w:color w:val="3A3A3A"/>
        </w:rPr>
        <w:t xml:space="preserve"> after </w:t>
      </w:r>
      <w:r>
        <w:rPr>
          <w:rFonts w:ascii="Arial" w:cs="Arial" w:eastAsia="Arial" w:hAnsi="Arial"/>
          <w:sz w:val="19"/>
          <w:szCs w:val="19"/>
          <w:color w:val="282828"/>
        </w:rPr>
        <w:t>the</w:t>
      </w:r>
      <w:r>
        <w:rPr>
          <w:rFonts w:ascii="Arial" w:cs="Arial" w:eastAsia="Arial" w:hAnsi="Arial"/>
          <w:sz w:val="19"/>
          <w:szCs w:val="19"/>
          <w:color w:val="3A3A3A"/>
        </w:rPr>
        <w:t xml:space="preserve"> Company's </w:t>
      </w:r>
      <w:r>
        <w:rPr>
          <w:rFonts w:ascii="Arial" w:cs="Arial" w:eastAsia="Arial" w:hAnsi="Arial"/>
          <w:sz w:val="19"/>
          <w:szCs w:val="19"/>
          <w:color w:val="282828"/>
        </w:rPr>
        <w:t>receipt of</w:t>
      </w:r>
      <w:r>
        <w:rPr>
          <w:rFonts w:ascii="Arial" w:cs="Arial" w:eastAsia="Arial" w:hAnsi="Arial"/>
          <w:sz w:val="19"/>
          <w:szCs w:val="19"/>
          <w:color w:val="3A3A3A"/>
        </w:rPr>
        <w:t xml:space="preserve"> written </w:t>
      </w:r>
      <w:r>
        <w:rPr>
          <w:rFonts w:ascii="Arial" w:cs="Arial" w:eastAsia="Arial" w:hAnsi="Arial"/>
          <w:sz w:val="19"/>
          <w:szCs w:val="19"/>
          <w:color w:val="282828"/>
        </w:rPr>
        <w:t>notice from</w:t>
      </w:r>
      <w:r>
        <w:rPr>
          <w:rFonts w:ascii="Arial" w:cs="Arial" w:eastAsia="Arial" w:hAnsi="Arial"/>
          <w:sz w:val="19"/>
          <w:szCs w:val="19"/>
          <w:color w:val="3A3A3A"/>
        </w:rPr>
        <w:t xml:space="preserve"> the </w:t>
      </w:r>
      <w:r>
        <w:rPr>
          <w:rFonts w:ascii="Arial" w:cs="Arial" w:eastAsia="Arial" w:hAnsi="Arial"/>
          <w:sz w:val="19"/>
          <w:szCs w:val="19"/>
          <w:color w:val="282828"/>
        </w:rPr>
        <w:t>Executive</w:t>
      </w:r>
      <w:r>
        <w:rPr>
          <w:rFonts w:ascii="Arial" w:cs="Arial" w:eastAsia="Arial" w:hAnsi="Arial"/>
          <w:sz w:val="19"/>
          <w:szCs w:val="19"/>
          <w:color w:val="3A3A3A"/>
        </w:rPr>
        <w:t xml:space="preserve"> specifying </w:t>
      </w:r>
      <w:r>
        <w:rPr>
          <w:rFonts w:ascii="Arial" w:cs="Arial" w:eastAsia="Arial" w:hAnsi="Arial"/>
          <w:sz w:val="19"/>
          <w:szCs w:val="19"/>
          <w:color w:val="282828"/>
        </w:rPr>
        <w:t>the</w:t>
      </w:r>
      <w:r>
        <w:rPr>
          <w:rFonts w:ascii="Arial" w:cs="Arial" w:eastAsia="Arial" w:hAnsi="Arial"/>
          <w:sz w:val="19"/>
          <w:szCs w:val="19"/>
          <w:color w:val="3A3A3A"/>
        </w:rPr>
        <w:t xml:space="preserve"> </w:t>
      </w:r>
      <w:r>
        <w:rPr>
          <w:rFonts w:ascii="Arial" w:cs="Arial" w:eastAsia="Arial" w:hAnsi="Arial"/>
          <w:sz w:val="19"/>
          <w:szCs w:val="19"/>
          <w:color w:val="282828"/>
        </w:rPr>
        <w:t xml:space="preserve">particulars of the </w:t>
      </w:r>
      <w:r>
        <w:rPr>
          <w:rFonts w:ascii="Arial" w:cs="Arial" w:eastAsia="Arial" w:hAnsi="Arial"/>
          <w:sz w:val="19"/>
          <w:szCs w:val="19"/>
          <w:color w:val="3A3A3A"/>
        </w:rPr>
        <w:t>conduct</w:t>
      </w:r>
      <w:r>
        <w:rPr>
          <w:rFonts w:ascii="Arial" w:cs="Arial" w:eastAsia="Arial" w:hAnsi="Arial"/>
          <w:sz w:val="19"/>
          <w:szCs w:val="19"/>
          <w:color w:val="282828"/>
        </w:rPr>
        <w:t xml:space="preserve"> the Executive believes constitutes Good Reason and such notice </w:t>
      </w:r>
      <w:r>
        <w:rPr>
          <w:rFonts w:ascii="Arial" w:cs="Arial" w:eastAsia="Arial" w:hAnsi="Arial"/>
          <w:sz w:val="19"/>
          <w:szCs w:val="19"/>
          <w:color w:val="3A3A3A"/>
        </w:rPr>
        <w:t>shall</w:t>
      </w:r>
      <w:r>
        <w:rPr>
          <w:rFonts w:ascii="Arial" w:cs="Arial" w:eastAsia="Arial" w:hAnsi="Arial"/>
          <w:sz w:val="19"/>
          <w:szCs w:val="19"/>
          <w:color w:val="282828"/>
        </w:rPr>
        <w:t xml:space="preserve"> be </w:t>
      </w:r>
      <w:r>
        <w:rPr>
          <w:rFonts w:ascii="Arial" w:cs="Arial" w:eastAsia="Arial" w:hAnsi="Arial"/>
          <w:sz w:val="19"/>
          <w:szCs w:val="19"/>
          <w:color w:val="3A3A3A"/>
        </w:rPr>
        <w:t>given</w:t>
      </w:r>
      <w:r>
        <w:rPr>
          <w:rFonts w:ascii="Arial" w:cs="Arial" w:eastAsia="Arial" w:hAnsi="Arial"/>
          <w:sz w:val="19"/>
          <w:szCs w:val="19"/>
          <w:color w:val="282828"/>
        </w:rPr>
        <w:t xml:space="preserve"> within </w:t>
      </w:r>
      <w:r>
        <w:rPr>
          <w:rFonts w:ascii="Arial" w:cs="Arial" w:eastAsia="Arial" w:hAnsi="Arial"/>
          <w:sz w:val="19"/>
          <w:szCs w:val="19"/>
          <w:color w:val="3A3A3A"/>
        </w:rPr>
        <w:t>thirty</w:t>
      </w:r>
      <w:r>
        <w:rPr>
          <w:rFonts w:ascii="Arial" w:cs="Arial" w:eastAsia="Arial" w:hAnsi="Arial"/>
          <w:sz w:val="19"/>
          <w:szCs w:val="19"/>
          <w:color w:val="282828"/>
        </w:rPr>
        <w:t xml:space="preserve"> (30) days of the occurrence of </w:t>
      </w:r>
      <w:r>
        <w:rPr>
          <w:rFonts w:ascii="Arial" w:cs="Arial" w:eastAsia="Arial" w:hAnsi="Arial"/>
          <w:sz w:val="19"/>
          <w:szCs w:val="19"/>
          <w:color w:val="3A3A3A"/>
        </w:rPr>
        <w:t>such</w:t>
      </w:r>
      <w:r>
        <w:rPr>
          <w:rFonts w:ascii="Arial" w:cs="Arial" w:eastAsia="Arial" w:hAnsi="Arial"/>
          <w:sz w:val="19"/>
          <w:szCs w:val="19"/>
          <w:color w:val="282828"/>
        </w:rPr>
        <w:t xml:space="preserve"> event or </w:t>
      </w:r>
      <w:r>
        <w:rPr>
          <w:rFonts w:ascii="Arial" w:cs="Arial" w:eastAsia="Arial" w:hAnsi="Arial"/>
          <w:sz w:val="19"/>
          <w:szCs w:val="19"/>
          <w:color w:val="3A3A3A"/>
        </w:rPr>
        <w:t>conduct.</w:t>
      </w:r>
    </w:p>
    <w:p>
      <w:pPr>
        <w:spacing w:after="0" w:line="162" w:lineRule="exact"/>
        <w:rPr>
          <w:rFonts w:ascii="Arial" w:cs="Arial" w:eastAsia="Arial" w:hAnsi="Arial"/>
          <w:sz w:val="19"/>
          <w:szCs w:val="19"/>
          <w:color w:val="282828"/>
        </w:rPr>
      </w:pPr>
    </w:p>
    <w:p>
      <w:pPr>
        <w:jc w:val="both"/>
        <w:ind w:right="360" w:firstLine="1281"/>
        <w:spacing w:after="0" w:line="274" w:lineRule="auto"/>
        <w:tabs>
          <w:tab w:leader="none" w:pos="2138" w:val="left"/>
        </w:tabs>
        <w:numPr>
          <w:ilvl w:val="1"/>
          <w:numId w:val="173"/>
        </w:numPr>
        <w:rPr>
          <w:rFonts w:ascii="Arial" w:cs="Arial" w:eastAsia="Arial" w:hAnsi="Arial"/>
          <w:sz w:val="18"/>
          <w:szCs w:val="18"/>
          <w:color w:val="3A3A3A"/>
        </w:rPr>
      </w:pPr>
      <w:r>
        <w:rPr>
          <w:rFonts w:ascii="Arial" w:cs="Arial" w:eastAsia="Arial" w:hAnsi="Arial"/>
          <w:sz w:val="18"/>
          <w:szCs w:val="18"/>
          <w:b w:val="1"/>
          <w:bCs w:val="1"/>
          <w:color w:val="282828"/>
        </w:rPr>
        <w:t xml:space="preserve">Change in Control. </w:t>
      </w:r>
      <w:r>
        <w:rPr>
          <w:rFonts w:ascii="Arial" w:cs="Arial" w:eastAsia="Arial" w:hAnsi="Arial"/>
          <w:sz w:val="18"/>
          <w:szCs w:val="18"/>
          <w:color w:val="3A3A3A"/>
        </w:rPr>
        <w:t>For</w:t>
      </w:r>
      <w:r>
        <w:rPr>
          <w:rFonts w:ascii="Arial" w:cs="Arial" w:eastAsia="Arial" w:hAnsi="Arial"/>
          <w:sz w:val="18"/>
          <w:szCs w:val="18"/>
          <w:b w:val="1"/>
          <w:bCs w:val="1"/>
          <w:color w:val="282828"/>
        </w:rPr>
        <w:t xml:space="preserve"> </w:t>
      </w:r>
      <w:r>
        <w:rPr>
          <w:rFonts w:ascii="Arial" w:cs="Arial" w:eastAsia="Arial" w:hAnsi="Arial"/>
          <w:sz w:val="18"/>
          <w:szCs w:val="18"/>
          <w:color w:val="282828"/>
        </w:rPr>
        <w:t>purposes</w:t>
      </w:r>
      <w:r>
        <w:rPr>
          <w:rFonts w:ascii="Arial" w:cs="Arial" w:eastAsia="Arial" w:hAnsi="Arial"/>
          <w:sz w:val="18"/>
          <w:szCs w:val="18"/>
          <w:b w:val="1"/>
          <w:bCs w:val="1"/>
          <w:color w:val="282828"/>
        </w:rPr>
        <w:t xml:space="preserve"> </w:t>
      </w:r>
      <w:r>
        <w:rPr>
          <w:rFonts w:ascii="Arial" w:cs="Arial" w:eastAsia="Arial" w:hAnsi="Arial"/>
          <w:sz w:val="18"/>
          <w:szCs w:val="18"/>
          <w:color w:val="3A3A3A"/>
        </w:rPr>
        <w:t>of</w:t>
      </w:r>
      <w:r>
        <w:rPr>
          <w:rFonts w:ascii="Arial" w:cs="Arial" w:eastAsia="Arial" w:hAnsi="Arial"/>
          <w:sz w:val="18"/>
          <w:szCs w:val="18"/>
          <w:b w:val="1"/>
          <w:bCs w:val="1"/>
          <w:color w:val="282828"/>
        </w:rPr>
        <w:t xml:space="preserve"> </w:t>
      </w:r>
      <w:r>
        <w:rPr>
          <w:rFonts w:ascii="Arial" w:cs="Arial" w:eastAsia="Arial" w:hAnsi="Arial"/>
          <w:sz w:val="18"/>
          <w:szCs w:val="18"/>
          <w:color w:val="282828"/>
        </w:rPr>
        <w:t>this</w:t>
      </w:r>
      <w:r>
        <w:rPr>
          <w:rFonts w:ascii="Arial" w:cs="Arial" w:eastAsia="Arial" w:hAnsi="Arial"/>
          <w:sz w:val="18"/>
          <w:szCs w:val="18"/>
          <w:b w:val="1"/>
          <w:bCs w:val="1"/>
          <w:color w:val="282828"/>
        </w:rPr>
        <w:t xml:space="preserve"> </w:t>
      </w:r>
      <w:r>
        <w:rPr>
          <w:rFonts w:ascii="Arial" w:cs="Arial" w:eastAsia="Arial" w:hAnsi="Arial"/>
          <w:sz w:val="18"/>
          <w:szCs w:val="18"/>
          <w:color w:val="3A3A3A"/>
        </w:rPr>
        <w:t>Agreement,</w:t>
      </w:r>
      <w:r>
        <w:rPr>
          <w:rFonts w:ascii="Arial" w:cs="Arial" w:eastAsia="Arial" w:hAnsi="Arial"/>
          <w:sz w:val="18"/>
          <w:szCs w:val="18"/>
          <w:b w:val="1"/>
          <w:bCs w:val="1"/>
          <w:color w:val="282828"/>
        </w:rPr>
        <w:t xml:space="preserve"> </w:t>
      </w:r>
      <w:r>
        <w:rPr>
          <w:rFonts w:ascii="Arial" w:cs="Arial" w:eastAsia="Arial" w:hAnsi="Arial"/>
          <w:sz w:val="18"/>
          <w:szCs w:val="18"/>
          <w:color w:val="646464"/>
        </w:rPr>
        <w:t>"</w:t>
      </w:r>
      <w:r>
        <w:rPr>
          <w:rFonts w:ascii="Arial" w:cs="Arial" w:eastAsia="Arial" w:hAnsi="Arial"/>
          <w:sz w:val="18"/>
          <w:szCs w:val="18"/>
          <w:color w:val="3A3A3A"/>
        </w:rPr>
        <w:t>Change</w:t>
      </w:r>
      <w:r>
        <w:rPr>
          <w:rFonts w:ascii="Arial" w:cs="Arial" w:eastAsia="Arial" w:hAnsi="Arial"/>
          <w:sz w:val="18"/>
          <w:szCs w:val="18"/>
          <w:b w:val="1"/>
          <w:bCs w:val="1"/>
          <w:color w:val="282828"/>
        </w:rPr>
        <w:t xml:space="preserve"> </w:t>
      </w:r>
      <w:r>
        <w:rPr>
          <w:rFonts w:ascii="Arial" w:cs="Arial" w:eastAsia="Arial" w:hAnsi="Arial"/>
          <w:sz w:val="18"/>
          <w:szCs w:val="18"/>
          <w:color w:val="282828"/>
        </w:rPr>
        <w:t>in</w:t>
      </w:r>
      <w:r>
        <w:rPr>
          <w:rFonts w:ascii="Arial" w:cs="Arial" w:eastAsia="Arial" w:hAnsi="Arial"/>
          <w:sz w:val="18"/>
          <w:szCs w:val="18"/>
          <w:b w:val="1"/>
          <w:bCs w:val="1"/>
          <w:color w:val="282828"/>
        </w:rPr>
        <w:t xml:space="preserve"> </w:t>
      </w:r>
      <w:r>
        <w:rPr>
          <w:rFonts w:ascii="Arial" w:cs="Arial" w:eastAsia="Arial" w:hAnsi="Arial"/>
          <w:sz w:val="18"/>
          <w:szCs w:val="18"/>
          <w:color w:val="3A3A3A"/>
        </w:rPr>
        <w:t>Control"</w:t>
      </w:r>
      <w:r>
        <w:rPr>
          <w:rFonts w:ascii="Arial" w:cs="Arial" w:eastAsia="Arial" w:hAnsi="Arial"/>
          <w:sz w:val="18"/>
          <w:szCs w:val="18"/>
          <w:b w:val="1"/>
          <w:bCs w:val="1"/>
          <w:color w:val="282828"/>
        </w:rPr>
        <w:t xml:space="preserve"> </w:t>
      </w:r>
      <w:r>
        <w:rPr>
          <w:rFonts w:ascii="Arial" w:cs="Arial" w:eastAsia="Arial" w:hAnsi="Arial"/>
          <w:sz w:val="18"/>
          <w:szCs w:val="18"/>
          <w:color w:val="282828"/>
        </w:rPr>
        <w:t>shall mean any</w:t>
      </w:r>
      <w:r>
        <w:rPr>
          <w:rFonts w:ascii="Arial" w:cs="Arial" w:eastAsia="Arial" w:hAnsi="Arial"/>
          <w:sz w:val="18"/>
          <w:szCs w:val="18"/>
          <w:b w:val="1"/>
          <w:bCs w:val="1"/>
          <w:color w:val="282828"/>
        </w:rPr>
        <w:t xml:space="preserve"> </w:t>
      </w:r>
      <w:r>
        <w:rPr>
          <w:rFonts w:ascii="Arial" w:cs="Arial" w:eastAsia="Arial" w:hAnsi="Arial"/>
          <w:sz w:val="18"/>
          <w:szCs w:val="18"/>
          <w:color w:val="3A3A3A"/>
        </w:rPr>
        <w:t>of</w:t>
      </w:r>
      <w:r>
        <w:rPr>
          <w:rFonts w:ascii="Arial" w:cs="Arial" w:eastAsia="Arial" w:hAnsi="Arial"/>
          <w:sz w:val="18"/>
          <w:szCs w:val="18"/>
          <w:b w:val="1"/>
          <w:bCs w:val="1"/>
          <w:color w:val="282828"/>
        </w:rPr>
        <w:t xml:space="preserve"> </w:t>
      </w:r>
      <w:r>
        <w:rPr>
          <w:rFonts w:ascii="Arial" w:cs="Arial" w:eastAsia="Arial" w:hAnsi="Arial"/>
          <w:sz w:val="18"/>
          <w:szCs w:val="18"/>
          <w:color w:val="282828"/>
        </w:rPr>
        <w:t>the</w:t>
      </w:r>
      <w:r>
        <w:rPr>
          <w:rFonts w:ascii="Arial" w:cs="Arial" w:eastAsia="Arial" w:hAnsi="Arial"/>
          <w:sz w:val="18"/>
          <w:szCs w:val="18"/>
          <w:b w:val="1"/>
          <w:bCs w:val="1"/>
          <w:color w:val="282828"/>
        </w:rPr>
        <w:t xml:space="preserve"> </w:t>
      </w:r>
      <w:r>
        <w:rPr>
          <w:rFonts w:ascii="Arial" w:cs="Arial" w:eastAsia="Arial" w:hAnsi="Arial"/>
          <w:sz w:val="18"/>
          <w:szCs w:val="18"/>
          <w:color w:val="282828"/>
        </w:rPr>
        <w:t xml:space="preserve">following events </w:t>
      </w:r>
      <w:r>
        <w:rPr>
          <w:rFonts w:ascii="Arial" w:cs="Arial" w:eastAsia="Arial" w:hAnsi="Arial"/>
          <w:sz w:val="18"/>
          <w:szCs w:val="18"/>
          <w:color w:val="3A3A3A"/>
        </w:rPr>
        <w:t>occurring after</w:t>
      </w:r>
      <w:r>
        <w:rPr>
          <w:rFonts w:ascii="Arial" w:cs="Arial" w:eastAsia="Arial" w:hAnsi="Arial"/>
          <w:sz w:val="18"/>
          <w:szCs w:val="18"/>
          <w:color w:val="282828"/>
        </w:rPr>
        <w:t xml:space="preserve"> the date </w:t>
      </w:r>
      <w:r>
        <w:rPr>
          <w:rFonts w:ascii="Arial" w:cs="Arial" w:eastAsia="Arial" w:hAnsi="Arial"/>
          <w:sz w:val="18"/>
          <w:szCs w:val="18"/>
          <w:color w:val="3A3A3A"/>
        </w:rPr>
        <w:t>of</w:t>
      </w:r>
      <w:r>
        <w:rPr>
          <w:rFonts w:ascii="Arial" w:cs="Arial" w:eastAsia="Arial" w:hAnsi="Arial"/>
          <w:sz w:val="18"/>
          <w:szCs w:val="18"/>
          <w:color w:val="282828"/>
        </w:rPr>
        <w:t xml:space="preserve"> this Agreement: </w:t>
      </w:r>
      <w:r>
        <w:rPr>
          <w:rFonts w:ascii="Arial" w:cs="Arial" w:eastAsia="Arial" w:hAnsi="Arial"/>
          <w:sz w:val="18"/>
          <w:szCs w:val="18"/>
          <w:color w:val="3A3A3A"/>
        </w:rPr>
        <w:t>(i)</w:t>
      </w:r>
      <w:r>
        <w:rPr>
          <w:rFonts w:ascii="Arial" w:cs="Arial" w:eastAsia="Arial" w:hAnsi="Arial"/>
          <w:sz w:val="18"/>
          <w:szCs w:val="18"/>
          <w:color w:val="282828"/>
        </w:rPr>
        <w:t xml:space="preserve">a </w:t>
      </w:r>
      <w:r>
        <w:rPr>
          <w:rFonts w:ascii="Arial" w:cs="Arial" w:eastAsia="Arial" w:hAnsi="Arial"/>
          <w:sz w:val="18"/>
          <w:szCs w:val="18"/>
          <w:color w:val="525252"/>
        </w:rPr>
        <w:t>s</w:t>
      </w:r>
      <w:r>
        <w:rPr>
          <w:rFonts w:ascii="Arial" w:cs="Arial" w:eastAsia="Arial" w:hAnsi="Arial"/>
          <w:sz w:val="18"/>
          <w:szCs w:val="18"/>
          <w:color w:val="282828"/>
        </w:rPr>
        <w:t xml:space="preserve">ale </w:t>
      </w:r>
      <w:r>
        <w:rPr>
          <w:rFonts w:ascii="Arial" w:cs="Arial" w:eastAsia="Arial" w:hAnsi="Arial"/>
          <w:sz w:val="18"/>
          <w:szCs w:val="18"/>
          <w:color w:val="3A3A3A"/>
        </w:rPr>
        <w:t>or</w:t>
      </w:r>
      <w:r>
        <w:rPr>
          <w:rFonts w:ascii="Arial" w:cs="Arial" w:eastAsia="Arial" w:hAnsi="Arial"/>
          <w:sz w:val="18"/>
          <w:szCs w:val="18"/>
          <w:color w:val="282828"/>
        </w:rPr>
        <w:t xml:space="preserve"> transfer of all </w:t>
      </w:r>
      <w:r>
        <w:rPr>
          <w:rFonts w:ascii="Arial" w:cs="Arial" w:eastAsia="Arial" w:hAnsi="Arial"/>
          <w:sz w:val="18"/>
          <w:szCs w:val="18"/>
          <w:color w:val="3A3A3A"/>
        </w:rPr>
        <w:t>or</w:t>
      </w:r>
      <w:r>
        <w:rPr>
          <w:rFonts w:ascii="Arial" w:cs="Arial" w:eastAsia="Arial" w:hAnsi="Arial"/>
          <w:sz w:val="18"/>
          <w:szCs w:val="18"/>
          <w:color w:val="282828"/>
        </w:rPr>
        <w:t xml:space="preserve"> substantially </w:t>
      </w:r>
      <w:r>
        <w:rPr>
          <w:rFonts w:ascii="Arial" w:cs="Arial" w:eastAsia="Arial" w:hAnsi="Arial"/>
          <w:sz w:val="18"/>
          <w:szCs w:val="18"/>
          <w:color w:val="3A3A3A"/>
        </w:rPr>
        <w:t>all of</w:t>
      </w:r>
      <w:r>
        <w:rPr>
          <w:rFonts w:ascii="Arial" w:cs="Arial" w:eastAsia="Arial" w:hAnsi="Arial"/>
          <w:sz w:val="18"/>
          <w:szCs w:val="18"/>
          <w:color w:val="282828"/>
        </w:rPr>
        <w:t xml:space="preserve"> the </w:t>
      </w:r>
      <w:r>
        <w:rPr>
          <w:rFonts w:ascii="Arial" w:cs="Arial" w:eastAsia="Arial" w:hAnsi="Arial"/>
          <w:sz w:val="18"/>
          <w:szCs w:val="18"/>
          <w:color w:val="3A3A3A"/>
        </w:rPr>
        <w:t>assets of</w:t>
      </w:r>
      <w:r>
        <w:rPr>
          <w:rFonts w:ascii="Arial" w:cs="Arial" w:eastAsia="Arial" w:hAnsi="Arial"/>
          <w:sz w:val="18"/>
          <w:szCs w:val="18"/>
          <w:color w:val="282828"/>
        </w:rPr>
        <w:t xml:space="preserve"> the </w:t>
      </w:r>
      <w:r>
        <w:rPr>
          <w:rFonts w:ascii="Arial" w:cs="Arial" w:eastAsia="Arial" w:hAnsi="Arial"/>
          <w:sz w:val="18"/>
          <w:szCs w:val="18"/>
          <w:color w:val="3A3A3A"/>
        </w:rPr>
        <w:t>Company</w:t>
      </w:r>
      <w:r>
        <w:rPr>
          <w:rFonts w:ascii="Arial" w:cs="Arial" w:eastAsia="Arial" w:hAnsi="Arial"/>
          <w:sz w:val="18"/>
          <w:szCs w:val="18"/>
          <w:color w:val="525252"/>
        </w:rPr>
        <w:t>;</w:t>
      </w:r>
      <w:r>
        <w:rPr>
          <w:rFonts w:ascii="Arial" w:cs="Arial" w:eastAsia="Arial" w:hAnsi="Arial"/>
          <w:sz w:val="18"/>
          <w:szCs w:val="18"/>
          <w:color w:val="3A3A3A"/>
        </w:rPr>
        <w:t xml:space="preserve"> (ii) any </w:t>
      </w:r>
      <w:r>
        <w:rPr>
          <w:rFonts w:ascii="Arial" w:cs="Arial" w:eastAsia="Arial" w:hAnsi="Arial"/>
          <w:sz w:val="18"/>
          <w:szCs w:val="18"/>
          <w:color w:val="282828"/>
        </w:rPr>
        <w:t>merger</w:t>
      </w:r>
      <w:r>
        <w:rPr>
          <w:rFonts w:ascii="Arial" w:cs="Arial" w:eastAsia="Arial" w:hAnsi="Arial"/>
          <w:sz w:val="18"/>
          <w:szCs w:val="18"/>
          <w:color w:val="525252"/>
        </w:rPr>
        <w:t>,</w:t>
      </w:r>
      <w:r>
        <w:rPr>
          <w:rFonts w:ascii="Arial" w:cs="Arial" w:eastAsia="Arial" w:hAnsi="Arial"/>
          <w:sz w:val="18"/>
          <w:szCs w:val="18"/>
          <w:color w:val="3A3A3A"/>
        </w:rPr>
        <w:t xml:space="preserve"> </w:t>
      </w:r>
      <w:r>
        <w:rPr>
          <w:rFonts w:ascii="Arial" w:cs="Arial" w:eastAsia="Arial" w:hAnsi="Arial"/>
          <w:sz w:val="18"/>
          <w:szCs w:val="18"/>
          <w:color w:val="282828"/>
        </w:rPr>
        <w:t>consolidation or acquisition of the</w:t>
      </w:r>
      <w:r>
        <w:rPr>
          <w:rFonts w:ascii="Arial" w:cs="Arial" w:eastAsia="Arial" w:hAnsi="Arial"/>
          <w:sz w:val="18"/>
          <w:szCs w:val="18"/>
          <w:color w:val="3A3A3A"/>
        </w:rPr>
        <w:t xml:space="preserve"> Company w</w:t>
      </w:r>
      <w:r>
        <w:rPr>
          <w:rFonts w:ascii="Arial" w:cs="Arial" w:eastAsia="Arial" w:hAnsi="Arial"/>
          <w:sz w:val="18"/>
          <w:szCs w:val="18"/>
          <w:color w:val="161616"/>
        </w:rPr>
        <w:t>i</w:t>
      </w:r>
      <w:r>
        <w:rPr>
          <w:rFonts w:ascii="Arial" w:cs="Arial" w:eastAsia="Arial" w:hAnsi="Arial"/>
          <w:sz w:val="18"/>
          <w:szCs w:val="18"/>
          <w:color w:val="3A3A3A"/>
        </w:rPr>
        <w:t xml:space="preserve">th, </w:t>
      </w:r>
      <w:r>
        <w:rPr>
          <w:rFonts w:ascii="Arial" w:cs="Arial" w:eastAsia="Arial" w:hAnsi="Arial"/>
          <w:sz w:val="18"/>
          <w:szCs w:val="18"/>
          <w:color w:val="282828"/>
        </w:rPr>
        <w:t>by or into</w:t>
      </w:r>
      <w:r>
        <w:rPr>
          <w:rFonts w:ascii="Arial" w:cs="Arial" w:eastAsia="Arial" w:hAnsi="Arial"/>
          <w:sz w:val="18"/>
          <w:szCs w:val="18"/>
          <w:color w:val="3A3A3A"/>
        </w:rPr>
        <w:t xml:space="preserve"> another </w:t>
      </w:r>
      <w:r>
        <w:rPr>
          <w:rFonts w:ascii="Arial" w:cs="Arial" w:eastAsia="Arial" w:hAnsi="Arial"/>
          <w:sz w:val="18"/>
          <w:szCs w:val="18"/>
          <w:color w:val="282828"/>
        </w:rPr>
        <w:t>corporation,</w:t>
      </w:r>
      <w:r>
        <w:rPr>
          <w:rFonts w:ascii="Arial" w:cs="Arial" w:eastAsia="Arial" w:hAnsi="Arial"/>
          <w:sz w:val="18"/>
          <w:szCs w:val="18"/>
          <w:color w:val="3A3A3A"/>
        </w:rPr>
        <w:t xml:space="preserve"> entity or </w:t>
      </w:r>
      <w:r>
        <w:rPr>
          <w:rFonts w:ascii="Arial" w:cs="Arial" w:eastAsia="Arial" w:hAnsi="Arial"/>
          <w:sz w:val="18"/>
          <w:szCs w:val="18"/>
          <w:color w:val="282828"/>
        </w:rPr>
        <w:t>person;</w:t>
      </w:r>
    </w:p>
    <w:p>
      <w:pPr>
        <w:spacing w:after="0" w:line="1" w:lineRule="exact"/>
        <w:rPr>
          <w:rFonts w:ascii="Arial" w:cs="Arial" w:eastAsia="Arial" w:hAnsi="Arial"/>
          <w:sz w:val="18"/>
          <w:szCs w:val="18"/>
          <w:color w:val="3A3A3A"/>
        </w:rPr>
      </w:pPr>
    </w:p>
    <w:p>
      <w:pPr>
        <w:ind w:right="380" w:firstLine="8"/>
        <w:spacing w:after="0" w:line="244" w:lineRule="auto"/>
        <w:tabs>
          <w:tab w:leader="none" w:pos="341" w:val="left"/>
        </w:tabs>
        <w:numPr>
          <w:ilvl w:val="0"/>
          <w:numId w:val="174"/>
        </w:numPr>
        <w:rPr>
          <w:rFonts w:ascii="Arial" w:cs="Arial" w:eastAsia="Arial" w:hAnsi="Arial"/>
          <w:sz w:val="20"/>
          <w:szCs w:val="20"/>
          <w:color w:val="282828"/>
        </w:rPr>
      </w:pPr>
      <w:r>
        <w:rPr>
          <w:rFonts w:ascii="Arial" w:cs="Arial" w:eastAsia="Arial" w:hAnsi="Arial"/>
          <w:sz w:val="20"/>
          <w:szCs w:val="20"/>
          <w:color w:val="3A3A3A"/>
        </w:rPr>
        <w:t xml:space="preserve">any </w:t>
      </w:r>
      <w:r>
        <w:rPr>
          <w:rFonts w:ascii="Arial" w:cs="Arial" w:eastAsia="Arial" w:hAnsi="Arial"/>
          <w:sz w:val="20"/>
          <w:szCs w:val="20"/>
          <w:color w:val="282828"/>
        </w:rPr>
        <w:t>change in ownership</w:t>
      </w:r>
      <w:r>
        <w:rPr>
          <w:rFonts w:ascii="Arial" w:cs="Arial" w:eastAsia="Arial" w:hAnsi="Arial"/>
          <w:sz w:val="20"/>
          <w:szCs w:val="20"/>
          <w:color w:val="3A3A3A"/>
        </w:rPr>
        <w:t xml:space="preserve"> of </w:t>
      </w:r>
      <w:r>
        <w:rPr>
          <w:rFonts w:ascii="Arial" w:cs="Arial" w:eastAsia="Arial" w:hAnsi="Arial"/>
          <w:sz w:val="20"/>
          <w:szCs w:val="20"/>
          <w:color w:val="282828"/>
        </w:rPr>
        <w:t>more than</w:t>
      </w:r>
      <w:r>
        <w:rPr>
          <w:rFonts w:ascii="Arial" w:cs="Arial" w:eastAsia="Arial" w:hAnsi="Arial"/>
          <w:sz w:val="20"/>
          <w:szCs w:val="20"/>
          <w:color w:val="3A3A3A"/>
        </w:rPr>
        <w:t xml:space="preserve"> fift</w:t>
      </w:r>
      <w:r>
        <w:rPr>
          <w:rFonts w:ascii="Arial" w:cs="Arial" w:eastAsia="Arial" w:hAnsi="Arial"/>
          <w:sz w:val="20"/>
          <w:szCs w:val="20"/>
          <w:color w:val="525252"/>
        </w:rPr>
        <w:t>y</w:t>
      </w:r>
      <w:r>
        <w:rPr>
          <w:rFonts w:ascii="Arial" w:cs="Arial" w:eastAsia="Arial" w:hAnsi="Arial"/>
          <w:sz w:val="20"/>
          <w:szCs w:val="20"/>
          <w:color w:val="3A3A3A"/>
        </w:rPr>
        <w:t xml:space="preserve"> </w:t>
      </w:r>
      <w:r>
        <w:rPr>
          <w:rFonts w:ascii="Arial" w:cs="Arial" w:eastAsia="Arial" w:hAnsi="Arial"/>
          <w:sz w:val="20"/>
          <w:szCs w:val="20"/>
          <w:color w:val="282828"/>
        </w:rPr>
        <w:t>percent (50%)</w:t>
      </w:r>
      <w:r>
        <w:rPr>
          <w:rFonts w:ascii="Arial" w:cs="Arial" w:eastAsia="Arial" w:hAnsi="Arial"/>
          <w:sz w:val="20"/>
          <w:szCs w:val="20"/>
          <w:color w:val="3A3A3A"/>
        </w:rPr>
        <w:t xml:space="preserve"> of </w:t>
      </w:r>
      <w:r>
        <w:rPr>
          <w:rFonts w:ascii="Arial" w:cs="Arial" w:eastAsia="Arial" w:hAnsi="Arial"/>
          <w:sz w:val="20"/>
          <w:szCs w:val="20"/>
          <w:color w:val="282828"/>
        </w:rPr>
        <w:t>the</w:t>
      </w:r>
      <w:r>
        <w:rPr>
          <w:rFonts w:ascii="Arial" w:cs="Arial" w:eastAsia="Arial" w:hAnsi="Arial"/>
          <w:sz w:val="20"/>
          <w:szCs w:val="20"/>
          <w:color w:val="3A3A3A"/>
        </w:rPr>
        <w:t xml:space="preserve"> voting </w:t>
      </w:r>
      <w:r>
        <w:rPr>
          <w:rFonts w:ascii="Arial" w:cs="Arial" w:eastAsia="Arial" w:hAnsi="Arial"/>
          <w:sz w:val="20"/>
          <w:szCs w:val="20"/>
          <w:color w:val="282828"/>
        </w:rPr>
        <w:t>capital</w:t>
      </w:r>
      <w:r>
        <w:rPr>
          <w:rFonts w:ascii="Arial" w:cs="Arial" w:eastAsia="Arial" w:hAnsi="Arial"/>
          <w:sz w:val="20"/>
          <w:szCs w:val="20"/>
          <w:color w:val="3A3A3A"/>
        </w:rPr>
        <w:t xml:space="preserve"> stock </w:t>
      </w:r>
      <w:r>
        <w:rPr>
          <w:rFonts w:ascii="Arial" w:cs="Arial" w:eastAsia="Arial" w:hAnsi="Arial"/>
          <w:sz w:val="20"/>
          <w:szCs w:val="20"/>
          <w:color w:val="282828"/>
        </w:rPr>
        <w:t>of</w:t>
      </w:r>
      <w:r>
        <w:rPr>
          <w:rFonts w:ascii="Arial" w:cs="Arial" w:eastAsia="Arial" w:hAnsi="Arial"/>
          <w:sz w:val="20"/>
          <w:szCs w:val="20"/>
          <w:color w:val="3A3A3A"/>
        </w:rPr>
        <w:t xml:space="preserve"> Company </w:t>
      </w:r>
      <w:r>
        <w:rPr>
          <w:rFonts w:ascii="Arial" w:cs="Arial" w:eastAsia="Arial" w:hAnsi="Arial"/>
          <w:sz w:val="20"/>
          <w:szCs w:val="20"/>
          <w:color w:val="282828"/>
        </w:rPr>
        <w:t>in one or more related</w:t>
      </w:r>
      <w:r>
        <w:rPr>
          <w:rFonts w:ascii="Arial" w:cs="Arial" w:eastAsia="Arial" w:hAnsi="Arial"/>
          <w:sz w:val="20"/>
          <w:szCs w:val="20"/>
          <w:color w:val="3A3A3A"/>
        </w:rPr>
        <w:t xml:space="preserve"> </w:t>
      </w:r>
      <w:r>
        <w:rPr>
          <w:rFonts w:ascii="Arial" w:cs="Arial" w:eastAsia="Arial" w:hAnsi="Arial"/>
          <w:sz w:val="20"/>
          <w:szCs w:val="20"/>
          <w:color w:val="282828"/>
        </w:rPr>
        <w:t xml:space="preserve">transactions such as </w:t>
      </w:r>
      <w:r>
        <w:rPr>
          <w:rFonts w:ascii="Arial" w:cs="Arial" w:eastAsia="Arial" w:hAnsi="Arial"/>
          <w:sz w:val="20"/>
          <w:szCs w:val="20"/>
          <w:color w:val="3A3A3A"/>
        </w:rPr>
        <w:t>a</w:t>
      </w:r>
      <w:r>
        <w:rPr>
          <w:rFonts w:ascii="Arial" w:cs="Arial" w:eastAsia="Arial" w:hAnsi="Arial"/>
          <w:sz w:val="20"/>
          <w:szCs w:val="20"/>
          <w:color w:val="282828"/>
        </w:rPr>
        <w:t xml:space="preserve"> buy out </w:t>
      </w:r>
      <w:r>
        <w:rPr>
          <w:rFonts w:ascii="Arial" w:cs="Arial" w:eastAsia="Arial" w:hAnsi="Arial"/>
          <w:sz w:val="20"/>
          <w:szCs w:val="20"/>
          <w:color w:val="3A3A3A"/>
        </w:rPr>
        <w:t>or exit</w:t>
      </w:r>
      <w:r>
        <w:rPr>
          <w:rFonts w:ascii="Arial" w:cs="Arial" w:eastAsia="Arial" w:hAnsi="Arial"/>
          <w:sz w:val="20"/>
          <w:szCs w:val="20"/>
          <w:color w:val="282828"/>
        </w:rPr>
        <w:t xml:space="preserve"> of the </w:t>
      </w:r>
      <w:r>
        <w:rPr>
          <w:rFonts w:ascii="Arial" w:cs="Arial" w:eastAsia="Arial" w:hAnsi="Arial"/>
          <w:sz w:val="20"/>
          <w:szCs w:val="20"/>
          <w:color w:val="3A3A3A"/>
        </w:rPr>
        <w:t>Company(but excluding any</w:t>
      </w:r>
      <w:r>
        <w:rPr>
          <w:rFonts w:ascii="Arial" w:cs="Arial" w:eastAsia="Arial" w:hAnsi="Arial"/>
          <w:sz w:val="20"/>
          <w:szCs w:val="20"/>
          <w:color w:val="282828"/>
        </w:rPr>
        <w:t xml:space="preserve"> change in </w:t>
      </w:r>
      <w:r>
        <w:rPr>
          <w:rFonts w:ascii="Arial" w:cs="Arial" w:eastAsia="Arial" w:hAnsi="Arial"/>
          <w:sz w:val="20"/>
          <w:szCs w:val="20"/>
          <w:color w:val="3A3A3A"/>
        </w:rPr>
        <w:t>stock</w:t>
      </w:r>
      <w:r>
        <w:rPr>
          <w:rFonts w:ascii="Arial" w:cs="Arial" w:eastAsia="Arial" w:hAnsi="Arial"/>
          <w:sz w:val="20"/>
          <w:szCs w:val="20"/>
          <w:color w:val="282828"/>
        </w:rPr>
        <w:t xml:space="preserve"> li</w:t>
      </w:r>
      <w:r>
        <w:rPr>
          <w:rFonts w:ascii="Arial" w:cs="Arial" w:eastAsia="Arial" w:hAnsi="Arial"/>
          <w:sz w:val="20"/>
          <w:szCs w:val="20"/>
          <w:color w:val="525252"/>
        </w:rPr>
        <w:t>s</w:t>
      </w:r>
      <w:r>
        <w:rPr>
          <w:rFonts w:ascii="Arial" w:cs="Arial" w:eastAsia="Arial" w:hAnsi="Arial"/>
          <w:sz w:val="20"/>
          <w:szCs w:val="20"/>
          <w:color w:val="282828"/>
        </w:rPr>
        <w:t>ting).</w:t>
      </w:r>
    </w:p>
    <w:p>
      <w:pPr>
        <w:spacing w:after="0" w:line="178" w:lineRule="exact"/>
        <w:rPr>
          <w:sz w:val="20"/>
          <w:szCs w:val="20"/>
          <w:color w:val="auto"/>
        </w:rPr>
      </w:pPr>
    </w:p>
    <w:p>
      <w:pPr>
        <w:ind w:left="600"/>
        <w:spacing w:after="0"/>
        <w:tabs>
          <w:tab w:leader="none" w:pos="1380" w:val="left"/>
        </w:tabs>
        <w:rPr>
          <w:sz w:val="20"/>
          <w:szCs w:val="20"/>
          <w:color w:val="auto"/>
        </w:rPr>
      </w:pPr>
      <w:r>
        <w:rPr>
          <w:rFonts w:ascii="Arial" w:cs="Arial" w:eastAsia="Arial" w:hAnsi="Arial"/>
          <w:sz w:val="20"/>
          <w:szCs w:val="20"/>
          <w:color w:val="3A3A3A"/>
        </w:rPr>
        <w:t>3.3</w:t>
      </w:r>
      <w:r>
        <w:rPr>
          <w:sz w:val="20"/>
          <w:szCs w:val="20"/>
          <w:color w:val="auto"/>
        </w:rPr>
        <w:tab/>
      </w:r>
      <w:r>
        <w:rPr>
          <w:rFonts w:ascii="Arial" w:cs="Arial" w:eastAsia="Arial" w:hAnsi="Arial"/>
          <w:sz w:val="18"/>
          <w:szCs w:val="18"/>
          <w:u w:val="single" w:color="auto"/>
          <w:color w:val="282828"/>
        </w:rPr>
        <w:t>Termination</w:t>
      </w:r>
    </w:p>
    <w:p>
      <w:pPr>
        <w:spacing w:after="0" w:line="210" w:lineRule="exact"/>
        <w:rPr>
          <w:sz w:val="20"/>
          <w:szCs w:val="20"/>
          <w:color w:val="auto"/>
        </w:rPr>
      </w:pPr>
    </w:p>
    <w:p>
      <w:pPr>
        <w:ind w:left="20" w:right="580" w:firstLine="1232"/>
        <w:spacing w:after="0" w:line="262" w:lineRule="auto"/>
        <w:tabs>
          <w:tab w:leader="none" w:pos="2125" w:val="left"/>
        </w:tabs>
        <w:numPr>
          <w:ilvl w:val="0"/>
          <w:numId w:val="175"/>
        </w:numPr>
        <w:rPr>
          <w:rFonts w:ascii="Arial" w:cs="Arial" w:eastAsia="Arial" w:hAnsi="Arial"/>
          <w:sz w:val="19"/>
          <w:szCs w:val="19"/>
          <w:color w:val="3A3A3A"/>
        </w:rPr>
      </w:pPr>
      <w:r>
        <w:rPr>
          <w:rFonts w:ascii="Arial" w:cs="Arial" w:eastAsia="Arial" w:hAnsi="Arial"/>
          <w:sz w:val="19"/>
          <w:szCs w:val="19"/>
          <w:b w:val="1"/>
          <w:bCs w:val="1"/>
          <w:color w:val="282828"/>
        </w:rPr>
        <w:t xml:space="preserve">Termination for Cause or Resignation without Good Reason. </w:t>
      </w:r>
      <w:r>
        <w:rPr>
          <w:rFonts w:ascii="Arial" w:cs="Arial" w:eastAsia="Arial" w:hAnsi="Arial"/>
          <w:sz w:val="19"/>
          <w:szCs w:val="19"/>
          <w:color w:val="282828"/>
        </w:rPr>
        <w:t>In</w:t>
      </w:r>
      <w:r>
        <w:rPr>
          <w:rFonts w:ascii="Arial" w:cs="Arial" w:eastAsia="Arial" w:hAnsi="Arial"/>
          <w:sz w:val="19"/>
          <w:szCs w:val="19"/>
          <w:b w:val="1"/>
          <w:bCs w:val="1"/>
          <w:color w:val="282828"/>
        </w:rPr>
        <w:t xml:space="preserve"> </w:t>
      </w:r>
      <w:r>
        <w:rPr>
          <w:rFonts w:ascii="Arial" w:cs="Arial" w:eastAsia="Arial" w:hAnsi="Arial"/>
          <w:sz w:val="19"/>
          <w:szCs w:val="19"/>
          <w:color w:val="3A3A3A"/>
        </w:rPr>
        <w:t>the event</w:t>
      </w:r>
      <w:r>
        <w:rPr>
          <w:rFonts w:ascii="Arial" w:cs="Arial" w:eastAsia="Arial" w:hAnsi="Arial"/>
          <w:sz w:val="19"/>
          <w:szCs w:val="19"/>
          <w:b w:val="1"/>
          <w:bCs w:val="1"/>
          <w:color w:val="282828"/>
        </w:rPr>
        <w:t xml:space="preserve"> </w:t>
      </w:r>
      <w:r>
        <w:rPr>
          <w:rFonts w:ascii="Arial" w:cs="Arial" w:eastAsia="Arial" w:hAnsi="Arial"/>
          <w:sz w:val="19"/>
          <w:szCs w:val="19"/>
          <w:color w:val="161616"/>
        </w:rPr>
        <w:t>th</w:t>
      </w:r>
      <w:r>
        <w:rPr>
          <w:rFonts w:ascii="Arial" w:cs="Arial" w:eastAsia="Arial" w:hAnsi="Arial"/>
          <w:sz w:val="19"/>
          <w:szCs w:val="19"/>
          <w:color w:val="3A3A3A"/>
        </w:rPr>
        <w:t>at the Company</w:t>
      </w:r>
      <w:r>
        <w:rPr>
          <w:rFonts w:ascii="Arial" w:cs="Arial" w:eastAsia="Arial" w:hAnsi="Arial"/>
          <w:sz w:val="19"/>
          <w:szCs w:val="19"/>
          <w:b w:val="1"/>
          <w:bCs w:val="1"/>
          <w:color w:val="282828"/>
        </w:rPr>
        <w:t xml:space="preserve"> </w:t>
      </w:r>
      <w:r>
        <w:rPr>
          <w:rFonts w:ascii="Arial" w:cs="Arial" w:eastAsia="Arial" w:hAnsi="Arial"/>
          <w:sz w:val="19"/>
          <w:szCs w:val="19"/>
          <w:color w:val="3A3A3A"/>
        </w:rPr>
        <w:t xml:space="preserve">terminates </w:t>
      </w:r>
      <w:r>
        <w:rPr>
          <w:rFonts w:ascii="Arial" w:cs="Arial" w:eastAsia="Arial" w:hAnsi="Arial"/>
          <w:sz w:val="19"/>
          <w:szCs w:val="19"/>
          <w:color w:val="282828"/>
        </w:rPr>
        <w:t>the</w:t>
      </w:r>
      <w:r>
        <w:rPr>
          <w:rFonts w:ascii="Arial" w:cs="Arial" w:eastAsia="Arial" w:hAnsi="Arial"/>
          <w:sz w:val="19"/>
          <w:szCs w:val="19"/>
          <w:color w:val="3A3A3A"/>
        </w:rPr>
        <w:t xml:space="preserve"> Executive</w:t>
      </w:r>
      <w:r>
        <w:rPr>
          <w:rFonts w:ascii="Arial" w:cs="Arial" w:eastAsia="Arial" w:hAnsi="Arial"/>
          <w:sz w:val="19"/>
          <w:szCs w:val="19"/>
          <w:color w:val="525252"/>
        </w:rPr>
        <w:t>'</w:t>
      </w:r>
      <w:r>
        <w:rPr>
          <w:rFonts w:ascii="Arial" w:cs="Arial" w:eastAsia="Arial" w:hAnsi="Arial"/>
          <w:sz w:val="19"/>
          <w:szCs w:val="19"/>
          <w:color w:val="3A3A3A"/>
        </w:rPr>
        <w:t xml:space="preserve"> </w:t>
      </w:r>
      <w:r>
        <w:rPr>
          <w:rFonts w:ascii="Arial" w:cs="Arial" w:eastAsia="Arial" w:hAnsi="Arial"/>
          <w:sz w:val="19"/>
          <w:szCs w:val="19"/>
          <w:color w:val="282828"/>
        </w:rPr>
        <w:t>s</w:t>
      </w:r>
      <w:r>
        <w:rPr>
          <w:rFonts w:ascii="Arial" w:cs="Arial" w:eastAsia="Arial" w:hAnsi="Arial"/>
          <w:sz w:val="19"/>
          <w:szCs w:val="19"/>
          <w:color w:val="3A3A3A"/>
        </w:rPr>
        <w:t xml:space="preserve"> employment for Cause or the Executive </w:t>
      </w:r>
      <w:r>
        <w:rPr>
          <w:rFonts w:ascii="Arial" w:cs="Arial" w:eastAsia="Arial" w:hAnsi="Arial"/>
          <w:sz w:val="19"/>
          <w:szCs w:val="19"/>
          <w:color w:val="282828"/>
        </w:rPr>
        <w:t>resigns his employment</w:t>
      </w:r>
      <w:r>
        <w:rPr>
          <w:rFonts w:ascii="Arial" w:cs="Arial" w:eastAsia="Arial" w:hAnsi="Arial"/>
          <w:sz w:val="19"/>
          <w:szCs w:val="19"/>
          <w:color w:val="3A3A3A"/>
        </w:rPr>
        <w:t xml:space="preserve"> without Good </w:t>
      </w:r>
      <w:r>
        <w:rPr>
          <w:rFonts w:ascii="Arial" w:cs="Arial" w:eastAsia="Arial" w:hAnsi="Arial"/>
          <w:sz w:val="19"/>
          <w:szCs w:val="19"/>
          <w:color w:val="282828"/>
        </w:rPr>
        <w:t>Reason</w:t>
      </w:r>
      <w:r>
        <w:rPr>
          <w:rFonts w:ascii="Arial" w:cs="Arial" w:eastAsia="Arial" w:hAnsi="Arial"/>
          <w:sz w:val="19"/>
          <w:szCs w:val="19"/>
          <w:color w:val="646464"/>
        </w:rPr>
        <w:t>,</w:t>
      </w:r>
      <w:r>
        <w:rPr>
          <w:rFonts w:ascii="Arial" w:cs="Arial" w:eastAsia="Arial" w:hAnsi="Arial"/>
          <w:sz w:val="19"/>
          <w:szCs w:val="19"/>
          <w:color w:val="3A3A3A"/>
        </w:rPr>
        <w:t xml:space="preserve"> </w:t>
      </w:r>
      <w:r>
        <w:rPr>
          <w:rFonts w:ascii="Arial" w:cs="Arial" w:eastAsia="Arial" w:hAnsi="Arial"/>
          <w:sz w:val="19"/>
          <w:szCs w:val="19"/>
          <w:color w:val="282828"/>
        </w:rPr>
        <w:t>this</w:t>
      </w:r>
      <w:r>
        <w:rPr>
          <w:rFonts w:ascii="Arial" w:cs="Arial" w:eastAsia="Arial" w:hAnsi="Arial"/>
          <w:sz w:val="19"/>
          <w:szCs w:val="19"/>
          <w:color w:val="3A3A3A"/>
        </w:rPr>
        <w:t xml:space="preserve"> Agreement will </w:t>
      </w:r>
      <w:r>
        <w:rPr>
          <w:rFonts w:ascii="Arial" w:cs="Arial" w:eastAsia="Arial" w:hAnsi="Arial"/>
          <w:sz w:val="19"/>
          <w:szCs w:val="19"/>
          <w:color w:val="282828"/>
        </w:rPr>
        <w:t>terminate without</w:t>
      </w:r>
      <w:r>
        <w:rPr>
          <w:rFonts w:ascii="Arial" w:cs="Arial" w:eastAsia="Arial" w:hAnsi="Arial"/>
          <w:sz w:val="19"/>
          <w:szCs w:val="19"/>
          <w:color w:val="3A3A3A"/>
        </w:rPr>
        <w:t xml:space="preserve"> furtherobligations </w:t>
      </w:r>
      <w:r>
        <w:rPr>
          <w:rFonts w:ascii="Arial" w:cs="Arial" w:eastAsia="Arial" w:hAnsi="Arial"/>
          <w:sz w:val="19"/>
          <w:szCs w:val="19"/>
          <w:color w:val="282828"/>
        </w:rPr>
        <w:t>to</w:t>
      </w:r>
      <w:r>
        <w:rPr>
          <w:rFonts w:ascii="Arial" w:cs="Arial" w:eastAsia="Arial" w:hAnsi="Arial"/>
          <w:sz w:val="19"/>
          <w:szCs w:val="19"/>
          <w:color w:val="3A3A3A"/>
        </w:rPr>
        <w:t xml:space="preserve"> Executive </w:t>
      </w:r>
      <w:r>
        <w:rPr>
          <w:rFonts w:ascii="Arial" w:cs="Arial" w:eastAsia="Arial" w:hAnsi="Arial"/>
          <w:sz w:val="19"/>
          <w:szCs w:val="19"/>
          <w:color w:val="282828"/>
        </w:rPr>
        <w:t>other than the following:</w:t>
      </w:r>
      <w:r>
        <w:rPr>
          <w:rFonts w:ascii="Arial" w:cs="Arial" w:eastAsia="Arial" w:hAnsi="Arial"/>
          <w:sz w:val="19"/>
          <w:szCs w:val="19"/>
          <w:color w:val="3A3A3A"/>
        </w:rPr>
        <w:t xml:space="preserve"> Executive shall </w:t>
      </w:r>
      <w:r>
        <w:rPr>
          <w:rFonts w:ascii="Arial" w:cs="Arial" w:eastAsia="Arial" w:hAnsi="Arial"/>
          <w:sz w:val="19"/>
          <w:szCs w:val="19"/>
          <w:color w:val="282828"/>
        </w:rPr>
        <w:t>be</w:t>
      </w:r>
      <w:r>
        <w:rPr>
          <w:rFonts w:ascii="Arial" w:cs="Arial" w:eastAsia="Arial" w:hAnsi="Arial"/>
          <w:sz w:val="19"/>
          <w:szCs w:val="19"/>
          <w:color w:val="3A3A3A"/>
        </w:rPr>
        <w:t xml:space="preserve"> entit</w:t>
      </w:r>
      <w:r>
        <w:rPr>
          <w:rFonts w:ascii="Arial" w:cs="Arial" w:eastAsia="Arial" w:hAnsi="Arial"/>
          <w:sz w:val="19"/>
          <w:szCs w:val="19"/>
          <w:color w:val="161616"/>
        </w:rPr>
        <w:t>led</w:t>
      </w:r>
      <w:r>
        <w:rPr>
          <w:rFonts w:ascii="Arial" w:cs="Arial" w:eastAsia="Arial" w:hAnsi="Arial"/>
          <w:sz w:val="19"/>
          <w:szCs w:val="19"/>
          <w:color w:val="3A3A3A"/>
        </w:rPr>
        <w:t xml:space="preserve"> </w:t>
      </w:r>
      <w:r>
        <w:rPr>
          <w:rFonts w:ascii="Arial" w:cs="Arial" w:eastAsia="Arial" w:hAnsi="Arial"/>
          <w:sz w:val="19"/>
          <w:szCs w:val="19"/>
          <w:color w:val="282828"/>
        </w:rPr>
        <w:t>to</w:t>
      </w:r>
      <w:r>
        <w:rPr>
          <w:rFonts w:ascii="Arial" w:cs="Arial" w:eastAsia="Arial" w:hAnsi="Arial"/>
          <w:sz w:val="19"/>
          <w:szCs w:val="19"/>
          <w:color w:val="3A3A3A"/>
        </w:rPr>
        <w:t xml:space="preserve"> </w:t>
      </w:r>
      <w:r>
        <w:rPr>
          <w:rFonts w:ascii="Arial" w:cs="Arial" w:eastAsia="Arial" w:hAnsi="Arial"/>
          <w:sz w:val="19"/>
          <w:szCs w:val="19"/>
          <w:color w:val="282828"/>
        </w:rPr>
        <w:t xml:space="preserve">receive </w:t>
      </w:r>
      <w:r>
        <w:rPr>
          <w:rFonts w:ascii="Arial" w:cs="Arial" w:eastAsia="Arial" w:hAnsi="Arial"/>
          <w:sz w:val="19"/>
          <w:szCs w:val="19"/>
          <w:color w:val="3A3A3A"/>
        </w:rPr>
        <w:t>his</w:t>
      </w:r>
      <w:r>
        <w:rPr>
          <w:rFonts w:ascii="Arial" w:cs="Arial" w:eastAsia="Arial" w:hAnsi="Arial"/>
          <w:sz w:val="19"/>
          <w:szCs w:val="19"/>
          <w:color w:val="282828"/>
        </w:rPr>
        <w:t xml:space="preserve"> unpaid base </w:t>
      </w:r>
      <w:r>
        <w:rPr>
          <w:rFonts w:ascii="Arial" w:cs="Arial" w:eastAsia="Arial" w:hAnsi="Arial"/>
          <w:sz w:val="19"/>
          <w:szCs w:val="19"/>
          <w:color w:val="3A3A3A"/>
        </w:rPr>
        <w:t>salary earned</w:t>
      </w:r>
      <w:r>
        <w:rPr>
          <w:rFonts w:ascii="Arial" w:cs="Arial" w:eastAsia="Arial" w:hAnsi="Arial"/>
          <w:sz w:val="19"/>
          <w:szCs w:val="19"/>
          <w:color w:val="282828"/>
        </w:rPr>
        <w:t xml:space="preserve"> through his last day </w:t>
      </w:r>
      <w:r>
        <w:rPr>
          <w:rFonts w:ascii="Arial" w:cs="Arial" w:eastAsia="Arial" w:hAnsi="Arial"/>
          <w:sz w:val="19"/>
          <w:szCs w:val="19"/>
          <w:color w:val="3A3A3A"/>
        </w:rPr>
        <w:t>of</w:t>
      </w:r>
      <w:r>
        <w:rPr>
          <w:rFonts w:ascii="Arial" w:cs="Arial" w:eastAsia="Arial" w:hAnsi="Arial"/>
          <w:sz w:val="19"/>
          <w:szCs w:val="19"/>
          <w:color w:val="282828"/>
        </w:rPr>
        <w:t xml:space="preserve"> employment</w:t>
      </w:r>
      <w:r>
        <w:rPr>
          <w:rFonts w:ascii="Arial" w:cs="Arial" w:eastAsia="Arial" w:hAnsi="Arial"/>
          <w:sz w:val="19"/>
          <w:szCs w:val="19"/>
          <w:color w:val="525252"/>
        </w:rPr>
        <w:t>,</w:t>
      </w:r>
      <w:r>
        <w:rPr>
          <w:rFonts w:ascii="Arial" w:cs="Arial" w:eastAsia="Arial" w:hAnsi="Arial"/>
          <w:sz w:val="19"/>
          <w:szCs w:val="19"/>
          <w:color w:val="282828"/>
        </w:rPr>
        <w:t xml:space="preserve"> </w:t>
      </w:r>
      <w:r>
        <w:rPr>
          <w:rFonts w:ascii="Arial" w:cs="Arial" w:eastAsia="Arial" w:hAnsi="Arial"/>
          <w:sz w:val="19"/>
          <w:szCs w:val="19"/>
          <w:color w:val="3A3A3A"/>
        </w:rPr>
        <w:t>accrued but</w:t>
      </w:r>
      <w:r>
        <w:rPr>
          <w:rFonts w:ascii="Arial" w:cs="Arial" w:eastAsia="Arial" w:hAnsi="Arial"/>
          <w:sz w:val="19"/>
          <w:szCs w:val="19"/>
          <w:color w:val="282828"/>
        </w:rPr>
        <w:t xml:space="preserve"> unused </w:t>
      </w:r>
      <w:r>
        <w:rPr>
          <w:rFonts w:ascii="Arial" w:cs="Arial" w:eastAsia="Arial" w:hAnsi="Arial"/>
          <w:sz w:val="19"/>
          <w:szCs w:val="19"/>
          <w:color w:val="3A3A3A"/>
        </w:rPr>
        <w:t>vacation</w:t>
      </w:r>
      <w:r>
        <w:rPr>
          <w:rFonts w:ascii="Arial" w:cs="Arial" w:eastAsia="Arial" w:hAnsi="Arial"/>
          <w:sz w:val="19"/>
          <w:szCs w:val="19"/>
          <w:color w:val="282828"/>
        </w:rPr>
        <w:t xml:space="preserve"> pay, </w:t>
      </w:r>
      <w:r>
        <w:rPr>
          <w:rFonts w:ascii="Arial" w:cs="Arial" w:eastAsia="Arial" w:hAnsi="Arial"/>
          <w:sz w:val="19"/>
          <w:szCs w:val="19"/>
          <w:color w:val="3A3A3A"/>
        </w:rPr>
        <w:t>and</w:t>
      </w:r>
      <w:r>
        <w:rPr>
          <w:rFonts w:ascii="Arial" w:cs="Arial" w:eastAsia="Arial" w:hAnsi="Arial"/>
          <w:sz w:val="19"/>
          <w:szCs w:val="19"/>
          <w:color w:val="282828"/>
        </w:rPr>
        <w:t xml:space="preserve"> vested benefits through </w:t>
      </w:r>
      <w:r>
        <w:rPr>
          <w:rFonts w:ascii="Arial" w:cs="Arial" w:eastAsia="Arial" w:hAnsi="Arial"/>
          <w:sz w:val="19"/>
          <w:szCs w:val="19"/>
          <w:color w:val="3A3A3A"/>
        </w:rPr>
        <w:t>and</w:t>
      </w:r>
      <w:r>
        <w:rPr>
          <w:rFonts w:ascii="Arial" w:cs="Arial" w:eastAsia="Arial" w:hAnsi="Arial"/>
          <w:sz w:val="19"/>
          <w:szCs w:val="19"/>
          <w:color w:val="282828"/>
        </w:rPr>
        <w:t xml:space="preserve"> including </w:t>
      </w:r>
      <w:r>
        <w:rPr>
          <w:rFonts w:ascii="Arial" w:cs="Arial" w:eastAsia="Arial" w:hAnsi="Arial"/>
          <w:sz w:val="19"/>
          <w:szCs w:val="19"/>
          <w:color w:val="3A3A3A"/>
        </w:rPr>
        <w:t>Executive's</w:t>
      </w:r>
      <w:r>
        <w:rPr>
          <w:rFonts w:ascii="Arial" w:cs="Arial" w:eastAsia="Arial" w:hAnsi="Arial"/>
          <w:sz w:val="19"/>
          <w:szCs w:val="19"/>
          <w:color w:val="282828"/>
        </w:rPr>
        <w:t xml:space="preserve"> </w:t>
      </w:r>
      <w:r>
        <w:rPr>
          <w:rFonts w:ascii="Arial" w:cs="Arial" w:eastAsia="Arial" w:hAnsi="Arial"/>
          <w:sz w:val="19"/>
          <w:szCs w:val="19"/>
          <w:color w:val="161616"/>
        </w:rPr>
        <w:t>l</w:t>
      </w:r>
      <w:r>
        <w:rPr>
          <w:rFonts w:ascii="Arial" w:cs="Arial" w:eastAsia="Arial" w:hAnsi="Arial"/>
          <w:sz w:val="19"/>
          <w:szCs w:val="19"/>
          <w:color w:val="3A3A3A"/>
        </w:rPr>
        <w:t>ast</w:t>
      </w:r>
      <w:r>
        <w:rPr>
          <w:rFonts w:ascii="Arial" w:cs="Arial" w:eastAsia="Arial" w:hAnsi="Arial"/>
          <w:sz w:val="19"/>
          <w:szCs w:val="19"/>
          <w:color w:val="282828"/>
        </w:rPr>
        <w:t xml:space="preserve"> day </w:t>
      </w:r>
      <w:r>
        <w:rPr>
          <w:rFonts w:ascii="Arial" w:cs="Arial" w:eastAsia="Arial" w:hAnsi="Arial"/>
          <w:sz w:val="19"/>
          <w:szCs w:val="19"/>
          <w:color w:val="3A3A3A"/>
        </w:rPr>
        <w:t>of</w:t>
      </w:r>
      <w:r>
        <w:rPr>
          <w:rFonts w:ascii="Arial" w:cs="Arial" w:eastAsia="Arial" w:hAnsi="Arial"/>
          <w:sz w:val="19"/>
          <w:szCs w:val="19"/>
          <w:color w:val="282828"/>
        </w:rPr>
        <w:t xml:space="preserve"> employment.</w:t>
      </w:r>
    </w:p>
    <w:p>
      <w:pPr>
        <w:spacing w:after="0" w:line="157" w:lineRule="exact"/>
        <w:rPr>
          <w:rFonts w:ascii="Arial" w:cs="Arial" w:eastAsia="Arial" w:hAnsi="Arial"/>
          <w:sz w:val="19"/>
          <w:szCs w:val="19"/>
          <w:color w:val="3A3A3A"/>
        </w:rPr>
      </w:pPr>
    </w:p>
    <w:p>
      <w:pPr>
        <w:ind w:left="20" w:right="160" w:firstLine="1247"/>
        <w:spacing w:after="0" w:line="246" w:lineRule="auto"/>
        <w:tabs>
          <w:tab w:leader="none" w:pos="2145" w:val="left"/>
        </w:tabs>
        <w:numPr>
          <w:ilvl w:val="1"/>
          <w:numId w:val="175"/>
        </w:numPr>
        <w:rPr>
          <w:rFonts w:ascii="Arial" w:cs="Arial" w:eastAsia="Arial" w:hAnsi="Arial"/>
          <w:sz w:val="20"/>
          <w:szCs w:val="20"/>
          <w:color w:val="3A3A3A"/>
        </w:rPr>
      </w:pPr>
      <w:r>
        <w:rPr>
          <w:rFonts w:ascii="Arial" w:cs="Arial" w:eastAsia="Arial" w:hAnsi="Arial"/>
          <w:sz w:val="20"/>
          <w:szCs w:val="20"/>
          <w:b w:val="1"/>
          <w:bCs w:val="1"/>
          <w:color w:val="282828"/>
        </w:rPr>
        <w:t xml:space="preserve">Involuntary Termination Without Cause or Resignation With Good Reason. </w:t>
      </w:r>
      <w:r>
        <w:rPr>
          <w:rFonts w:ascii="Arial" w:cs="Arial" w:eastAsia="Arial" w:hAnsi="Arial"/>
          <w:sz w:val="20"/>
          <w:szCs w:val="20"/>
          <w:color w:val="282828"/>
        </w:rPr>
        <w:t>In the</w:t>
      </w:r>
      <w:r>
        <w:rPr>
          <w:rFonts w:ascii="Arial" w:cs="Arial" w:eastAsia="Arial" w:hAnsi="Arial"/>
          <w:sz w:val="20"/>
          <w:szCs w:val="20"/>
          <w:b w:val="1"/>
          <w:bCs w:val="1"/>
          <w:color w:val="282828"/>
        </w:rPr>
        <w:t xml:space="preserve"> </w:t>
      </w:r>
      <w:r>
        <w:rPr>
          <w:rFonts w:ascii="Arial" w:cs="Arial" w:eastAsia="Arial" w:hAnsi="Arial"/>
          <w:sz w:val="20"/>
          <w:szCs w:val="20"/>
          <w:color w:val="3A3A3A"/>
        </w:rPr>
        <w:t>even</w:t>
      </w:r>
      <w:r>
        <w:rPr>
          <w:rFonts w:ascii="Arial" w:cs="Arial" w:eastAsia="Arial" w:hAnsi="Arial"/>
          <w:sz w:val="20"/>
          <w:szCs w:val="20"/>
          <w:color w:val="161616"/>
        </w:rPr>
        <w:t>t</w:t>
      </w:r>
      <w:r>
        <w:rPr>
          <w:rFonts w:ascii="Arial" w:cs="Arial" w:eastAsia="Arial" w:hAnsi="Arial"/>
          <w:sz w:val="20"/>
          <w:szCs w:val="20"/>
          <w:b w:val="1"/>
          <w:bCs w:val="1"/>
          <w:color w:val="282828"/>
        </w:rPr>
        <w:t xml:space="preserve"> </w:t>
      </w:r>
      <w:r>
        <w:rPr>
          <w:rFonts w:ascii="Arial" w:cs="Arial" w:eastAsia="Arial" w:hAnsi="Arial"/>
          <w:sz w:val="20"/>
          <w:szCs w:val="20"/>
          <w:color w:val="3A3A3A"/>
        </w:rPr>
        <w:t>of</w:t>
      </w:r>
      <w:r>
        <w:rPr>
          <w:rFonts w:ascii="Arial" w:cs="Arial" w:eastAsia="Arial" w:hAnsi="Arial"/>
          <w:sz w:val="20"/>
          <w:szCs w:val="20"/>
          <w:b w:val="1"/>
          <w:bCs w:val="1"/>
          <w:color w:val="282828"/>
        </w:rPr>
        <w:t xml:space="preserve"> </w:t>
      </w:r>
      <w:r>
        <w:rPr>
          <w:rFonts w:ascii="Arial" w:cs="Arial" w:eastAsia="Arial" w:hAnsi="Arial"/>
          <w:sz w:val="20"/>
          <w:szCs w:val="20"/>
          <w:color w:val="3A3A3A"/>
        </w:rPr>
        <w:t xml:space="preserve">either </w:t>
      </w:r>
      <w:r>
        <w:rPr>
          <w:rFonts w:ascii="Arial" w:cs="Arial" w:eastAsia="Arial" w:hAnsi="Arial"/>
          <w:sz w:val="20"/>
          <w:szCs w:val="20"/>
          <w:color w:val="282828"/>
        </w:rPr>
        <w:t>an involuntary</w:t>
      </w:r>
      <w:r>
        <w:rPr>
          <w:rFonts w:ascii="Arial" w:cs="Arial" w:eastAsia="Arial" w:hAnsi="Arial"/>
          <w:sz w:val="20"/>
          <w:szCs w:val="20"/>
          <w:color w:val="3A3A3A"/>
        </w:rPr>
        <w:t xml:space="preserve"> termination of </w:t>
      </w:r>
      <w:r>
        <w:rPr>
          <w:rFonts w:ascii="Arial" w:cs="Arial" w:eastAsia="Arial" w:hAnsi="Arial"/>
          <w:sz w:val="20"/>
          <w:szCs w:val="20"/>
          <w:color w:val="282828"/>
        </w:rPr>
        <w:t>the</w:t>
      </w:r>
      <w:r>
        <w:rPr>
          <w:rFonts w:ascii="Arial" w:cs="Arial" w:eastAsia="Arial" w:hAnsi="Arial"/>
          <w:sz w:val="20"/>
          <w:szCs w:val="20"/>
          <w:color w:val="3A3A3A"/>
        </w:rPr>
        <w:t xml:space="preserve"> Executive</w:t>
      </w:r>
      <w:r>
        <w:rPr>
          <w:rFonts w:ascii="Arial" w:cs="Arial" w:eastAsia="Arial" w:hAnsi="Arial"/>
          <w:sz w:val="20"/>
          <w:szCs w:val="20"/>
          <w:color w:val="646464"/>
        </w:rPr>
        <w:t>'</w:t>
      </w:r>
      <w:r>
        <w:rPr>
          <w:rFonts w:ascii="Arial" w:cs="Arial" w:eastAsia="Arial" w:hAnsi="Arial"/>
          <w:sz w:val="20"/>
          <w:szCs w:val="20"/>
          <w:color w:val="3A3A3A"/>
        </w:rPr>
        <w:t xml:space="preserve"> s employment Without Cause or </w:t>
      </w:r>
      <w:r>
        <w:rPr>
          <w:rFonts w:ascii="Arial" w:cs="Arial" w:eastAsia="Arial" w:hAnsi="Arial"/>
          <w:sz w:val="20"/>
          <w:szCs w:val="20"/>
          <w:color w:val="282828"/>
        </w:rPr>
        <w:t>a</w:t>
      </w:r>
      <w:r>
        <w:rPr>
          <w:rFonts w:ascii="Arial" w:cs="Arial" w:eastAsia="Arial" w:hAnsi="Arial"/>
          <w:sz w:val="20"/>
          <w:szCs w:val="20"/>
          <w:color w:val="3A3A3A"/>
        </w:rPr>
        <w:t xml:space="preserve"> voluntary </w:t>
      </w:r>
      <w:r>
        <w:rPr>
          <w:rFonts w:ascii="Arial" w:cs="Arial" w:eastAsia="Arial" w:hAnsi="Arial"/>
          <w:sz w:val="20"/>
          <w:szCs w:val="20"/>
          <w:color w:val="282828"/>
        </w:rPr>
        <w:t>resignation by the</w:t>
      </w:r>
      <w:r>
        <w:rPr>
          <w:rFonts w:ascii="Arial" w:cs="Arial" w:eastAsia="Arial" w:hAnsi="Arial"/>
          <w:sz w:val="20"/>
          <w:szCs w:val="20"/>
          <w:color w:val="3A3A3A"/>
        </w:rPr>
        <w:t xml:space="preserve"> Executive </w:t>
      </w:r>
      <w:r>
        <w:rPr>
          <w:rFonts w:ascii="Arial" w:cs="Arial" w:eastAsia="Arial" w:hAnsi="Arial"/>
          <w:sz w:val="20"/>
          <w:szCs w:val="20"/>
          <w:color w:val="282828"/>
        </w:rPr>
        <w:t>for</w:t>
      </w:r>
      <w:r>
        <w:rPr>
          <w:rFonts w:ascii="Arial" w:cs="Arial" w:eastAsia="Arial" w:hAnsi="Arial"/>
          <w:sz w:val="20"/>
          <w:szCs w:val="20"/>
          <w:color w:val="3A3A3A"/>
        </w:rPr>
        <w:t xml:space="preserve"> Good Reason</w:t>
      </w:r>
      <w:r>
        <w:rPr>
          <w:rFonts w:ascii="Arial" w:cs="Arial" w:eastAsia="Arial" w:hAnsi="Arial"/>
          <w:sz w:val="20"/>
          <w:szCs w:val="20"/>
          <w:color w:val="646464"/>
        </w:rPr>
        <w:t>,</w:t>
      </w:r>
      <w:r>
        <w:rPr>
          <w:rFonts w:ascii="Arial" w:cs="Arial" w:eastAsia="Arial" w:hAnsi="Arial"/>
          <w:sz w:val="20"/>
          <w:szCs w:val="20"/>
          <w:color w:val="3A3A3A"/>
        </w:rPr>
        <w:t xml:space="preserve"> in exchange for </w:t>
      </w:r>
      <w:r>
        <w:rPr>
          <w:rFonts w:ascii="Arial" w:cs="Arial" w:eastAsia="Arial" w:hAnsi="Arial"/>
          <w:sz w:val="20"/>
          <w:szCs w:val="20"/>
          <w:color w:val="282828"/>
        </w:rPr>
        <w:t>the</w:t>
      </w:r>
      <w:r>
        <w:rPr>
          <w:rFonts w:ascii="Arial" w:cs="Arial" w:eastAsia="Arial" w:hAnsi="Arial"/>
          <w:sz w:val="20"/>
          <w:szCs w:val="20"/>
          <w:color w:val="3A3A3A"/>
        </w:rPr>
        <w:t xml:space="preserve"> Executive signing a separation and release of all </w:t>
      </w:r>
      <w:r>
        <w:rPr>
          <w:rFonts w:ascii="Arial" w:cs="Arial" w:eastAsia="Arial" w:hAnsi="Arial"/>
          <w:sz w:val="20"/>
          <w:szCs w:val="20"/>
          <w:color w:val="282828"/>
        </w:rPr>
        <w:t>claims agreement in</w:t>
      </w:r>
      <w:r>
        <w:rPr>
          <w:rFonts w:ascii="Arial" w:cs="Arial" w:eastAsia="Arial" w:hAnsi="Arial"/>
          <w:sz w:val="20"/>
          <w:szCs w:val="20"/>
          <w:color w:val="3A3A3A"/>
        </w:rPr>
        <w:t xml:space="preserve"> a form acceptable to </w:t>
      </w:r>
      <w:r>
        <w:rPr>
          <w:rFonts w:ascii="Arial" w:cs="Arial" w:eastAsia="Arial" w:hAnsi="Arial"/>
          <w:sz w:val="20"/>
          <w:szCs w:val="20"/>
          <w:color w:val="282828"/>
        </w:rPr>
        <w:t xml:space="preserve">the </w:t>
      </w:r>
      <w:r>
        <w:rPr>
          <w:rFonts w:ascii="Arial" w:cs="Arial" w:eastAsia="Arial" w:hAnsi="Arial"/>
          <w:sz w:val="20"/>
          <w:szCs w:val="20"/>
          <w:color w:val="3A3A3A"/>
        </w:rPr>
        <w:t>Company</w:t>
      </w:r>
      <w:r>
        <w:rPr>
          <w:rFonts w:ascii="Arial" w:cs="Arial" w:eastAsia="Arial" w:hAnsi="Arial"/>
          <w:sz w:val="20"/>
          <w:szCs w:val="20"/>
          <w:color w:val="525252"/>
        </w:rPr>
        <w:t>,</w:t>
      </w:r>
      <w:r>
        <w:rPr>
          <w:rFonts w:ascii="Arial" w:cs="Arial" w:eastAsia="Arial" w:hAnsi="Arial"/>
          <w:sz w:val="20"/>
          <w:szCs w:val="20"/>
          <w:color w:val="282828"/>
        </w:rPr>
        <w:t xml:space="preserve"> the </w:t>
      </w:r>
      <w:r>
        <w:rPr>
          <w:rFonts w:ascii="Arial" w:cs="Arial" w:eastAsia="Arial" w:hAnsi="Arial"/>
          <w:sz w:val="20"/>
          <w:szCs w:val="20"/>
          <w:color w:val="3A3A3A"/>
        </w:rPr>
        <w:t>Company shall</w:t>
      </w:r>
      <w:r>
        <w:rPr>
          <w:rFonts w:ascii="Arial" w:cs="Arial" w:eastAsia="Arial" w:hAnsi="Arial"/>
          <w:sz w:val="20"/>
          <w:szCs w:val="20"/>
          <w:color w:val="282828"/>
        </w:rPr>
        <w:t xml:space="preserve"> provide the </w:t>
      </w:r>
      <w:r>
        <w:rPr>
          <w:rFonts w:ascii="Arial" w:cs="Arial" w:eastAsia="Arial" w:hAnsi="Arial"/>
          <w:sz w:val="20"/>
          <w:szCs w:val="20"/>
          <w:color w:val="3A3A3A"/>
        </w:rPr>
        <w:t>Executive</w:t>
      </w:r>
      <w:r>
        <w:rPr>
          <w:rFonts w:ascii="Arial" w:cs="Arial" w:eastAsia="Arial" w:hAnsi="Arial"/>
          <w:sz w:val="20"/>
          <w:szCs w:val="20"/>
          <w:color w:val="282828"/>
        </w:rPr>
        <w:t xml:space="preserve"> with the </w:t>
      </w:r>
      <w:r>
        <w:rPr>
          <w:rFonts w:ascii="Arial" w:cs="Arial" w:eastAsia="Arial" w:hAnsi="Arial"/>
          <w:sz w:val="20"/>
          <w:szCs w:val="20"/>
          <w:color w:val="3A3A3A"/>
        </w:rPr>
        <w:t>following severance</w:t>
      </w:r>
      <w:r>
        <w:rPr>
          <w:rFonts w:ascii="Arial" w:cs="Arial" w:eastAsia="Arial" w:hAnsi="Arial"/>
          <w:sz w:val="20"/>
          <w:szCs w:val="20"/>
          <w:color w:val="282828"/>
        </w:rPr>
        <w:t xml:space="preserve"> benefitsin </w:t>
      </w:r>
      <w:r>
        <w:rPr>
          <w:rFonts w:ascii="Arial" w:cs="Arial" w:eastAsia="Arial" w:hAnsi="Arial"/>
          <w:sz w:val="20"/>
          <w:szCs w:val="20"/>
          <w:color w:val="3A3A3A"/>
        </w:rPr>
        <w:t>accordance with</w:t>
      </w:r>
      <w:r>
        <w:rPr>
          <w:rFonts w:ascii="Arial" w:cs="Arial" w:eastAsia="Arial" w:hAnsi="Arial"/>
          <w:sz w:val="20"/>
          <w:szCs w:val="20"/>
          <w:color w:val="282828"/>
        </w:rPr>
        <w:t xml:space="preserve"> the timing </w:t>
      </w:r>
      <w:r>
        <w:rPr>
          <w:rFonts w:ascii="Arial" w:cs="Arial" w:eastAsia="Arial" w:hAnsi="Arial"/>
          <w:sz w:val="20"/>
          <w:szCs w:val="20"/>
          <w:color w:val="3A3A3A"/>
        </w:rPr>
        <w:t>set</w:t>
      </w:r>
      <w:r>
        <w:rPr>
          <w:rFonts w:ascii="Arial" w:cs="Arial" w:eastAsia="Arial" w:hAnsi="Arial"/>
          <w:sz w:val="20"/>
          <w:szCs w:val="20"/>
          <w:color w:val="282828"/>
        </w:rPr>
        <w:t xml:space="preserve"> </w:t>
      </w:r>
      <w:r>
        <w:rPr>
          <w:rFonts w:ascii="Arial" w:cs="Arial" w:eastAsia="Arial" w:hAnsi="Arial"/>
          <w:sz w:val="20"/>
          <w:szCs w:val="20"/>
          <w:color w:val="3A3A3A"/>
        </w:rPr>
        <w:t xml:space="preserve">forth </w:t>
      </w:r>
      <w:r>
        <w:rPr>
          <w:rFonts w:ascii="Arial" w:cs="Arial" w:eastAsia="Arial" w:hAnsi="Arial"/>
          <w:sz w:val="20"/>
          <w:szCs w:val="20"/>
          <w:color w:val="282828"/>
        </w:rPr>
        <w:t>in Section 3</w:t>
      </w:r>
      <w:r>
        <w:rPr>
          <w:rFonts w:ascii="Arial" w:cs="Arial" w:eastAsia="Arial" w:hAnsi="Arial"/>
          <w:sz w:val="20"/>
          <w:szCs w:val="20"/>
          <w:color w:val="000000"/>
        </w:rPr>
        <w:t>.</w:t>
      </w:r>
      <w:r>
        <w:rPr>
          <w:rFonts w:ascii="Arial" w:cs="Arial" w:eastAsia="Arial" w:hAnsi="Arial"/>
          <w:sz w:val="20"/>
          <w:szCs w:val="20"/>
          <w:color w:val="282828"/>
        </w:rPr>
        <w:t>3(b)(v) below:</w:t>
      </w:r>
    </w:p>
    <w:p>
      <w:pPr>
        <w:spacing w:after="0" w:line="150" w:lineRule="exact"/>
        <w:rPr>
          <w:rFonts w:ascii="Arial" w:cs="Arial" w:eastAsia="Arial" w:hAnsi="Arial"/>
          <w:sz w:val="20"/>
          <w:szCs w:val="20"/>
          <w:color w:val="3A3A3A"/>
        </w:rPr>
      </w:pPr>
    </w:p>
    <w:p>
      <w:pPr>
        <w:ind w:left="3000" w:right="340" w:hanging="788"/>
        <w:spacing w:after="0" w:line="260" w:lineRule="auto"/>
        <w:tabs>
          <w:tab w:leader="none" w:pos="3000" w:val="left"/>
        </w:tabs>
        <w:numPr>
          <w:ilvl w:val="2"/>
          <w:numId w:val="175"/>
        </w:numPr>
        <w:rPr>
          <w:rFonts w:ascii="Arial" w:cs="Arial" w:eastAsia="Arial" w:hAnsi="Arial"/>
          <w:sz w:val="20"/>
          <w:szCs w:val="20"/>
          <w:color w:val="3A3A3A"/>
        </w:rPr>
      </w:pPr>
      <w:r>
        <w:rPr>
          <w:rFonts w:ascii="Arial" w:cs="Arial" w:eastAsia="Arial" w:hAnsi="Arial"/>
          <w:sz w:val="20"/>
          <w:szCs w:val="20"/>
          <w:u w:val="single" w:color="auto"/>
          <w:color w:val="282828"/>
        </w:rPr>
        <w:t>Base Salary</w:t>
      </w:r>
      <w:r>
        <w:rPr>
          <w:rFonts w:ascii="Arial" w:cs="Arial" w:eastAsia="Arial" w:hAnsi="Arial"/>
          <w:sz w:val="20"/>
          <w:szCs w:val="20"/>
          <w:color w:val="282828"/>
        </w:rPr>
        <w:t xml:space="preserve">: </w:t>
      </w:r>
      <w:r>
        <w:rPr>
          <w:rFonts w:ascii="Arial" w:cs="Arial" w:eastAsia="Arial" w:hAnsi="Arial"/>
          <w:sz w:val="20"/>
          <w:szCs w:val="20"/>
          <w:color w:val="3A3A3A"/>
        </w:rPr>
        <w:t>The Company shall</w:t>
      </w:r>
      <w:r>
        <w:rPr>
          <w:rFonts w:ascii="Arial" w:cs="Arial" w:eastAsia="Arial" w:hAnsi="Arial"/>
          <w:sz w:val="20"/>
          <w:szCs w:val="20"/>
          <w:color w:val="282828"/>
        </w:rPr>
        <w:t xml:space="preserve"> pa</w:t>
      </w:r>
      <w:r>
        <w:rPr>
          <w:rFonts w:ascii="Arial" w:cs="Arial" w:eastAsia="Arial" w:hAnsi="Arial"/>
          <w:sz w:val="20"/>
          <w:szCs w:val="20"/>
          <w:color w:val="525252"/>
        </w:rPr>
        <w:t>y</w:t>
      </w:r>
      <w:r>
        <w:rPr>
          <w:rFonts w:ascii="Arial" w:cs="Arial" w:eastAsia="Arial" w:hAnsi="Arial"/>
          <w:sz w:val="20"/>
          <w:szCs w:val="20"/>
          <w:color w:val="282828"/>
        </w:rPr>
        <w:t xml:space="preserve"> the </w:t>
      </w:r>
      <w:r>
        <w:rPr>
          <w:rFonts w:ascii="Arial" w:cs="Arial" w:eastAsia="Arial" w:hAnsi="Arial"/>
          <w:sz w:val="20"/>
          <w:szCs w:val="20"/>
          <w:color w:val="3A3A3A"/>
        </w:rPr>
        <w:t>Executive</w:t>
      </w:r>
      <w:r>
        <w:rPr>
          <w:rFonts w:ascii="Arial" w:cs="Arial" w:eastAsia="Arial" w:hAnsi="Arial"/>
          <w:sz w:val="20"/>
          <w:szCs w:val="20"/>
          <w:color w:val="282828"/>
        </w:rPr>
        <w:t xml:space="preserve"> the </w:t>
      </w:r>
      <w:r>
        <w:rPr>
          <w:rFonts w:ascii="Arial" w:cs="Arial" w:eastAsia="Arial" w:hAnsi="Arial"/>
          <w:sz w:val="20"/>
          <w:szCs w:val="20"/>
          <w:color w:val="3A3A3A"/>
        </w:rPr>
        <w:t>equivalent</w:t>
      </w:r>
      <w:r>
        <w:rPr>
          <w:rFonts w:ascii="Arial" w:cs="Arial" w:eastAsia="Arial" w:hAnsi="Arial"/>
          <w:sz w:val="20"/>
          <w:szCs w:val="20"/>
          <w:color w:val="282828"/>
        </w:rPr>
        <w:t xml:space="preserve">of nine (9) months of the </w:t>
      </w:r>
      <w:r>
        <w:rPr>
          <w:rFonts w:ascii="Arial" w:cs="Arial" w:eastAsia="Arial" w:hAnsi="Arial"/>
          <w:sz w:val="20"/>
          <w:szCs w:val="20"/>
          <w:color w:val="3A3A3A"/>
        </w:rPr>
        <w:t>Executive's annual</w:t>
      </w:r>
      <w:r>
        <w:rPr>
          <w:rFonts w:ascii="Arial" w:cs="Arial" w:eastAsia="Arial" w:hAnsi="Arial"/>
          <w:sz w:val="20"/>
          <w:szCs w:val="20"/>
          <w:color w:val="282828"/>
        </w:rPr>
        <w:t xml:space="preserve"> bas</w:t>
      </w:r>
      <w:r>
        <w:rPr>
          <w:rFonts w:ascii="Arial" w:cs="Arial" w:eastAsia="Arial" w:hAnsi="Arial"/>
          <w:sz w:val="20"/>
          <w:szCs w:val="20"/>
          <w:color w:val="525252"/>
        </w:rPr>
        <w:t>e</w:t>
      </w:r>
      <w:r>
        <w:rPr>
          <w:rFonts w:ascii="Arial" w:cs="Arial" w:eastAsia="Arial" w:hAnsi="Arial"/>
          <w:sz w:val="20"/>
          <w:szCs w:val="20"/>
          <w:color w:val="282828"/>
        </w:rPr>
        <w:t xml:space="preserve"> </w:t>
      </w:r>
      <w:r>
        <w:rPr>
          <w:rFonts w:ascii="Arial" w:cs="Arial" w:eastAsia="Arial" w:hAnsi="Arial"/>
          <w:sz w:val="20"/>
          <w:szCs w:val="20"/>
          <w:color w:val="3A3A3A"/>
        </w:rPr>
        <w:t>salary</w:t>
      </w:r>
      <w:r>
        <w:rPr>
          <w:rFonts w:ascii="Arial" w:cs="Arial" w:eastAsia="Arial" w:hAnsi="Arial"/>
          <w:sz w:val="20"/>
          <w:szCs w:val="20"/>
          <w:color w:val="282828"/>
        </w:rPr>
        <w:t xml:space="preserv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470535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00"/>
          </w:cols>
          <w:pgMar w:left="640" w:top="676" w:right="1059" w:bottom="1440" w:gutter="0" w:footer="0" w:header="0"/>
        </w:sectPr>
      </w:pPr>
    </w:p>
    <w:bookmarkStart w:id="157" w:name="page158"/>
    <w:bookmarkEnd w:id="157"/>
    <w:p>
      <w:pPr>
        <w:ind w:left="3000"/>
        <w:spacing w:after="0" w:line="289" w:lineRule="auto"/>
        <w:rPr>
          <w:sz w:val="20"/>
          <w:szCs w:val="20"/>
          <w:color w:val="auto"/>
        </w:rPr>
      </w:pPr>
      <w:r>
        <w:rPr>
          <w:rFonts w:ascii="Arial" w:cs="Arial" w:eastAsia="Arial" w:hAnsi="Arial"/>
          <w:sz w:val="20"/>
          <w:szCs w:val="20"/>
          <w:color w:val="262626"/>
        </w:rPr>
        <w:t xml:space="preserve">at </w:t>
      </w:r>
      <w:r>
        <w:rPr>
          <w:rFonts w:ascii="Arial" w:cs="Arial" w:eastAsia="Arial" w:hAnsi="Arial"/>
          <w:sz w:val="20"/>
          <w:szCs w:val="20"/>
          <w:color w:val="363636"/>
        </w:rPr>
        <w:t>the</w:t>
      </w:r>
      <w:r>
        <w:rPr>
          <w:rFonts w:ascii="Arial" w:cs="Arial" w:eastAsia="Arial" w:hAnsi="Arial"/>
          <w:sz w:val="20"/>
          <w:szCs w:val="20"/>
          <w:color w:val="262626"/>
        </w:rPr>
        <w:t xml:space="preserve"> time </w:t>
      </w:r>
      <w:r>
        <w:rPr>
          <w:rFonts w:ascii="Arial" w:cs="Arial" w:eastAsia="Arial" w:hAnsi="Arial"/>
          <w:sz w:val="20"/>
          <w:szCs w:val="20"/>
          <w:color w:val="363636"/>
        </w:rPr>
        <w:t>of the termination</w:t>
      </w:r>
      <w:r>
        <w:rPr>
          <w:rFonts w:ascii="Arial" w:cs="Arial" w:eastAsia="Arial" w:hAnsi="Arial"/>
          <w:sz w:val="20"/>
          <w:szCs w:val="20"/>
          <w:color w:val="262626"/>
        </w:rPr>
        <w:t xml:space="preserve"> Without </w:t>
      </w:r>
      <w:r>
        <w:rPr>
          <w:rFonts w:ascii="Arial" w:cs="Arial" w:eastAsia="Arial" w:hAnsi="Arial"/>
          <w:sz w:val="20"/>
          <w:szCs w:val="20"/>
          <w:color w:val="363636"/>
        </w:rPr>
        <w:t>Cause or</w:t>
      </w:r>
      <w:r>
        <w:rPr>
          <w:rFonts w:ascii="Arial" w:cs="Arial" w:eastAsia="Arial" w:hAnsi="Arial"/>
          <w:sz w:val="20"/>
          <w:szCs w:val="20"/>
          <w:color w:val="262626"/>
        </w:rPr>
        <w:t xml:space="preserve"> resignation </w:t>
      </w:r>
      <w:r>
        <w:rPr>
          <w:rFonts w:ascii="Arial" w:cs="Arial" w:eastAsia="Arial" w:hAnsi="Arial"/>
          <w:sz w:val="20"/>
          <w:szCs w:val="20"/>
          <w:color w:val="363636"/>
        </w:rPr>
        <w:t>with Good</w:t>
      </w:r>
      <w:r>
        <w:rPr>
          <w:rFonts w:ascii="Arial" w:cs="Arial" w:eastAsia="Arial" w:hAnsi="Arial"/>
          <w:sz w:val="20"/>
          <w:szCs w:val="20"/>
          <w:color w:val="262626"/>
        </w:rPr>
        <w:t xml:space="preserve"> Reason </w:t>
      </w:r>
      <w:r>
        <w:rPr>
          <w:rFonts w:ascii="Arial" w:cs="Arial" w:eastAsia="Arial" w:hAnsi="Arial"/>
          <w:sz w:val="20"/>
          <w:szCs w:val="20"/>
          <w:color w:val="363636"/>
        </w:rPr>
        <w:t>in one</w:t>
      </w:r>
      <w:r>
        <w:rPr>
          <w:rFonts w:ascii="Arial" w:cs="Arial" w:eastAsia="Arial" w:hAnsi="Arial"/>
          <w:sz w:val="20"/>
          <w:szCs w:val="20"/>
          <w:color w:val="262626"/>
        </w:rPr>
        <w:t xml:space="preserve"> lump </w:t>
      </w:r>
      <w:r>
        <w:rPr>
          <w:rFonts w:ascii="Arial" w:cs="Arial" w:eastAsia="Arial" w:hAnsi="Arial"/>
          <w:sz w:val="20"/>
          <w:szCs w:val="20"/>
          <w:color w:val="363636"/>
        </w:rPr>
        <w:t>sum</w:t>
      </w:r>
      <w:r>
        <w:rPr>
          <w:rFonts w:ascii="Arial" w:cs="Arial" w:eastAsia="Arial" w:hAnsi="Arial"/>
          <w:sz w:val="20"/>
          <w:szCs w:val="20"/>
          <w:color w:val="262626"/>
        </w:rPr>
        <w:t xml:space="preserve"> payment</w:t>
      </w:r>
      <w:r>
        <w:rPr>
          <w:rFonts w:ascii="Arial" w:cs="Arial" w:eastAsia="Arial" w:hAnsi="Arial"/>
          <w:sz w:val="20"/>
          <w:szCs w:val="20"/>
          <w:color w:val="494949"/>
        </w:rPr>
        <w:t>,</w:t>
      </w:r>
      <w:r>
        <w:rPr>
          <w:rFonts w:ascii="Arial" w:cs="Arial" w:eastAsia="Arial" w:hAnsi="Arial"/>
          <w:sz w:val="20"/>
          <w:szCs w:val="20"/>
          <w:color w:val="262626"/>
        </w:rPr>
        <w:t xml:space="preserve"> less </w:t>
      </w:r>
      <w:r>
        <w:rPr>
          <w:rFonts w:ascii="Arial" w:cs="Arial" w:eastAsia="Arial" w:hAnsi="Arial"/>
          <w:sz w:val="20"/>
          <w:szCs w:val="20"/>
          <w:color w:val="363636"/>
        </w:rPr>
        <w:t>standard deductions</w:t>
      </w:r>
      <w:r>
        <w:rPr>
          <w:rFonts w:ascii="Arial" w:cs="Arial" w:eastAsia="Arial" w:hAnsi="Arial"/>
          <w:sz w:val="20"/>
          <w:szCs w:val="20"/>
          <w:color w:val="262626"/>
        </w:rPr>
        <w:t xml:space="preserve"> and withholdings.</w:t>
      </w:r>
    </w:p>
    <w:p>
      <w:pPr>
        <w:spacing w:after="0" w:line="148" w:lineRule="exact"/>
        <w:rPr>
          <w:sz w:val="20"/>
          <w:szCs w:val="20"/>
          <w:color w:val="auto"/>
        </w:rPr>
      </w:pPr>
    </w:p>
    <w:p>
      <w:pPr>
        <w:ind w:left="2980" w:right="320" w:hanging="788"/>
        <w:spacing w:after="0" w:line="249" w:lineRule="auto"/>
        <w:tabs>
          <w:tab w:leader="none" w:pos="2980" w:val="left"/>
        </w:tabs>
        <w:numPr>
          <w:ilvl w:val="1"/>
          <w:numId w:val="176"/>
        </w:numPr>
        <w:rPr>
          <w:rFonts w:ascii="Arial" w:cs="Arial" w:eastAsia="Arial" w:hAnsi="Arial"/>
          <w:sz w:val="21"/>
          <w:szCs w:val="21"/>
          <w:color w:val="363636"/>
        </w:rPr>
      </w:pPr>
      <w:r>
        <w:rPr>
          <w:rFonts w:ascii="Arial" w:cs="Arial" w:eastAsia="Arial" w:hAnsi="Arial"/>
          <w:sz w:val="21"/>
          <w:szCs w:val="21"/>
          <w:u w:val="single" w:color="auto"/>
          <w:color w:val="363636"/>
        </w:rPr>
        <w:t>Three</w:t>
      </w:r>
      <w:r>
        <w:rPr>
          <w:rFonts w:ascii="Arial" w:cs="Arial" w:eastAsia="Arial" w:hAnsi="Arial"/>
          <w:sz w:val="21"/>
          <w:szCs w:val="21"/>
          <w:color w:val="363636"/>
        </w:rPr>
        <w:t xml:space="preserve"> </w:t>
      </w:r>
      <w:r>
        <w:rPr>
          <w:rFonts w:ascii="Arial" w:cs="Arial" w:eastAsia="Arial" w:hAnsi="Arial"/>
          <w:sz w:val="21"/>
          <w:szCs w:val="21"/>
          <w:u w:val="single" w:color="auto"/>
          <w:color w:val="262626"/>
        </w:rPr>
        <w:t>Months</w:t>
      </w:r>
      <w:r>
        <w:rPr>
          <w:rFonts w:ascii="Arial" w:cs="Arial" w:eastAsia="Arial" w:hAnsi="Arial"/>
          <w:sz w:val="21"/>
          <w:szCs w:val="21"/>
          <w:color w:val="363636"/>
        </w:rPr>
        <w:t xml:space="preserve"> </w:t>
      </w:r>
      <w:r>
        <w:rPr>
          <w:rFonts w:ascii="Arial" w:cs="Arial" w:eastAsia="Arial" w:hAnsi="Arial"/>
          <w:sz w:val="21"/>
          <w:szCs w:val="21"/>
          <w:u w:val="single" w:color="auto"/>
          <w:color w:val="363636"/>
        </w:rPr>
        <w:t>Notice:</w:t>
      </w:r>
      <w:r>
        <w:rPr>
          <w:rFonts w:ascii="Arial" w:cs="Arial" w:eastAsia="Arial" w:hAnsi="Arial"/>
          <w:sz w:val="21"/>
          <w:szCs w:val="21"/>
          <w:color w:val="363636"/>
        </w:rPr>
        <w:t xml:space="preserve"> The Company shall </w:t>
      </w:r>
      <w:r>
        <w:rPr>
          <w:rFonts w:ascii="Arial" w:cs="Arial" w:eastAsia="Arial" w:hAnsi="Arial"/>
          <w:sz w:val="21"/>
          <w:szCs w:val="21"/>
          <w:color w:val="262626"/>
        </w:rPr>
        <w:t>provide the</w:t>
      </w:r>
      <w:r>
        <w:rPr>
          <w:rFonts w:ascii="Arial" w:cs="Arial" w:eastAsia="Arial" w:hAnsi="Arial"/>
          <w:sz w:val="21"/>
          <w:szCs w:val="21"/>
          <w:color w:val="363636"/>
        </w:rPr>
        <w:t xml:space="preserve"> Executive </w:t>
      </w:r>
      <w:r>
        <w:rPr>
          <w:rFonts w:ascii="Arial" w:cs="Arial" w:eastAsia="Arial" w:hAnsi="Arial"/>
          <w:sz w:val="21"/>
          <w:szCs w:val="21"/>
          <w:color w:val="262626"/>
        </w:rPr>
        <w:t>three</w:t>
      </w:r>
      <w:r>
        <w:rPr>
          <w:rFonts w:ascii="Arial" w:cs="Arial" w:eastAsia="Arial" w:hAnsi="Arial"/>
          <w:sz w:val="21"/>
          <w:szCs w:val="21"/>
          <w:color w:val="363636"/>
        </w:rPr>
        <w:t xml:space="preserve"> (3) months </w:t>
      </w:r>
      <w:r>
        <w:rPr>
          <w:rFonts w:ascii="Arial" w:cs="Arial" w:eastAsia="Arial" w:hAnsi="Arial"/>
          <w:sz w:val="21"/>
          <w:szCs w:val="21"/>
          <w:color w:val="262626"/>
        </w:rPr>
        <w:t xml:space="preserve">prior </w:t>
      </w:r>
      <w:r>
        <w:rPr>
          <w:rFonts w:ascii="Arial" w:cs="Arial" w:eastAsia="Arial" w:hAnsi="Arial"/>
          <w:sz w:val="21"/>
          <w:szCs w:val="21"/>
          <w:color w:val="363636"/>
        </w:rPr>
        <w:t>written</w:t>
      </w:r>
      <w:r>
        <w:rPr>
          <w:rFonts w:ascii="Arial" w:cs="Arial" w:eastAsia="Arial" w:hAnsi="Arial"/>
          <w:sz w:val="21"/>
          <w:szCs w:val="21"/>
          <w:color w:val="262626"/>
        </w:rPr>
        <w:t xml:space="preserve"> notice </w:t>
      </w:r>
      <w:r>
        <w:rPr>
          <w:rFonts w:ascii="Arial" w:cs="Arial" w:eastAsia="Arial" w:hAnsi="Arial"/>
          <w:sz w:val="21"/>
          <w:szCs w:val="21"/>
          <w:color w:val="363636"/>
        </w:rPr>
        <w:t>in</w:t>
      </w:r>
      <w:r>
        <w:rPr>
          <w:rFonts w:ascii="Arial" w:cs="Arial" w:eastAsia="Arial" w:hAnsi="Arial"/>
          <w:sz w:val="21"/>
          <w:szCs w:val="21"/>
          <w:color w:val="262626"/>
        </w:rPr>
        <w:t xml:space="preserve"> the </w:t>
      </w:r>
      <w:r>
        <w:rPr>
          <w:rFonts w:ascii="Arial" w:cs="Arial" w:eastAsia="Arial" w:hAnsi="Arial"/>
          <w:sz w:val="21"/>
          <w:szCs w:val="21"/>
          <w:color w:val="363636"/>
        </w:rPr>
        <w:t>event of an</w:t>
      </w:r>
      <w:r>
        <w:rPr>
          <w:rFonts w:ascii="Arial" w:cs="Arial" w:eastAsia="Arial" w:hAnsi="Arial"/>
          <w:sz w:val="21"/>
          <w:szCs w:val="21"/>
          <w:color w:val="262626"/>
        </w:rPr>
        <w:t xml:space="preserve"> involuntary termination </w:t>
      </w:r>
      <w:r>
        <w:rPr>
          <w:rFonts w:ascii="Arial" w:cs="Arial" w:eastAsia="Arial" w:hAnsi="Arial"/>
          <w:sz w:val="21"/>
          <w:szCs w:val="21"/>
          <w:color w:val="363636"/>
        </w:rPr>
        <w:t>of</w:t>
      </w:r>
      <w:r>
        <w:rPr>
          <w:rFonts w:ascii="Arial" w:cs="Arial" w:eastAsia="Arial" w:hAnsi="Arial"/>
          <w:sz w:val="21"/>
          <w:szCs w:val="21"/>
          <w:color w:val="262626"/>
        </w:rPr>
        <w:t xml:space="preserve"> the </w:t>
      </w:r>
      <w:r>
        <w:rPr>
          <w:rFonts w:ascii="Arial" w:cs="Arial" w:eastAsia="Arial" w:hAnsi="Arial"/>
          <w:sz w:val="21"/>
          <w:szCs w:val="21"/>
          <w:color w:val="363636"/>
        </w:rPr>
        <w:t>Executive's</w:t>
      </w:r>
      <w:r>
        <w:rPr>
          <w:rFonts w:ascii="Arial" w:cs="Arial" w:eastAsia="Arial" w:hAnsi="Arial"/>
          <w:sz w:val="21"/>
          <w:szCs w:val="21"/>
          <w:color w:val="262626"/>
        </w:rPr>
        <w:t xml:space="preserve"> </w:t>
      </w:r>
      <w:r>
        <w:rPr>
          <w:rFonts w:ascii="Arial" w:cs="Arial" w:eastAsia="Arial" w:hAnsi="Arial"/>
          <w:sz w:val="21"/>
          <w:szCs w:val="21"/>
          <w:color w:val="363636"/>
        </w:rPr>
        <w:t xml:space="preserve">employment </w:t>
      </w:r>
      <w:r>
        <w:rPr>
          <w:rFonts w:ascii="Arial" w:cs="Arial" w:eastAsia="Arial" w:hAnsi="Arial"/>
          <w:sz w:val="21"/>
          <w:szCs w:val="21"/>
          <w:color w:val="262626"/>
        </w:rPr>
        <w:t>Without</w:t>
      </w:r>
      <w:r>
        <w:rPr>
          <w:rFonts w:ascii="Arial" w:cs="Arial" w:eastAsia="Arial" w:hAnsi="Arial"/>
          <w:sz w:val="21"/>
          <w:szCs w:val="21"/>
          <w:color w:val="363636"/>
        </w:rPr>
        <w:t xml:space="preserve"> Cause </w:t>
      </w:r>
      <w:r>
        <w:rPr>
          <w:rFonts w:ascii="Arial" w:cs="Arial" w:eastAsia="Arial" w:hAnsi="Arial"/>
          <w:sz w:val="21"/>
          <w:szCs w:val="21"/>
          <w:color w:val="262626"/>
        </w:rPr>
        <w:t>or</w:t>
      </w:r>
      <w:r>
        <w:rPr>
          <w:rFonts w:ascii="Arial" w:cs="Arial" w:eastAsia="Arial" w:hAnsi="Arial"/>
          <w:sz w:val="21"/>
          <w:szCs w:val="21"/>
          <w:color w:val="363636"/>
        </w:rPr>
        <w:t xml:space="preserve"> a voluntary resignation </w:t>
      </w:r>
      <w:r>
        <w:rPr>
          <w:rFonts w:ascii="Arial" w:cs="Arial" w:eastAsia="Arial" w:hAnsi="Arial"/>
          <w:sz w:val="21"/>
          <w:szCs w:val="21"/>
          <w:color w:val="262626"/>
        </w:rPr>
        <w:t>by the</w:t>
      </w:r>
      <w:r>
        <w:rPr>
          <w:rFonts w:ascii="Arial" w:cs="Arial" w:eastAsia="Arial" w:hAnsi="Arial"/>
          <w:sz w:val="21"/>
          <w:szCs w:val="21"/>
          <w:color w:val="363636"/>
        </w:rPr>
        <w:t xml:space="preserve"> Executive for Good Reason.</w:t>
      </w:r>
    </w:p>
    <w:p>
      <w:pPr>
        <w:spacing w:after="0" w:line="172" w:lineRule="exact"/>
        <w:rPr>
          <w:rFonts w:ascii="Arial" w:cs="Arial" w:eastAsia="Arial" w:hAnsi="Arial"/>
          <w:sz w:val="21"/>
          <w:szCs w:val="21"/>
          <w:color w:val="363636"/>
        </w:rPr>
      </w:pPr>
    </w:p>
    <w:p>
      <w:pPr>
        <w:ind w:left="2980" w:right="180" w:hanging="788"/>
        <w:spacing w:after="0" w:line="249" w:lineRule="auto"/>
        <w:tabs>
          <w:tab w:leader="none" w:pos="2980" w:val="left"/>
        </w:tabs>
        <w:numPr>
          <w:ilvl w:val="1"/>
          <w:numId w:val="176"/>
        </w:numPr>
        <w:rPr>
          <w:rFonts w:ascii="Arial" w:cs="Arial" w:eastAsia="Arial" w:hAnsi="Arial"/>
          <w:sz w:val="21"/>
          <w:szCs w:val="21"/>
          <w:color w:val="363636"/>
        </w:rPr>
      </w:pPr>
      <w:r>
        <w:rPr>
          <w:rFonts w:ascii="Arial" w:cs="Arial" w:eastAsia="Arial" w:hAnsi="Arial"/>
          <w:sz w:val="21"/>
          <w:szCs w:val="21"/>
          <w:u w:val="single" w:color="auto"/>
          <w:color w:val="262626"/>
        </w:rPr>
        <w:t>Benefits</w:t>
      </w:r>
      <w:r>
        <w:rPr>
          <w:rFonts w:ascii="Arial" w:cs="Arial" w:eastAsia="Arial" w:hAnsi="Arial"/>
          <w:sz w:val="21"/>
          <w:szCs w:val="21"/>
          <w:color w:val="262626"/>
        </w:rPr>
        <w:t xml:space="preserve"> </w:t>
      </w:r>
      <w:r>
        <w:rPr>
          <w:rFonts w:ascii="Arial" w:cs="Arial" w:eastAsia="Arial" w:hAnsi="Arial"/>
          <w:sz w:val="21"/>
          <w:szCs w:val="21"/>
          <w:u w:val="single" w:color="auto"/>
          <w:color w:val="363636"/>
        </w:rPr>
        <w:t>Coverage.</w:t>
      </w:r>
      <w:r>
        <w:rPr>
          <w:rFonts w:ascii="Arial" w:cs="Arial" w:eastAsia="Arial" w:hAnsi="Arial"/>
          <w:sz w:val="21"/>
          <w:szCs w:val="21"/>
          <w:color w:val="262626"/>
        </w:rPr>
        <w:t xml:space="preserve"> The </w:t>
      </w:r>
      <w:r>
        <w:rPr>
          <w:rFonts w:ascii="Arial" w:cs="Arial" w:eastAsia="Arial" w:hAnsi="Arial"/>
          <w:sz w:val="21"/>
          <w:szCs w:val="21"/>
          <w:color w:val="363636"/>
        </w:rPr>
        <w:t>Company shall continue</w:t>
      </w:r>
      <w:r>
        <w:rPr>
          <w:rFonts w:ascii="Arial" w:cs="Arial" w:eastAsia="Arial" w:hAnsi="Arial"/>
          <w:sz w:val="21"/>
          <w:szCs w:val="21"/>
          <w:color w:val="262626"/>
        </w:rPr>
        <w:t xml:space="preserve"> to provide </w:t>
      </w:r>
      <w:r>
        <w:rPr>
          <w:rFonts w:ascii="Arial" w:cs="Arial" w:eastAsia="Arial" w:hAnsi="Arial"/>
          <w:sz w:val="21"/>
          <w:szCs w:val="21"/>
          <w:color w:val="363636"/>
        </w:rPr>
        <w:t>group</w:t>
      </w:r>
      <w:r>
        <w:rPr>
          <w:rFonts w:ascii="Arial" w:cs="Arial" w:eastAsia="Arial" w:hAnsi="Arial"/>
          <w:sz w:val="21"/>
          <w:szCs w:val="21"/>
          <w:color w:val="262626"/>
        </w:rPr>
        <w:t xml:space="preserve"> health</w:t>
      </w:r>
      <w:r>
        <w:rPr>
          <w:rFonts w:ascii="Arial" w:cs="Arial" w:eastAsia="Arial" w:hAnsi="Arial"/>
          <w:sz w:val="21"/>
          <w:szCs w:val="21"/>
          <w:color w:val="494949"/>
        </w:rPr>
        <w:t>,</w:t>
      </w:r>
      <w:r>
        <w:rPr>
          <w:rFonts w:ascii="Arial" w:cs="Arial" w:eastAsia="Arial" w:hAnsi="Arial"/>
          <w:sz w:val="21"/>
          <w:szCs w:val="21"/>
          <w:color w:val="262626"/>
        </w:rPr>
        <w:t xml:space="preserve"> </w:t>
      </w:r>
      <w:r>
        <w:rPr>
          <w:rFonts w:ascii="Arial" w:cs="Arial" w:eastAsia="Arial" w:hAnsi="Arial"/>
          <w:sz w:val="21"/>
          <w:szCs w:val="21"/>
          <w:color w:val="363636"/>
        </w:rPr>
        <w:t>vision, and</w:t>
      </w:r>
      <w:r>
        <w:rPr>
          <w:rFonts w:ascii="Arial" w:cs="Arial" w:eastAsia="Arial" w:hAnsi="Arial"/>
          <w:sz w:val="21"/>
          <w:szCs w:val="21"/>
          <w:color w:val="262626"/>
        </w:rPr>
        <w:t xml:space="preserve"> dental plan benefits </w:t>
      </w:r>
      <w:r>
        <w:rPr>
          <w:rFonts w:ascii="Arial" w:cs="Arial" w:eastAsia="Arial" w:hAnsi="Arial"/>
          <w:sz w:val="21"/>
          <w:szCs w:val="21"/>
          <w:color w:val="363636"/>
        </w:rPr>
        <w:t>to</w:t>
      </w:r>
      <w:r>
        <w:rPr>
          <w:rFonts w:ascii="Arial" w:cs="Arial" w:eastAsia="Arial" w:hAnsi="Arial"/>
          <w:sz w:val="21"/>
          <w:szCs w:val="21"/>
          <w:color w:val="262626"/>
        </w:rPr>
        <w:t xml:space="preserve"> the </w:t>
      </w:r>
      <w:r>
        <w:rPr>
          <w:rFonts w:ascii="Arial" w:cs="Arial" w:eastAsia="Arial" w:hAnsi="Arial"/>
          <w:sz w:val="21"/>
          <w:szCs w:val="21"/>
          <w:color w:val="363636"/>
        </w:rPr>
        <w:t>Executive for a</w:t>
      </w:r>
      <w:r>
        <w:rPr>
          <w:rFonts w:ascii="Arial" w:cs="Arial" w:eastAsia="Arial" w:hAnsi="Arial"/>
          <w:sz w:val="21"/>
          <w:szCs w:val="21"/>
          <w:color w:val="262626"/>
        </w:rPr>
        <w:t xml:space="preserve"> period </w:t>
      </w:r>
      <w:r>
        <w:rPr>
          <w:rFonts w:ascii="Arial" w:cs="Arial" w:eastAsia="Arial" w:hAnsi="Arial"/>
          <w:sz w:val="21"/>
          <w:szCs w:val="21"/>
          <w:color w:val="363636"/>
        </w:rPr>
        <w:t>of</w:t>
      </w:r>
      <w:r>
        <w:rPr>
          <w:rFonts w:ascii="Arial" w:cs="Arial" w:eastAsia="Arial" w:hAnsi="Arial"/>
          <w:sz w:val="21"/>
          <w:szCs w:val="21"/>
          <w:color w:val="262626"/>
        </w:rPr>
        <w:t xml:space="preserve"> nine </w:t>
      </w:r>
      <w:r>
        <w:rPr>
          <w:rFonts w:ascii="Arial" w:cs="Arial" w:eastAsia="Arial" w:hAnsi="Arial"/>
          <w:sz w:val="21"/>
          <w:szCs w:val="21"/>
          <w:color w:val="363636"/>
        </w:rPr>
        <w:t>(9)</w:t>
      </w:r>
      <w:r>
        <w:rPr>
          <w:rFonts w:ascii="Arial" w:cs="Arial" w:eastAsia="Arial" w:hAnsi="Arial"/>
          <w:sz w:val="21"/>
          <w:szCs w:val="21"/>
          <w:color w:val="262626"/>
        </w:rPr>
        <w:t xml:space="preserve"> months </w:t>
      </w:r>
      <w:r>
        <w:rPr>
          <w:rFonts w:ascii="Arial" w:cs="Arial" w:eastAsia="Arial" w:hAnsi="Arial"/>
          <w:sz w:val="21"/>
          <w:szCs w:val="21"/>
          <w:color w:val="363636"/>
        </w:rPr>
        <w:t>from and after</w:t>
      </w:r>
      <w:r>
        <w:rPr>
          <w:rFonts w:ascii="Arial" w:cs="Arial" w:eastAsia="Arial" w:hAnsi="Arial"/>
          <w:sz w:val="21"/>
          <w:szCs w:val="21"/>
          <w:color w:val="262626"/>
        </w:rPr>
        <w:t xml:space="preserve"> </w:t>
      </w:r>
      <w:r>
        <w:rPr>
          <w:rFonts w:ascii="Arial" w:cs="Arial" w:eastAsia="Arial" w:hAnsi="Arial"/>
          <w:sz w:val="21"/>
          <w:szCs w:val="21"/>
          <w:color w:val="363636"/>
        </w:rPr>
        <w:t xml:space="preserve">the </w:t>
      </w:r>
      <w:r>
        <w:rPr>
          <w:rFonts w:ascii="Arial" w:cs="Arial" w:eastAsia="Arial" w:hAnsi="Arial"/>
          <w:sz w:val="21"/>
          <w:szCs w:val="21"/>
          <w:color w:val="262626"/>
        </w:rPr>
        <w:t>date</w:t>
      </w:r>
      <w:r>
        <w:rPr>
          <w:rFonts w:ascii="Arial" w:cs="Arial" w:eastAsia="Arial" w:hAnsi="Arial"/>
          <w:sz w:val="21"/>
          <w:szCs w:val="21"/>
          <w:color w:val="363636"/>
        </w:rPr>
        <w:t xml:space="preserve"> of </w:t>
      </w:r>
      <w:r>
        <w:rPr>
          <w:rFonts w:ascii="Arial" w:cs="Arial" w:eastAsia="Arial" w:hAnsi="Arial"/>
          <w:sz w:val="21"/>
          <w:szCs w:val="21"/>
          <w:color w:val="262626"/>
        </w:rPr>
        <w:t>termination</w:t>
      </w:r>
      <w:r>
        <w:rPr>
          <w:rFonts w:ascii="Arial" w:cs="Arial" w:eastAsia="Arial" w:hAnsi="Arial"/>
          <w:sz w:val="21"/>
          <w:szCs w:val="21"/>
          <w:color w:val="494949"/>
        </w:rPr>
        <w:t>,</w:t>
      </w:r>
      <w:r>
        <w:rPr>
          <w:rFonts w:ascii="Arial" w:cs="Arial" w:eastAsia="Arial" w:hAnsi="Arial"/>
          <w:sz w:val="21"/>
          <w:szCs w:val="21"/>
          <w:color w:val="363636"/>
        </w:rPr>
        <w:t xml:space="preserve"> with </w:t>
      </w:r>
      <w:r>
        <w:rPr>
          <w:rFonts w:ascii="Arial" w:cs="Arial" w:eastAsia="Arial" w:hAnsi="Arial"/>
          <w:sz w:val="21"/>
          <w:szCs w:val="21"/>
          <w:color w:val="262626"/>
        </w:rPr>
        <w:t>the</w:t>
      </w:r>
      <w:r>
        <w:rPr>
          <w:rFonts w:ascii="Arial" w:cs="Arial" w:eastAsia="Arial" w:hAnsi="Arial"/>
          <w:sz w:val="21"/>
          <w:szCs w:val="21"/>
          <w:color w:val="363636"/>
        </w:rPr>
        <w:t xml:space="preserve"> cost of </w:t>
      </w:r>
      <w:r>
        <w:rPr>
          <w:rFonts w:ascii="Arial" w:cs="Arial" w:eastAsia="Arial" w:hAnsi="Arial"/>
          <w:sz w:val="21"/>
          <w:szCs w:val="21"/>
          <w:color w:val="262626"/>
        </w:rPr>
        <w:t>all</w:t>
      </w:r>
      <w:r>
        <w:rPr>
          <w:rFonts w:ascii="Arial" w:cs="Arial" w:eastAsia="Arial" w:hAnsi="Arial"/>
          <w:sz w:val="21"/>
          <w:szCs w:val="21"/>
          <w:color w:val="363636"/>
        </w:rPr>
        <w:t xml:space="preserve"> regular </w:t>
      </w:r>
      <w:r>
        <w:rPr>
          <w:rFonts w:ascii="Arial" w:cs="Arial" w:eastAsia="Arial" w:hAnsi="Arial"/>
          <w:sz w:val="21"/>
          <w:szCs w:val="21"/>
          <w:color w:val="262626"/>
        </w:rPr>
        <w:t>premiums</w:t>
      </w:r>
      <w:r>
        <w:rPr>
          <w:rFonts w:ascii="Arial" w:cs="Arial" w:eastAsia="Arial" w:hAnsi="Arial"/>
          <w:sz w:val="21"/>
          <w:szCs w:val="21"/>
          <w:color w:val="363636"/>
        </w:rPr>
        <w:t xml:space="preserve"> for such </w:t>
      </w:r>
      <w:r>
        <w:rPr>
          <w:rFonts w:ascii="Arial" w:cs="Arial" w:eastAsia="Arial" w:hAnsi="Arial"/>
          <w:sz w:val="21"/>
          <w:szCs w:val="21"/>
          <w:color w:val="262626"/>
        </w:rPr>
        <w:t>benefits paid</w:t>
      </w:r>
      <w:r>
        <w:rPr>
          <w:rFonts w:ascii="Arial" w:cs="Arial" w:eastAsia="Arial" w:hAnsi="Arial"/>
          <w:sz w:val="21"/>
          <w:szCs w:val="21"/>
          <w:color w:val="363636"/>
        </w:rPr>
        <w:t xml:space="preserve"> </w:t>
      </w:r>
      <w:r>
        <w:rPr>
          <w:rFonts w:ascii="Arial" w:cs="Arial" w:eastAsia="Arial" w:hAnsi="Arial"/>
          <w:sz w:val="21"/>
          <w:szCs w:val="21"/>
          <w:color w:val="262626"/>
        </w:rPr>
        <w:t xml:space="preserve">by </w:t>
      </w:r>
      <w:r>
        <w:rPr>
          <w:rFonts w:ascii="Arial" w:cs="Arial" w:eastAsia="Arial" w:hAnsi="Arial"/>
          <w:sz w:val="21"/>
          <w:szCs w:val="21"/>
          <w:color w:val="363636"/>
        </w:rPr>
        <w:t>the Company (or</w:t>
      </w:r>
      <w:r>
        <w:rPr>
          <w:rFonts w:ascii="Arial" w:cs="Arial" w:eastAsia="Arial" w:hAnsi="Arial"/>
          <w:sz w:val="21"/>
          <w:szCs w:val="21"/>
          <w:color w:val="262626"/>
        </w:rPr>
        <w:t xml:space="preserve"> its successor).</w:t>
      </w:r>
    </w:p>
    <w:p>
      <w:pPr>
        <w:spacing w:after="0" w:line="172" w:lineRule="exact"/>
        <w:rPr>
          <w:rFonts w:ascii="Arial" w:cs="Arial" w:eastAsia="Arial" w:hAnsi="Arial"/>
          <w:sz w:val="21"/>
          <w:szCs w:val="21"/>
          <w:color w:val="363636"/>
        </w:rPr>
      </w:pPr>
    </w:p>
    <w:p>
      <w:pPr>
        <w:ind w:left="2980" w:right="140" w:hanging="788"/>
        <w:spacing w:after="0" w:line="283" w:lineRule="auto"/>
        <w:tabs>
          <w:tab w:leader="none" w:pos="2980" w:val="left"/>
        </w:tabs>
        <w:numPr>
          <w:ilvl w:val="1"/>
          <w:numId w:val="176"/>
        </w:numPr>
        <w:rPr>
          <w:rFonts w:ascii="Arial" w:cs="Arial" w:eastAsia="Arial" w:hAnsi="Arial"/>
          <w:sz w:val="19"/>
          <w:szCs w:val="19"/>
          <w:color w:val="363636"/>
        </w:rPr>
      </w:pPr>
      <w:r>
        <w:rPr>
          <w:rFonts w:ascii="Arial" w:cs="Arial" w:eastAsia="Arial" w:hAnsi="Arial"/>
          <w:sz w:val="19"/>
          <w:szCs w:val="19"/>
          <w:u w:val="single" w:color="auto"/>
          <w:color w:val="363636"/>
        </w:rPr>
        <w:t>Equity.</w:t>
      </w:r>
      <w:r>
        <w:rPr>
          <w:rFonts w:ascii="Arial" w:cs="Arial" w:eastAsia="Arial" w:hAnsi="Arial"/>
          <w:sz w:val="19"/>
          <w:szCs w:val="19"/>
          <w:color w:val="363636"/>
        </w:rPr>
        <w:t xml:space="preserve"> Executive's stock options </w:t>
      </w:r>
      <w:r>
        <w:rPr>
          <w:rFonts w:ascii="Arial" w:cs="Arial" w:eastAsia="Arial" w:hAnsi="Arial"/>
          <w:sz w:val="19"/>
          <w:szCs w:val="19"/>
          <w:color w:val="262626"/>
        </w:rPr>
        <w:t>shall</w:t>
      </w:r>
      <w:r>
        <w:rPr>
          <w:rFonts w:ascii="Arial" w:cs="Arial" w:eastAsia="Arial" w:hAnsi="Arial"/>
          <w:sz w:val="19"/>
          <w:szCs w:val="19"/>
          <w:color w:val="363636"/>
        </w:rPr>
        <w:t xml:space="preserve"> immediately accelerate so </w:t>
      </w:r>
      <w:r>
        <w:rPr>
          <w:rFonts w:ascii="Arial" w:cs="Arial" w:eastAsia="Arial" w:hAnsi="Arial"/>
          <w:sz w:val="19"/>
          <w:szCs w:val="19"/>
          <w:color w:val="262626"/>
        </w:rPr>
        <w:t>that l 00% of</w:t>
      </w:r>
      <w:r>
        <w:rPr>
          <w:rFonts w:ascii="Arial" w:cs="Arial" w:eastAsia="Arial" w:hAnsi="Arial"/>
          <w:sz w:val="19"/>
          <w:szCs w:val="19"/>
          <w:color w:val="363636"/>
        </w:rPr>
        <w:t xml:space="preserve"> any </w:t>
      </w:r>
      <w:r>
        <w:rPr>
          <w:rFonts w:ascii="Arial" w:cs="Arial" w:eastAsia="Arial" w:hAnsi="Arial"/>
          <w:sz w:val="19"/>
          <w:szCs w:val="19"/>
          <w:color w:val="262626"/>
        </w:rPr>
        <w:t xml:space="preserve">then unvested </w:t>
      </w:r>
      <w:r>
        <w:rPr>
          <w:rFonts w:ascii="Arial" w:cs="Arial" w:eastAsia="Arial" w:hAnsi="Arial"/>
          <w:sz w:val="19"/>
          <w:szCs w:val="19"/>
          <w:color w:val="363636"/>
        </w:rPr>
        <w:t>stock options</w:t>
      </w:r>
      <w:r>
        <w:rPr>
          <w:rFonts w:ascii="Arial" w:cs="Arial" w:eastAsia="Arial" w:hAnsi="Arial"/>
          <w:sz w:val="19"/>
          <w:szCs w:val="19"/>
          <w:color w:val="262626"/>
        </w:rPr>
        <w:t xml:space="preserve"> shall immediately </w:t>
      </w:r>
      <w:r>
        <w:rPr>
          <w:rFonts w:ascii="Arial" w:cs="Arial" w:eastAsia="Arial" w:hAnsi="Arial"/>
          <w:sz w:val="19"/>
          <w:szCs w:val="19"/>
          <w:color w:val="363636"/>
        </w:rPr>
        <w:t>vest and</w:t>
      </w:r>
      <w:r>
        <w:rPr>
          <w:rFonts w:ascii="Arial" w:cs="Arial" w:eastAsia="Arial" w:hAnsi="Arial"/>
          <w:sz w:val="19"/>
          <w:szCs w:val="19"/>
          <w:color w:val="262626"/>
        </w:rPr>
        <w:t xml:space="preserve"> become </w:t>
      </w:r>
      <w:r>
        <w:rPr>
          <w:rFonts w:ascii="Arial" w:cs="Arial" w:eastAsia="Arial" w:hAnsi="Arial"/>
          <w:sz w:val="19"/>
          <w:szCs w:val="19"/>
          <w:color w:val="363636"/>
        </w:rPr>
        <w:t>exercisable</w:t>
      </w:r>
      <w:r>
        <w:rPr>
          <w:rFonts w:ascii="Arial" w:cs="Arial" w:eastAsia="Arial" w:hAnsi="Arial"/>
          <w:sz w:val="19"/>
          <w:szCs w:val="19"/>
          <w:color w:val="262626"/>
        </w:rPr>
        <w:t xml:space="preserve"> upon the date </w:t>
      </w:r>
      <w:r>
        <w:rPr>
          <w:rFonts w:ascii="Arial" w:cs="Arial" w:eastAsia="Arial" w:hAnsi="Arial"/>
          <w:sz w:val="19"/>
          <w:szCs w:val="19"/>
          <w:color w:val="363636"/>
        </w:rPr>
        <w:t>of</w:t>
      </w:r>
      <w:r>
        <w:rPr>
          <w:rFonts w:ascii="Arial" w:cs="Arial" w:eastAsia="Arial" w:hAnsi="Arial"/>
          <w:sz w:val="19"/>
          <w:szCs w:val="19"/>
          <w:color w:val="262626"/>
        </w:rPr>
        <w:t xml:space="preserve"> Executive'</w:t>
      </w:r>
      <w:r>
        <w:rPr>
          <w:rFonts w:ascii="Arial" w:cs="Arial" w:eastAsia="Arial" w:hAnsi="Arial"/>
          <w:sz w:val="19"/>
          <w:szCs w:val="19"/>
          <w:color w:val="494949"/>
        </w:rPr>
        <w:t>s</w:t>
      </w:r>
      <w:r>
        <w:rPr>
          <w:rFonts w:ascii="Arial" w:cs="Arial" w:eastAsia="Arial" w:hAnsi="Arial"/>
          <w:sz w:val="19"/>
          <w:szCs w:val="19"/>
          <w:color w:val="262626"/>
        </w:rPr>
        <w:t xml:space="preserve"> termination </w:t>
      </w:r>
      <w:r>
        <w:rPr>
          <w:rFonts w:ascii="Arial" w:cs="Arial" w:eastAsia="Arial" w:hAnsi="Arial"/>
          <w:sz w:val="19"/>
          <w:szCs w:val="19"/>
          <w:color w:val="363636"/>
        </w:rPr>
        <w:t>Without Cause</w:t>
      </w:r>
      <w:r>
        <w:rPr>
          <w:rFonts w:ascii="Arial" w:cs="Arial" w:eastAsia="Arial" w:hAnsi="Arial"/>
          <w:sz w:val="19"/>
          <w:szCs w:val="19"/>
          <w:color w:val="262626"/>
        </w:rPr>
        <w:t xml:space="preserve"> or </w:t>
      </w:r>
      <w:r>
        <w:rPr>
          <w:rFonts w:ascii="Arial" w:cs="Arial" w:eastAsia="Arial" w:hAnsi="Arial"/>
          <w:sz w:val="19"/>
          <w:szCs w:val="19"/>
          <w:color w:val="363636"/>
        </w:rPr>
        <w:t>resignation with Good</w:t>
      </w:r>
      <w:r>
        <w:rPr>
          <w:rFonts w:ascii="Arial" w:cs="Arial" w:eastAsia="Arial" w:hAnsi="Arial"/>
          <w:sz w:val="19"/>
          <w:szCs w:val="19"/>
          <w:color w:val="262626"/>
        </w:rPr>
        <w:t xml:space="preserve"> Reason </w:t>
      </w:r>
      <w:r>
        <w:rPr>
          <w:rFonts w:ascii="Arial" w:cs="Arial" w:eastAsia="Arial" w:hAnsi="Arial"/>
          <w:sz w:val="19"/>
          <w:szCs w:val="19"/>
          <w:color w:val="363636"/>
        </w:rPr>
        <w:t>and</w:t>
      </w:r>
      <w:r>
        <w:rPr>
          <w:rFonts w:ascii="Arial" w:cs="Arial" w:eastAsia="Arial" w:hAnsi="Arial"/>
          <w:sz w:val="19"/>
          <w:szCs w:val="19"/>
          <w:color w:val="262626"/>
        </w:rPr>
        <w:t xml:space="preserve"> </w:t>
      </w:r>
      <w:r>
        <w:rPr>
          <w:rFonts w:ascii="Arial" w:cs="Arial" w:eastAsia="Arial" w:hAnsi="Arial"/>
          <w:sz w:val="19"/>
          <w:szCs w:val="19"/>
          <w:color w:val="363636"/>
        </w:rPr>
        <w:t xml:space="preserve">shall </w:t>
      </w:r>
      <w:r>
        <w:rPr>
          <w:rFonts w:ascii="Arial" w:cs="Arial" w:eastAsia="Arial" w:hAnsi="Arial"/>
          <w:sz w:val="19"/>
          <w:szCs w:val="19"/>
          <w:color w:val="262626"/>
        </w:rPr>
        <w:t>continue to be</w:t>
      </w:r>
      <w:r>
        <w:rPr>
          <w:rFonts w:ascii="Arial" w:cs="Arial" w:eastAsia="Arial" w:hAnsi="Arial"/>
          <w:sz w:val="19"/>
          <w:szCs w:val="19"/>
          <w:color w:val="363636"/>
        </w:rPr>
        <w:t xml:space="preserve"> exercisable for </w:t>
      </w:r>
      <w:r>
        <w:rPr>
          <w:rFonts w:ascii="Arial" w:cs="Arial" w:eastAsia="Arial" w:hAnsi="Arial"/>
          <w:sz w:val="19"/>
          <w:szCs w:val="19"/>
          <w:color w:val="262626"/>
        </w:rPr>
        <w:t>three</w:t>
      </w:r>
      <w:r>
        <w:rPr>
          <w:rFonts w:ascii="Arial" w:cs="Arial" w:eastAsia="Arial" w:hAnsi="Arial"/>
          <w:sz w:val="19"/>
          <w:szCs w:val="19"/>
          <w:color w:val="363636"/>
        </w:rPr>
        <w:t xml:space="preserve"> (3) months</w:t>
      </w:r>
    </w:p>
    <w:p>
      <w:pPr>
        <w:spacing w:after="0" w:line="157" w:lineRule="exact"/>
        <w:rPr>
          <w:rFonts w:ascii="Arial" w:cs="Arial" w:eastAsia="Arial" w:hAnsi="Arial"/>
          <w:sz w:val="19"/>
          <w:szCs w:val="19"/>
          <w:color w:val="363636"/>
        </w:rPr>
      </w:pPr>
    </w:p>
    <w:p>
      <w:pPr>
        <w:ind w:left="2980" w:right="40" w:hanging="788"/>
        <w:spacing w:after="0" w:line="250" w:lineRule="auto"/>
        <w:tabs>
          <w:tab w:leader="none" w:pos="2980" w:val="left"/>
        </w:tabs>
        <w:numPr>
          <w:ilvl w:val="1"/>
          <w:numId w:val="176"/>
        </w:numPr>
        <w:rPr>
          <w:rFonts w:ascii="Arial" w:cs="Arial" w:eastAsia="Arial" w:hAnsi="Arial"/>
          <w:sz w:val="21"/>
          <w:szCs w:val="21"/>
          <w:color w:val="363636"/>
        </w:rPr>
      </w:pPr>
      <w:r>
        <w:rPr>
          <w:rFonts w:ascii="Arial" w:cs="Arial" w:eastAsia="Arial" w:hAnsi="Arial"/>
          <w:sz w:val="21"/>
          <w:szCs w:val="21"/>
          <w:u w:val="single" w:color="auto"/>
          <w:color w:val="262626"/>
        </w:rPr>
        <w:t>Timing of</w:t>
      </w:r>
      <w:r>
        <w:rPr>
          <w:rFonts w:ascii="Arial" w:cs="Arial" w:eastAsia="Arial" w:hAnsi="Arial"/>
          <w:sz w:val="21"/>
          <w:szCs w:val="21"/>
          <w:color w:val="262626"/>
        </w:rPr>
        <w:t xml:space="preserve"> </w:t>
      </w:r>
      <w:r>
        <w:rPr>
          <w:rFonts w:ascii="Arial" w:cs="Arial" w:eastAsia="Arial" w:hAnsi="Arial"/>
          <w:sz w:val="21"/>
          <w:szCs w:val="21"/>
          <w:u w:val="single" w:color="auto"/>
          <w:color w:val="363636"/>
        </w:rPr>
        <w:t>Payments.</w:t>
      </w:r>
      <w:r>
        <w:rPr>
          <w:rFonts w:ascii="Arial" w:cs="Arial" w:eastAsia="Arial" w:hAnsi="Arial"/>
          <w:sz w:val="21"/>
          <w:szCs w:val="21"/>
          <w:color w:val="262626"/>
        </w:rPr>
        <w:t xml:space="preserve"> </w:t>
      </w:r>
      <w:r>
        <w:rPr>
          <w:rFonts w:ascii="Arial" w:cs="Arial" w:eastAsia="Arial" w:hAnsi="Arial"/>
          <w:sz w:val="21"/>
          <w:szCs w:val="21"/>
          <w:color w:val="363636"/>
        </w:rPr>
        <w:t>The severance</w:t>
      </w:r>
      <w:r>
        <w:rPr>
          <w:rFonts w:ascii="Arial" w:cs="Arial" w:eastAsia="Arial" w:hAnsi="Arial"/>
          <w:sz w:val="21"/>
          <w:szCs w:val="21"/>
          <w:color w:val="262626"/>
        </w:rPr>
        <w:t xml:space="preserve"> benefits </w:t>
      </w:r>
      <w:r>
        <w:rPr>
          <w:rFonts w:ascii="Arial" w:cs="Arial" w:eastAsia="Arial" w:hAnsi="Arial"/>
          <w:sz w:val="21"/>
          <w:szCs w:val="21"/>
          <w:color w:val="363636"/>
        </w:rPr>
        <w:t>in the above subsection</w:t>
      </w:r>
      <w:r>
        <w:rPr>
          <w:rFonts w:ascii="Arial" w:cs="Arial" w:eastAsia="Arial" w:hAnsi="Arial"/>
          <w:sz w:val="21"/>
          <w:szCs w:val="21"/>
          <w:color w:val="262626"/>
        </w:rPr>
        <w:t xml:space="preserve"> 3.3(b)(i) </w:t>
      </w:r>
      <w:r>
        <w:rPr>
          <w:rFonts w:ascii="Arial" w:cs="Arial" w:eastAsia="Arial" w:hAnsi="Arial"/>
          <w:sz w:val="21"/>
          <w:szCs w:val="21"/>
          <w:color w:val="494949"/>
        </w:rPr>
        <w:t>s</w:t>
      </w:r>
      <w:r>
        <w:rPr>
          <w:rFonts w:ascii="Arial" w:cs="Arial" w:eastAsia="Arial" w:hAnsi="Arial"/>
          <w:sz w:val="21"/>
          <w:szCs w:val="21"/>
          <w:color w:val="262626"/>
        </w:rPr>
        <w:t xml:space="preserve">hall be paid </w:t>
      </w:r>
      <w:r>
        <w:rPr>
          <w:rFonts w:ascii="Arial" w:cs="Arial" w:eastAsia="Arial" w:hAnsi="Arial"/>
          <w:sz w:val="21"/>
          <w:szCs w:val="21"/>
          <w:color w:val="363636"/>
        </w:rPr>
        <w:t>to Executive</w:t>
      </w:r>
      <w:r>
        <w:rPr>
          <w:rFonts w:ascii="Arial" w:cs="Arial" w:eastAsia="Arial" w:hAnsi="Arial"/>
          <w:sz w:val="21"/>
          <w:szCs w:val="21"/>
          <w:color w:val="262626"/>
        </w:rPr>
        <w:t xml:space="preserve"> no later </w:t>
      </w:r>
      <w:r>
        <w:rPr>
          <w:rFonts w:ascii="Arial" w:cs="Arial" w:eastAsia="Arial" w:hAnsi="Arial"/>
          <w:sz w:val="21"/>
          <w:szCs w:val="21"/>
          <w:color w:val="363636"/>
        </w:rPr>
        <w:t>than</w:t>
      </w:r>
      <w:r>
        <w:rPr>
          <w:rFonts w:ascii="Arial" w:cs="Arial" w:eastAsia="Arial" w:hAnsi="Arial"/>
          <w:sz w:val="21"/>
          <w:szCs w:val="21"/>
          <w:color w:val="262626"/>
        </w:rPr>
        <w:t xml:space="preserve"> fifteen</w:t>
      </w:r>
    </w:p>
    <w:p>
      <w:pPr>
        <w:ind w:left="3000" w:right="60" w:hanging="5"/>
        <w:spacing w:after="0" w:line="246" w:lineRule="auto"/>
        <w:rPr>
          <w:rFonts w:ascii="Arial" w:cs="Arial" w:eastAsia="Arial" w:hAnsi="Arial"/>
          <w:sz w:val="21"/>
          <w:szCs w:val="21"/>
          <w:color w:val="363636"/>
        </w:rPr>
      </w:pPr>
      <w:r>
        <w:rPr>
          <w:rFonts w:ascii="Arial" w:cs="Arial" w:eastAsia="Arial" w:hAnsi="Arial"/>
          <w:sz w:val="21"/>
          <w:szCs w:val="21"/>
          <w:color w:val="363636"/>
        </w:rPr>
        <w:t>(</w:t>
      </w:r>
      <w:r>
        <w:rPr>
          <w:rFonts w:ascii="Arial" w:cs="Arial" w:eastAsia="Arial" w:hAnsi="Arial"/>
          <w:sz w:val="21"/>
          <w:szCs w:val="21"/>
          <w:color w:val="262626"/>
        </w:rPr>
        <w:t>15) days</w:t>
      </w:r>
      <w:r>
        <w:rPr>
          <w:rFonts w:ascii="Arial" w:cs="Arial" w:eastAsia="Arial" w:hAnsi="Arial"/>
          <w:sz w:val="21"/>
          <w:szCs w:val="21"/>
          <w:color w:val="363636"/>
        </w:rPr>
        <w:t xml:space="preserve"> from the </w:t>
      </w:r>
      <w:r>
        <w:rPr>
          <w:rFonts w:ascii="Arial" w:cs="Arial" w:eastAsia="Arial" w:hAnsi="Arial"/>
          <w:sz w:val="21"/>
          <w:szCs w:val="21"/>
          <w:color w:val="262626"/>
        </w:rPr>
        <w:t>date the</w:t>
      </w:r>
      <w:r>
        <w:rPr>
          <w:rFonts w:ascii="Arial" w:cs="Arial" w:eastAsia="Arial" w:hAnsi="Arial"/>
          <w:sz w:val="21"/>
          <w:szCs w:val="21"/>
          <w:color w:val="363636"/>
        </w:rPr>
        <w:t xml:space="preserve"> Executive signs </w:t>
      </w:r>
      <w:r>
        <w:rPr>
          <w:rFonts w:ascii="Arial" w:cs="Arial" w:eastAsia="Arial" w:hAnsi="Arial"/>
          <w:sz w:val="21"/>
          <w:szCs w:val="21"/>
          <w:color w:val="262626"/>
        </w:rPr>
        <w:t>the</w:t>
      </w:r>
      <w:r>
        <w:rPr>
          <w:rFonts w:ascii="Arial" w:cs="Arial" w:eastAsia="Arial" w:hAnsi="Arial"/>
          <w:sz w:val="21"/>
          <w:szCs w:val="21"/>
          <w:color w:val="363636"/>
        </w:rPr>
        <w:t xml:space="preserve"> severance and release agreement and </w:t>
      </w:r>
      <w:r>
        <w:rPr>
          <w:rFonts w:ascii="Arial" w:cs="Arial" w:eastAsia="Arial" w:hAnsi="Arial"/>
          <w:sz w:val="21"/>
          <w:szCs w:val="21"/>
          <w:color w:val="262626"/>
        </w:rPr>
        <w:t xml:space="preserve">the </w:t>
      </w:r>
      <w:r>
        <w:rPr>
          <w:rFonts w:ascii="Arial" w:cs="Arial" w:eastAsia="Arial" w:hAnsi="Arial"/>
          <w:sz w:val="21"/>
          <w:szCs w:val="21"/>
          <w:color w:val="363636"/>
        </w:rPr>
        <w:t>revocation period</w:t>
      </w:r>
      <w:r>
        <w:rPr>
          <w:rFonts w:ascii="Arial" w:cs="Arial" w:eastAsia="Arial" w:hAnsi="Arial"/>
          <w:sz w:val="21"/>
          <w:szCs w:val="21"/>
          <w:color w:val="5B5B5B"/>
        </w:rPr>
        <w:t>,</w:t>
      </w:r>
      <w:r>
        <w:rPr>
          <w:rFonts w:ascii="Arial" w:cs="Arial" w:eastAsia="Arial" w:hAnsi="Arial"/>
          <w:sz w:val="21"/>
          <w:szCs w:val="21"/>
          <w:color w:val="262626"/>
        </w:rPr>
        <w:t xml:space="preserve"> if any</w:t>
      </w:r>
      <w:r>
        <w:rPr>
          <w:rFonts w:ascii="Arial" w:cs="Arial" w:eastAsia="Arial" w:hAnsi="Arial"/>
          <w:sz w:val="21"/>
          <w:szCs w:val="21"/>
          <w:color w:val="5B5B5B"/>
        </w:rPr>
        <w:t>,</w:t>
      </w:r>
      <w:r>
        <w:rPr>
          <w:rFonts w:ascii="Arial" w:cs="Arial" w:eastAsia="Arial" w:hAnsi="Arial"/>
          <w:sz w:val="21"/>
          <w:szCs w:val="21"/>
          <w:color w:val="262626"/>
        </w:rPr>
        <w:t xml:space="preserve"> </w:t>
      </w:r>
      <w:r>
        <w:rPr>
          <w:rFonts w:ascii="Arial" w:cs="Arial" w:eastAsia="Arial" w:hAnsi="Arial"/>
          <w:sz w:val="21"/>
          <w:szCs w:val="21"/>
          <w:color w:val="363636"/>
        </w:rPr>
        <w:t>has expired.</w:t>
      </w:r>
    </w:p>
    <w:p>
      <w:pPr>
        <w:spacing w:after="0" w:line="169" w:lineRule="exact"/>
        <w:rPr>
          <w:rFonts w:ascii="Arial" w:cs="Arial" w:eastAsia="Arial" w:hAnsi="Arial"/>
          <w:sz w:val="21"/>
          <w:szCs w:val="21"/>
          <w:color w:val="363636"/>
        </w:rPr>
      </w:pPr>
    </w:p>
    <w:p>
      <w:pPr>
        <w:ind w:right="120" w:firstLine="1256"/>
        <w:spacing w:after="0" w:line="251" w:lineRule="auto"/>
        <w:tabs>
          <w:tab w:leader="none" w:pos="2115" w:val="left"/>
        </w:tabs>
        <w:numPr>
          <w:ilvl w:val="0"/>
          <w:numId w:val="177"/>
        </w:numPr>
        <w:rPr>
          <w:rFonts w:ascii="Arial" w:cs="Arial" w:eastAsia="Arial" w:hAnsi="Arial"/>
          <w:sz w:val="20"/>
          <w:szCs w:val="20"/>
          <w:color w:val="363636"/>
        </w:rPr>
      </w:pPr>
      <w:r>
        <w:rPr>
          <w:rFonts w:ascii="Arial" w:cs="Arial" w:eastAsia="Arial" w:hAnsi="Arial"/>
          <w:sz w:val="21"/>
          <w:szCs w:val="21"/>
          <w:b w:val="1"/>
          <w:bCs w:val="1"/>
          <w:color w:val="262626"/>
        </w:rPr>
        <w:t xml:space="preserve">Termination or Resignation </w:t>
      </w:r>
      <w:r>
        <w:rPr>
          <w:rFonts w:ascii="Arial" w:cs="Arial" w:eastAsia="Arial" w:hAnsi="Arial"/>
          <w:sz w:val="19"/>
          <w:szCs w:val="19"/>
          <w:b w:val="1"/>
          <w:bCs w:val="1"/>
          <w:color w:val="262626"/>
        </w:rPr>
        <w:t>In</w:t>
      </w:r>
      <w:r>
        <w:rPr>
          <w:rFonts w:ascii="Arial" w:cs="Arial" w:eastAsia="Arial" w:hAnsi="Arial"/>
          <w:sz w:val="21"/>
          <w:szCs w:val="21"/>
          <w:b w:val="1"/>
          <w:bCs w:val="1"/>
          <w:color w:val="262626"/>
        </w:rPr>
        <w:t xml:space="preserve"> Connection With </w:t>
      </w:r>
      <w:r>
        <w:rPr>
          <w:rFonts w:ascii="Arial" w:cs="Arial" w:eastAsia="Arial" w:hAnsi="Arial"/>
          <w:sz w:val="21"/>
          <w:szCs w:val="21"/>
          <w:b w:val="1"/>
          <w:bCs w:val="1"/>
          <w:color w:val="363636"/>
        </w:rPr>
        <w:t>Change</w:t>
      </w:r>
      <w:r>
        <w:rPr>
          <w:rFonts w:ascii="Arial" w:cs="Arial" w:eastAsia="Arial" w:hAnsi="Arial"/>
          <w:sz w:val="21"/>
          <w:szCs w:val="21"/>
          <w:b w:val="1"/>
          <w:bCs w:val="1"/>
          <w:color w:val="262626"/>
        </w:rPr>
        <w:t xml:space="preserve"> In Control. </w:t>
      </w:r>
      <w:r>
        <w:rPr>
          <w:rFonts w:ascii="Arial" w:cs="Arial" w:eastAsia="Arial" w:hAnsi="Arial"/>
          <w:sz w:val="21"/>
          <w:szCs w:val="21"/>
          <w:color w:val="262626"/>
        </w:rPr>
        <w:t>In the event</w:t>
      </w:r>
      <w:r>
        <w:rPr>
          <w:rFonts w:ascii="Arial" w:cs="Arial" w:eastAsia="Arial" w:hAnsi="Arial"/>
          <w:sz w:val="21"/>
          <w:szCs w:val="21"/>
          <w:b w:val="1"/>
          <w:bCs w:val="1"/>
          <w:color w:val="262626"/>
        </w:rPr>
        <w:t xml:space="preserve"> </w:t>
      </w:r>
      <w:r>
        <w:rPr>
          <w:rFonts w:ascii="Arial" w:cs="Arial" w:eastAsia="Arial" w:hAnsi="Arial"/>
          <w:sz w:val="21"/>
          <w:szCs w:val="21"/>
          <w:color w:val="363636"/>
        </w:rPr>
        <w:t>Executive</w:t>
      </w:r>
      <w:r>
        <w:rPr>
          <w:rFonts w:ascii="Arial" w:cs="Arial" w:eastAsia="Arial" w:hAnsi="Arial"/>
          <w:sz w:val="21"/>
          <w:szCs w:val="21"/>
          <w:b w:val="1"/>
          <w:bCs w:val="1"/>
          <w:color w:val="262626"/>
        </w:rPr>
        <w:t xml:space="preserve"> </w:t>
      </w:r>
      <w:r>
        <w:rPr>
          <w:rFonts w:ascii="Arial" w:cs="Arial" w:eastAsia="Arial" w:hAnsi="Arial"/>
          <w:sz w:val="21"/>
          <w:szCs w:val="21"/>
          <w:color w:val="262626"/>
        </w:rPr>
        <w:t xml:space="preserve">is terminated </w:t>
      </w:r>
      <w:r>
        <w:rPr>
          <w:rFonts w:ascii="Arial" w:cs="Arial" w:eastAsia="Arial" w:hAnsi="Arial"/>
          <w:sz w:val="21"/>
          <w:szCs w:val="21"/>
          <w:color w:val="363636"/>
        </w:rPr>
        <w:t>or resigns in connection with or within one</w:t>
      </w:r>
      <w:r>
        <w:rPr>
          <w:rFonts w:ascii="Arial" w:cs="Arial" w:eastAsia="Arial" w:hAnsi="Arial"/>
          <w:sz w:val="21"/>
          <w:szCs w:val="21"/>
          <w:color w:val="262626"/>
        </w:rPr>
        <w:t xml:space="preserve"> (1) </w:t>
      </w:r>
      <w:r>
        <w:rPr>
          <w:rFonts w:ascii="Arial" w:cs="Arial" w:eastAsia="Arial" w:hAnsi="Arial"/>
          <w:sz w:val="21"/>
          <w:szCs w:val="21"/>
          <w:color w:val="363636"/>
        </w:rPr>
        <w:t>year following a Change</w:t>
      </w:r>
      <w:r>
        <w:rPr>
          <w:rFonts w:ascii="Arial" w:cs="Arial" w:eastAsia="Arial" w:hAnsi="Arial"/>
          <w:sz w:val="21"/>
          <w:szCs w:val="21"/>
          <w:color w:val="262626"/>
        </w:rPr>
        <w:t xml:space="preserve"> in </w:t>
      </w:r>
      <w:r>
        <w:rPr>
          <w:rFonts w:ascii="Arial" w:cs="Arial" w:eastAsia="Arial" w:hAnsi="Arial"/>
          <w:sz w:val="21"/>
          <w:szCs w:val="21"/>
          <w:color w:val="363636"/>
        </w:rPr>
        <w:t>Control or for Good</w:t>
      </w:r>
      <w:r>
        <w:rPr>
          <w:rFonts w:ascii="Arial" w:cs="Arial" w:eastAsia="Arial" w:hAnsi="Arial"/>
          <w:sz w:val="21"/>
          <w:szCs w:val="21"/>
          <w:color w:val="262626"/>
        </w:rPr>
        <w:t xml:space="preserve"> Reason </w:t>
      </w:r>
      <w:r>
        <w:rPr>
          <w:rFonts w:ascii="Arial" w:cs="Arial" w:eastAsia="Arial" w:hAnsi="Arial"/>
          <w:sz w:val="21"/>
          <w:szCs w:val="21"/>
          <w:color w:val="363636"/>
        </w:rPr>
        <w:t>as</w:t>
      </w:r>
      <w:r>
        <w:rPr>
          <w:rFonts w:ascii="Arial" w:cs="Arial" w:eastAsia="Arial" w:hAnsi="Arial"/>
          <w:sz w:val="21"/>
          <w:szCs w:val="21"/>
          <w:color w:val="262626"/>
        </w:rPr>
        <w:t xml:space="preserve"> defined </w:t>
      </w:r>
      <w:r>
        <w:rPr>
          <w:rFonts w:ascii="Arial" w:cs="Arial" w:eastAsia="Arial" w:hAnsi="Arial"/>
          <w:sz w:val="21"/>
          <w:szCs w:val="21"/>
          <w:color w:val="363636"/>
        </w:rPr>
        <w:t>in 3</w:t>
      </w:r>
      <w:r>
        <w:rPr>
          <w:rFonts w:ascii="Arial" w:cs="Arial" w:eastAsia="Arial" w:hAnsi="Arial"/>
          <w:sz w:val="21"/>
          <w:szCs w:val="21"/>
          <w:color w:val="000000"/>
        </w:rPr>
        <w:t>.</w:t>
      </w:r>
      <w:r>
        <w:rPr>
          <w:rFonts w:ascii="Arial" w:cs="Arial" w:eastAsia="Arial" w:hAnsi="Arial"/>
          <w:sz w:val="21"/>
          <w:szCs w:val="21"/>
          <w:color w:val="363636"/>
        </w:rPr>
        <w:t>2(b) and 3.2(c),</w:t>
      </w:r>
      <w:r>
        <w:rPr>
          <w:rFonts w:ascii="Arial" w:cs="Arial" w:eastAsia="Arial" w:hAnsi="Arial"/>
          <w:sz w:val="21"/>
          <w:szCs w:val="21"/>
          <w:color w:val="262626"/>
        </w:rPr>
        <w:t xml:space="preserve"> respectively</w:t>
      </w:r>
      <w:r>
        <w:rPr>
          <w:rFonts w:ascii="Arial" w:cs="Arial" w:eastAsia="Arial" w:hAnsi="Arial"/>
          <w:sz w:val="21"/>
          <w:szCs w:val="21"/>
          <w:color w:val="494949"/>
        </w:rPr>
        <w:t>,</w:t>
      </w:r>
      <w:r>
        <w:rPr>
          <w:rFonts w:ascii="Arial" w:cs="Arial" w:eastAsia="Arial" w:hAnsi="Arial"/>
          <w:sz w:val="21"/>
          <w:szCs w:val="21"/>
          <w:color w:val="262626"/>
        </w:rPr>
        <w:t xml:space="preserve"> the </w:t>
      </w:r>
      <w:r>
        <w:rPr>
          <w:rFonts w:ascii="Arial" w:cs="Arial" w:eastAsia="Arial" w:hAnsi="Arial"/>
          <w:sz w:val="21"/>
          <w:szCs w:val="21"/>
          <w:color w:val="363636"/>
        </w:rPr>
        <w:t>Executive shall</w:t>
      </w:r>
      <w:r>
        <w:rPr>
          <w:rFonts w:ascii="Arial" w:cs="Arial" w:eastAsia="Arial" w:hAnsi="Arial"/>
          <w:sz w:val="21"/>
          <w:szCs w:val="21"/>
          <w:color w:val="262626"/>
        </w:rPr>
        <w:t xml:space="preserve"> be </w:t>
      </w:r>
      <w:r>
        <w:rPr>
          <w:rFonts w:ascii="Arial" w:cs="Arial" w:eastAsia="Arial" w:hAnsi="Arial"/>
          <w:sz w:val="21"/>
          <w:szCs w:val="21"/>
          <w:color w:val="363636"/>
        </w:rPr>
        <w:t>entitled</w:t>
      </w:r>
      <w:r>
        <w:rPr>
          <w:rFonts w:ascii="Arial" w:cs="Arial" w:eastAsia="Arial" w:hAnsi="Arial"/>
          <w:sz w:val="21"/>
          <w:szCs w:val="21"/>
          <w:color w:val="262626"/>
        </w:rPr>
        <w:t xml:space="preserve"> to </w:t>
      </w:r>
      <w:r>
        <w:rPr>
          <w:rFonts w:ascii="Arial" w:cs="Arial" w:eastAsia="Arial" w:hAnsi="Arial"/>
          <w:sz w:val="21"/>
          <w:szCs w:val="21"/>
          <w:color w:val="363636"/>
        </w:rPr>
        <w:t>all of</w:t>
      </w:r>
      <w:r>
        <w:rPr>
          <w:rFonts w:ascii="Arial" w:cs="Arial" w:eastAsia="Arial" w:hAnsi="Arial"/>
          <w:sz w:val="21"/>
          <w:szCs w:val="21"/>
          <w:color w:val="262626"/>
        </w:rPr>
        <w:t xml:space="preserve"> the </w:t>
      </w:r>
      <w:r>
        <w:rPr>
          <w:rFonts w:ascii="Arial" w:cs="Arial" w:eastAsia="Arial" w:hAnsi="Arial"/>
          <w:sz w:val="21"/>
          <w:szCs w:val="21"/>
          <w:color w:val="363636"/>
        </w:rPr>
        <w:t>severance</w:t>
      </w:r>
      <w:r>
        <w:rPr>
          <w:rFonts w:ascii="Arial" w:cs="Arial" w:eastAsia="Arial" w:hAnsi="Arial"/>
          <w:sz w:val="21"/>
          <w:szCs w:val="21"/>
          <w:color w:val="262626"/>
        </w:rPr>
        <w:t xml:space="preserve"> benefits </w:t>
      </w:r>
      <w:r>
        <w:rPr>
          <w:rFonts w:ascii="Arial" w:cs="Arial" w:eastAsia="Arial" w:hAnsi="Arial"/>
          <w:sz w:val="21"/>
          <w:szCs w:val="21"/>
          <w:color w:val="363636"/>
        </w:rPr>
        <w:t>set forth</w:t>
      </w:r>
      <w:r>
        <w:rPr>
          <w:rFonts w:ascii="Arial" w:cs="Arial" w:eastAsia="Arial" w:hAnsi="Arial"/>
          <w:sz w:val="21"/>
          <w:szCs w:val="21"/>
          <w:color w:val="262626"/>
        </w:rPr>
        <w:t xml:space="preserve"> in </w:t>
      </w:r>
      <w:r>
        <w:rPr>
          <w:rFonts w:ascii="Arial" w:cs="Arial" w:eastAsia="Arial" w:hAnsi="Arial"/>
          <w:sz w:val="21"/>
          <w:szCs w:val="21"/>
          <w:color w:val="363636"/>
        </w:rPr>
        <w:t>Section 3</w:t>
      </w:r>
      <w:r>
        <w:rPr>
          <w:rFonts w:ascii="Arial" w:cs="Arial" w:eastAsia="Arial" w:hAnsi="Arial"/>
          <w:sz w:val="21"/>
          <w:szCs w:val="21"/>
          <w:color w:val="5B5B5B"/>
        </w:rPr>
        <w:t>.</w:t>
      </w:r>
      <w:r>
        <w:rPr>
          <w:rFonts w:ascii="Arial" w:cs="Arial" w:eastAsia="Arial" w:hAnsi="Arial"/>
          <w:sz w:val="21"/>
          <w:szCs w:val="21"/>
          <w:color w:val="363636"/>
        </w:rPr>
        <w:t>3(b) above.</w:t>
      </w:r>
    </w:p>
    <w:p>
      <w:pPr>
        <w:spacing w:after="0" w:line="178" w:lineRule="exact"/>
        <w:rPr>
          <w:sz w:val="20"/>
          <w:szCs w:val="20"/>
          <w:color w:val="auto"/>
        </w:rPr>
      </w:pPr>
    </w:p>
    <w:p>
      <w:pPr>
        <w:ind w:left="600" w:hanging="595"/>
        <w:spacing w:after="0"/>
        <w:tabs>
          <w:tab w:leader="none" w:pos="600" w:val="left"/>
        </w:tabs>
        <w:numPr>
          <w:ilvl w:val="0"/>
          <w:numId w:val="178"/>
        </w:numPr>
        <w:rPr>
          <w:rFonts w:ascii="Arial" w:cs="Arial" w:eastAsia="Arial" w:hAnsi="Arial"/>
          <w:sz w:val="20"/>
          <w:szCs w:val="20"/>
          <w:b w:val="1"/>
          <w:bCs w:val="1"/>
          <w:color w:val="262626"/>
        </w:rPr>
      </w:pPr>
      <w:r>
        <w:rPr>
          <w:rFonts w:ascii="Arial" w:cs="Arial" w:eastAsia="Arial" w:hAnsi="Arial"/>
          <w:sz w:val="21"/>
          <w:szCs w:val="21"/>
          <w:b w:val="1"/>
          <w:bCs w:val="1"/>
          <w:color w:val="262626"/>
        </w:rPr>
        <w:t>Proprietary Information</w:t>
      </w:r>
    </w:p>
    <w:p>
      <w:pPr>
        <w:spacing w:after="0" w:line="210" w:lineRule="exact"/>
        <w:rPr>
          <w:sz w:val="20"/>
          <w:szCs w:val="20"/>
          <w:color w:val="auto"/>
        </w:rPr>
      </w:pPr>
    </w:p>
    <w:p>
      <w:pPr>
        <w:ind w:right="120" w:firstLine="543"/>
        <w:spacing w:after="0" w:line="245" w:lineRule="auto"/>
        <w:rPr>
          <w:sz w:val="20"/>
          <w:szCs w:val="20"/>
          <w:color w:val="auto"/>
        </w:rPr>
      </w:pPr>
      <w:r>
        <w:rPr>
          <w:rFonts w:ascii="Arial" w:cs="Arial" w:eastAsia="Arial" w:hAnsi="Arial"/>
          <w:sz w:val="21"/>
          <w:szCs w:val="21"/>
          <w:color w:val="363636"/>
        </w:rPr>
        <w:t xml:space="preserve">The Executive acknowledges </w:t>
      </w:r>
      <w:r>
        <w:rPr>
          <w:rFonts w:ascii="Arial" w:cs="Arial" w:eastAsia="Arial" w:hAnsi="Arial"/>
          <w:sz w:val="21"/>
          <w:szCs w:val="21"/>
          <w:color w:val="262626"/>
        </w:rPr>
        <w:t>that:</w:t>
      </w:r>
      <w:r>
        <w:rPr>
          <w:rFonts w:ascii="Arial" w:cs="Arial" w:eastAsia="Arial" w:hAnsi="Arial"/>
          <w:sz w:val="21"/>
          <w:szCs w:val="21"/>
          <w:color w:val="363636"/>
        </w:rPr>
        <w:t xml:space="preserve"> (i) </w:t>
      </w:r>
      <w:r>
        <w:rPr>
          <w:rFonts w:ascii="Arial" w:cs="Arial" w:eastAsia="Arial" w:hAnsi="Arial"/>
          <w:sz w:val="21"/>
          <w:szCs w:val="21"/>
          <w:color w:val="262626"/>
        </w:rPr>
        <w:t>the</w:t>
      </w:r>
      <w:r>
        <w:rPr>
          <w:rFonts w:ascii="Arial" w:cs="Arial" w:eastAsia="Arial" w:hAnsi="Arial"/>
          <w:sz w:val="21"/>
          <w:szCs w:val="21"/>
          <w:color w:val="363636"/>
        </w:rPr>
        <w:t xml:space="preserve"> Executive </w:t>
      </w:r>
      <w:r>
        <w:rPr>
          <w:rFonts w:ascii="Arial" w:cs="Arial" w:eastAsia="Arial" w:hAnsi="Arial"/>
          <w:sz w:val="21"/>
          <w:szCs w:val="21"/>
          <w:color w:val="262626"/>
        </w:rPr>
        <w:t>has</w:t>
      </w:r>
      <w:r>
        <w:rPr>
          <w:rFonts w:ascii="Arial" w:cs="Arial" w:eastAsia="Arial" w:hAnsi="Arial"/>
          <w:sz w:val="21"/>
          <w:szCs w:val="21"/>
          <w:color w:val="363636"/>
        </w:rPr>
        <w:t xml:space="preserve"> a </w:t>
      </w:r>
      <w:r>
        <w:rPr>
          <w:rFonts w:ascii="Arial" w:cs="Arial" w:eastAsia="Arial" w:hAnsi="Arial"/>
          <w:sz w:val="21"/>
          <w:szCs w:val="21"/>
          <w:color w:val="262626"/>
        </w:rPr>
        <w:t>major responsibility</w:t>
      </w:r>
      <w:r>
        <w:rPr>
          <w:rFonts w:ascii="Arial" w:cs="Arial" w:eastAsia="Arial" w:hAnsi="Arial"/>
          <w:sz w:val="21"/>
          <w:szCs w:val="21"/>
          <w:color w:val="363636"/>
        </w:rPr>
        <w:t xml:space="preserve"> for </w:t>
      </w:r>
      <w:r>
        <w:rPr>
          <w:rFonts w:ascii="Arial" w:cs="Arial" w:eastAsia="Arial" w:hAnsi="Arial"/>
          <w:sz w:val="21"/>
          <w:szCs w:val="21"/>
          <w:color w:val="262626"/>
        </w:rPr>
        <w:t>the</w:t>
      </w:r>
      <w:r>
        <w:rPr>
          <w:rFonts w:ascii="Arial" w:cs="Arial" w:eastAsia="Arial" w:hAnsi="Arial"/>
          <w:sz w:val="21"/>
          <w:szCs w:val="21"/>
          <w:color w:val="363636"/>
        </w:rPr>
        <w:t xml:space="preserve"> operation, </w:t>
      </w:r>
      <w:r>
        <w:rPr>
          <w:rFonts w:ascii="Arial" w:cs="Arial" w:eastAsia="Arial" w:hAnsi="Arial"/>
          <w:sz w:val="21"/>
          <w:szCs w:val="21"/>
          <w:color w:val="262626"/>
        </w:rPr>
        <w:t>development</w:t>
      </w:r>
      <w:r>
        <w:rPr>
          <w:rFonts w:ascii="Arial" w:cs="Arial" w:eastAsia="Arial" w:hAnsi="Arial"/>
          <w:sz w:val="21"/>
          <w:szCs w:val="21"/>
          <w:color w:val="363636"/>
        </w:rPr>
        <w:t xml:space="preserve"> and growth of the Company's </w:t>
      </w:r>
      <w:r>
        <w:rPr>
          <w:rFonts w:ascii="Arial" w:cs="Arial" w:eastAsia="Arial" w:hAnsi="Arial"/>
          <w:sz w:val="21"/>
          <w:szCs w:val="21"/>
          <w:color w:val="262626"/>
        </w:rPr>
        <w:t>business</w:t>
      </w:r>
      <w:r>
        <w:rPr>
          <w:rFonts w:ascii="Arial" w:cs="Arial" w:eastAsia="Arial" w:hAnsi="Arial"/>
          <w:sz w:val="21"/>
          <w:szCs w:val="21"/>
          <w:color w:val="494949"/>
        </w:rPr>
        <w:t>,</w:t>
      </w:r>
      <w:r>
        <w:rPr>
          <w:rFonts w:ascii="Arial" w:cs="Arial" w:eastAsia="Arial" w:hAnsi="Arial"/>
          <w:sz w:val="21"/>
          <w:szCs w:val="21"/>
          <w:color w:val="363636"/>
        </w:rPr>
        <w:t xml:space="preserve"> and its </w:t>
      </w:r>
      <w:r>
        <w:rPr>
          <w:rFonts w:ascii="Arial" w:cs="Arial" w:eastAsia="Arial" w:hAnsi="Arial"/>
          <w:sz w:val="21"/>
          <w:szCs w:val="21"/>
          <w:color w:val="494949"/>
        </w:rPr>
        <w:t>s</w:t>
      </w:r>
      <w:r>
        <w:rPr>
          <w:rFonts w:ascii="Arial" w:cs="Arial" w:eastAsia="Arial" w:hAnsi="Arial"/>
          <w:sz w:val="21"/>
          <w:szCs w:val="21"/>
          <w:color w:val="262626"/>
        </w:rPr>
        <w:t>ubsidiaries</w:t>
      </w:r>
      <w:r>
        <w:rPr>
          <w:rFonts w:ascii="Arial" w:cs="Arial" w:eastAsia="Arial" w:hAnsi="Arial"/>
          <w:sz w:val="21"/>
          <w:szCs w:val="21"/>
          <w:color w:val="363636"/>
        </w:rPr>
        <w:t xml:space="preserve"> and affiliates</w:t>
      </w:r>
      <w:r>
        <w:rPr>
          <w:rFonts w:ascii="Arial" w:cs="Arial" w:eastAsia="Arial" w:hAnsi="Arial"/>
          <w:sz w:val="21"/>
          <w:szCs w:val="21"/>
          <w:color w:val="5B5B5B"/>
        </w:rPr>
        <w:t>;</w:t>
      </w:r>
      <w:r>
        <w:rPr>
          <w:rFonts w:ascii="Arial" w:cs="Arial" w:eastAsia="Arial" w:hAnsi="Arial"/>
          <w:sz w:val="21"/>
          <w:szCs w:val="21"/>
          <w:color w:val="363636"/>
        </w:rPr>
        <w:t xml:space="preserve"> (ii) </w:t>
      </w:r>
      <w:r>
        <w:rPr>
          <w:rFonts w:ascii="Arial" w:cs="Arial" w:eastAsia="Arial" w:hAnsi="Arial"/>
          <w:sz w:val="21"/>
          <w:szCs w:val="21"/>
          <w:color w:val="262626"/>
        </w:rPr>
        <w:t>the</w:t>
      </w:r>
      <w:r>
        <w:rPr>
          <w:rFonts w:ascii="Arial" w:cs="Arial" w:eastAsia="Arial" w:hAnsi="Arial"/>
          <w:sz w:val="21"/>
          <w:szCs w:val="21"/>
          <w:color w:val="363636"/>
        </w:rPr>
        <w:t xml:space="preserve"> Executive's work </w:t>
      </w:r>
      <w:r>
        <w:rPr>
          <w:rFonts w:ascii="Arial" w:cs="Arial" w:eastAsia="Arial" w:hAnsi="Arial"/>
          <w:sz w:val="21"/>
          <w:szCs w:val="21"/>
          <w:color w:val="262626"/>
        </w:rPr>
        <w:t>for</w:t>
      </w:r>
      <w:r>
        <w:rPr>
          <w:rFonts w:ascii="Arial" w:cs="Arial" w:eastAsia="Arial" w:hAnsi="Arial"/>
          <w:sz w:val="21"/>
          <w:szCs w:val="21"/>
          <w:color w:val="363636"/>
        </w:rPr>
        <w:t xml:space="preserve"> the Company</w:t>
      </w:r>
      <w:r>
        <w:rPr>
          <w:rFonts w:ascii="Arial" w:cs="Arial" w:eastAsia="Arial" w:hAnsi="Arial"/>
          <w:sz w:val="21"/>
          <w:szCs w:val="21"/>
          <w:color w:val="5B5B5B"/>
        </w:rPr>
        <w:t>,</w:t>
      </w:r>
      <w:r>
        <w:rPr>
          <w:rFonts w:ascii="Arial" w:cs="Arial" w:eastAsia="Arial" w:hAnsi="Arial"/>
          <w:sz w:val="21"/>
          <w:szCs w:val="21"/>
          <w:color w:val="363636"/>
        </w:rPr>
        <w:t xml:space="preserve"> and </w:t>
      </w:r>
      <w:r>
        <w:rPr>
          <w:rFonts w:ascii="Arial" w:cs="Arial" w:eastAsia="Arial" w:hAnsi="Arial"/>
          <w:sz w:val="21"/>
          <w:szCs w:val="21"/>
          <w:color w:val="262626"/>
        </w:rPr>
        <w:t>its</w:t>
      </w:r>
      <w:r>
        <w:rPr>
          <w:rFonts w:ascii="Arial" w:cs="Arial" w:eastAsia="Arial" w:hAnsi="Arial"/>
          <w:sz w:val="21"/>
          <w:szCs w:val="21"/>
          <w:color w:val="363636"/>
        </w:rPr>
        <w:t xml:space="preserve"> subsidiaries</w:t>
      </w:r>
      <w:r>
        <w:rPr>
          <w:rFonts w:ascii="Arial" w:cs="Arial" w:eastAsia="Arial" w:hAnsi="Arial"/>
          <w:sz w:val="21"/>
          <w:szCs w:val="21"/>
          <w:color w:val="5B5B5B"/>
        </w:rPr>
        <w:t>,</w:t>
      </w:r>
      <w:r>
        <w:rPr>
          <w:rFonts w:ascii="Arial" w:cs="Arial" w:eastAsia="Arial" w:hAnsi="Arial"/>
          <w:sz w:val="21"/>
          <w:szCs w:val="21"/>
          <w:color w:val="363636"/>
        </w:rPr>
        <w:t xml:space="preserve"> and affiliates </w:t>
      </w:r>
      <w:r>
        <w:rPr>
          <w:rFonts w:ascii="Arial" w:cs="Arial" w:eastAsia="Arial" w:hAnsi="Arial"/>
          <w:sz w:val="21"/>
          <w:szCs w:val="21"/>
          <w:color w:val="262626"/>
        </w:rPr>
        <w:t>has brought the</w:t>
      </w:r>
      <w:r>
        <w:rPr>
          <w:rFonts w:ascii="Arial" w:cs="Arial" w:eastAsia="Arial" w:hAnsi="Arial"/>
          <w:sz w:val="21"/>
          <w:szCs w:val="21"/>
          <w:color w:val="363636"/>
        </w:rPr>
        <w:t xml:space="preserve"> Executive and will continue to bring the Executive </w:t>
      </w:r>
      <w:r>
        <w:rPr>
          <w:rFonts w:ascii="Arial" w:cs="Arial" w:eastAsia="Arial" w:hAnsi="Arial"/>
          <w:sz w:val="21"/>
          <w:szCs w:val="21"/>
          <w:color w:val="262626"/>
        </w:rPr>
        <w:t>into close</w:t>
      </w:r>
      <w:r>
        <w:rPr>
          <w:rFonts w:ascii="Arial" w:cs="Arial" w:eastAsia="Arial" w:hAnsi="Arial"/>
          <w:sz w:val="21"/>
          <w:szCs w:val="21"/>
          <w:color w:val="363636"/>
        </w:rPr>
        <w:t xml:space="preserve"> contact with "Confidential </w:t>
      </w:r>
      <w:r>
        <w:rPr>
          <w:rFonts w:ascii="Arial" w:cs="Arial" w:eastAsia="Arial" w:hAnsi="Arial"/>
          <w:sz w:val="21"/>
          <w:szCs w:val="21"/>
          <w:color w:val="262626"/>
        </w:rPr>
        <w:t>Information"</w:t>
      </w:r>
      <w:r>
        <w:rPr>
          <w:rFonts w:ascii="Arial" w:cs="Arial" w:eastAsia="Arial" w:hAnsi="Arial"/>
          <w:sz w:val="21"/>
          <w:szCs w:val="21"/>
          <w:color w:val="363636"/>
        </w:rPr>
        <w:t xml:space="preserve"> (as defined </w:t>
      </w:r>
      <w:r>
        <w:rPr>
          <w:rFonts w:ascii="Arial" w:cs="Arial" w:eastAsia="Arial" w:hAnsi="Arial"/>
          <w:sz w:val="21"/>
          <w:szCs w:val="21"/>
          <w:color w:val="262626"/>
        </w:rPr>
        <w:t>below); and (iii)</w:t>
      </w:r>
      <w:r>
        <w:rPr>
          <w:rFonts w:ascii="Arial" w:cs="Arial" w:eastAsia="Arial" w:hAnsi="Arial"/>
          <w:sz w:val="21"/>
          <w:szCs w:val="21"/>
          <w:color w:val="363636"/>
        </w:rPr>
        <w:t xml:space="preserve"> the agreements and covenants contained </w:t>
      </w:r>
      <w:r>
        <w:rPr>
          <w:rFonts w:ascii="Arial" w:cs="Arial" w:eastAsia="Arial" w:hAnsi="Arial"/>
          <w:sz w:val="21"/>
          <w:szCs w:val="21"/>
          <w:color w:val="262626"/>
        </w:rPr>
        <w:t>in this</w:t>
      </w:r>
      <w:r>
        <w:rPr>
          <w:rFonts w:ascii="Arial" w:cs="Arial" w:eastAsia="Arial" w:hAnsi="Arial"/>
          <w:sz w:val="21"/>
          <w:szCs w:val="21"/>
          <w:color w:val="363636"/>
        </w:rPr>
        <w:t xml:space="preserve"> Section </w:t>
      </w:r>
      <w:r>
        <w:rPr>
          <w:rFonts w:ascii="Arial" w:cs="Arial" w:eastAsia="Arial" w:hAnsi="Arial"/>
          <w:sz w:val="21"/>
          <w:szCs w:val="21"/>
          <w:color w:val="262626"/>
        </w:rPr>
        <w:t>4</w:t>
      </w:r>
      <w:r>
        <w:rPr>
          <w:rFonts w:ascii="Arial" w:cs="Arial" w:eastAsia="Arial" w:hAnsi="Arial"/>
          <w:sz w:val="21"/>
          <w:szCs w:val="21"/>
          <w:color w:val="363636"/>
        </w:rPr>
        <w:t xml:space="preserve"> are essential to protect the </w:t>
      </w:r>
      <w:r>
        <w:rPr>
          <w:rFonts w:ascii="Arial" w:cs="Arial" w:eastAsia="Arial" w:hAnsi="Arial"/>
          <w:sz w:val="21"/>
          <w:szCs w:val="21"/>
          <w:color w:val="262626"/>
        </w:rPr>
        <w:t>business interests</w:t>
      </w:r>
      <w:r>
        <w:rPr>
          <w:rFonts w:ascii="Arial" w:cs="Arial" w:eastAsia="Arial" w:hAnsi="Arial"/>
          <w:sz w:val="21"/>
          <w:szCs w:val="21"/>
          <w:color w:val="363636"/>
        </w:rPr>
        <w:t xml:space="preserve"> of </w:t>
      </w:r>
      <w:r>
        <w:rPr>
          <w:rFonts w:ascii="Arial" w:cs="Arial" w:eastAsia="Arial" w:hAnsi="Arial"/>
          <w:sz w:val="21"/>
          <w:szCs w:val="21"/>
          <w:color w:val="262626"/>
        </w:rPr>
        <w:t>the</w:t>
      </w:r>
      <w:r>
        <w:rPr>
          <w:rFonts w:ascii="Arial" w:cs="Arial" w:eastAsia="Arial" w:hAnsi="Arial"/>
          <w:sz w:val="21"/>
          <w:szCs w:val="21"/>
          <w:color w:val="363636"/>
        </w:rPr>
        <w:t xml:space="preserve"> </w:t>
      </w:r>
      <w:r>
        <w:rPr>
          <w:rFonts w:ascii="Arial" w:cs="Arial" w:eastAsia="Arial" w:hAnsi="Arial"/>
          <w:sz w:val="21"/>
          <w:szCs w:val="21"/>
          <w:color w:val="494949"/>
        </w:rPr>
        <w:t>Company,</w:t>
      </w:r>
      <w:r>
        <w:rPr>
          <w:rFonts w:ascii="Arial" w:cs="Arial" w:eastAsia="Arial" w:hAnsi="Arial"/>
          <w:sz w:val="21"/>
          <w:szCs w:val="21"/>
          <w:color w:val="363636"/>
        </w:rPr>
        <w:t xml:space="preserve"> and its subsidiaries and </w:t>
      </w:r>
      <w:r>
        <w:rPr>
          <w:rFonts w:ascii="Arial" w:cs="Arial" w:eastAsia="Arial" w:hAnsi="Arial"/>
          <w:sz w:val="21"/>
          <w:szCs w:val="21"/>
          <w:color w:val="262626"/>
        </w:rPr>
        <w:t>affiliates</w:t>
      </w:r>
      <w:r>
        <w:rPr>
          <w:rFonts w:ascii="Arial" w:cs="Arial" w:eastAsia="Arial" w:hAnsi="Arial"/>
          <w:sz w:val="21"/>
          <w:szCs w:val="21"/>
          <w:color w:val="494949"/>
        </w:rPr>
        <w:t>,</w:t>
      </w:r>
      <w:r>
        <w:rPr>
          <w:rFonts w:ascii="Arial" w:cs="Arial" w:eastAsia="Arial" w:hAnsi="Arial"/>
          <w:sz w:val="21"/>
          <w:szCs w:val="21"/>
          <w:color w:val="363636"/>
        </w:rPr>
        <w:t xml:space="preserve"> and </w:t>
      </w:r>
      <w:r>
        <w:rPr>
          <w:rFonts w:ascii="Arial" w:cs="Arial" w:eastAsia="Arial" w:hAnsi="Arial"/>
          <w:sz w:val="21"/>
          <w:szCs w:val="21"/>
          <w:color w:val="262626"/>
        </w:rPr>
        <w:t>that the</w:t>
      </w:r>
      <w:r>
        <w:rPr>
          <w:rFonts w:ascii="Arial" w:cs="Arial" w:eastAsia="Arial" w:hAnsi="Arial"/>
          <w:sz w:val="21"/>
          <w:szCs w:val="21"/>
          <w:color w:val="363636"/>
        </w:rPr>
        <w:t xml:space="preserve"> Company will </w:t>
      </w:r>
      <w:r>
        <w:rPr>
          <w:rFonts w:ascii="Arial" w:cs="Arial" w:eastAsia="Arial" w:hAnsi="Arial"/>
          <w:sz w:val="21"/>
          <w:szCs w:val="21"/>
          <w:color w:val="262626"/>
        </w:rPr>
        <w:t xml:space="preserve">not </w:t>
      </w:r>
      <w:r>
        <w:rPr>
          <w:rFonts w:ascii="Arial" w:cs="Arial" w:eastAsia="Arial" w:hAnsi="Arial"/>
          <w:sz w:val="21"/>
          <w:szCs w:val="21"/>
          <w:color w:val="363636"/>
        </w:rPr>
        <w:t>enter into</w:t>
      </w:r>
      <w:r>
        <w:rPr>
          <w:rFonts w:ascii="Arial" w:cs="Arial" w:eastAsia="Arial" w:hAnsi="Arial"/>
          <w:sz w:val="21"/>
          <w:szCs w:val="21"/>
          <w:color w:val="262626"/>
        </w:rPr>
        <w:t xml:space="preserve"> this </w:t>
      </w:r>
      <w:r>
        <w:rPr>
          <w:rFonts w:ascii="Arial" w:cs="Arial" w:eastAsia="Arial" w:hAnsi="Arial"/>
          <w:sz w:val="21"/>
          <w:szCs w:val="21"/>
          <w:color w:val="363636"/>
        </w:rPr>
        <w:t>Agreement</w:t>
      </w:r>
      <w:r>
        <w:rPr>
          <w:rFonts w:ascii="Arial" w:cs="Arial" w:eastAsia="Arial" w:hAnsi="Arial"/>
          <w:sz w:val="21"/>
          <w:szCs w:val="21"/>
          <w:color w:val="262626"/>
        </w:rPr>
        <w:t xml:space="preserve"> but </w:t>
      </w:r>
      <w:r>
        <w:rPr>
          <w:rFonts w:ascii="Arial" w:cs="Arial" w:eastAsia="Arial" w:hAnsi="Arial"/>
          <w:sz w:val="21"/>
          <w:szCs w:val="21"/>
          <w:color w:val="363636"/>
        </w:rPr>
        <w:t>for</w:t>
      </w:r>
      <w:r>
        <w:rPr>
          <w:rFonts w:ascii="Arial" w:cs="Arial" w:eastAsia="Arial" w:hAnsi="Arial"/>
          <w:sz w:val="21"/>
          <w:szCs w:val="21"/>
          <w:color w:val="262626"/>
        </w:rPr>
        <w:t xml:space="preserve"> </w:t>
      </w:r>
      <w:r>
        <w:rPr>
          <w:rFonts w:ascii="Arial" w:cs="Arial" w:eastAsia="Arial" w:hAnsi="Arial"/>
          <w:sz w:val="18"/>
          <w:szCs w:val="18"/>
          <w:color w:val="5B5B5B"/>
        </w:rPr>
        <w:t>s</w:t>
      </w:r>
      <w:r>
        <w:rPr>
          <w:rFonts w:ascii="Arial" w:cs="Arial" w:eastAsia="Arial" w:hAnsi="Arial"/>
          <w:sz w:val="18"/>
          <w:szCs w:val="18"/>
          <w:color w:val="262626"/>
        </w:rPr>
        <w:t>uch</w:t>
      </w:r>
      <w:r>
        <w:rPr>
          <w:rFonts w:ascii="Arial" w:cs="Arial" w:eastAsia="Arial" w:hAnsi="Arial"/>
          <w:sz w:val="21"/>
          <w:szCs w:val="21"/>
          <w:color w:val="262626"/>
        </w:rPr>
        <w:t xml:space="preserve"> </w:t>
      </w:r>
      <w:r>
        <w:rPr>
          <w:rFonts w:ascii="Arial" w:cs="Arial" w:eastAsia="Arial" w:hAnsi="Arial"/>
          <w:sz w:val="18"/>
          <w:szCs w:val="18"/>
          <w:color w:val="363636"/>
        </w:rPr>
        <w:t>agreements and covenants. Accordingly</w:t>
      </w:r>
      <w:r>
        <w:rPr>
          <w:rFonts w:ascii="Arial" w:cs="Arial" w:eastAsia="Arial" w:hAnsi="Arial"/>
          <w:sz w:val="18"/>
          <w:szCs w:val="18"/>
          <w:color w:val="5B5B5B"/>
        </w:rPr>
        <w:t>,</w:t>
      </w:r>
      <w:r>
        <w:rPr>
          <w:rFonts w:ascii="Arial" w:cs="Arial" w:eastAsia="Arial" w:hAnsi="Arial"/>
          <w:sz w:val="21"/>
          <w:szCs w:val="21"/>
          <w:color w:val="262626"/>
        </w:rPr>
        <w:t xml:space="preserve"> </w:t>
      </w:r>
      <w:r>
        <w:rPr>
          <w:rFonts w:ascii="Arial" w:cs="Arial" w:eastAsia="Arial" w:hAnsi="Arial"/>
          <w:sz w:val="18"/>
          <w:szCs w:val="18"/>
          <w:color w:val="363636"/>
        </w:rPr>
        <w:t>the Executive covenants and agrees to the</w:t>
      </w:r>
      <w:r>
        <w:rPr>
          <w:rFonts w:ascii="Arial" w:cs="Arial" w:eastAsia="Arial" w:hAnsi="Arial"/>
          <w:sz w:val="21"/>
          <w:szCs w:val="21"/>
          <w:color w:val="262626"/>
        </w:rPr>
        <w:t xml:space="preserve"> </w:t>
      </w:r>
      <w:r>
        <w:rPr>
          <w:rFonts w:ascii="Arial" w:cs="Arial" w:eastAsia="Arial" w:hAnsi="Arial"/>
          <w:sz w:val="21"/>
          <w:szCs w:val="21"/>
          <w:color w:val="363636"/>
        </w:rPr>
        <w:t>following:</w:t>
      </w:r>
    </w:p>
    <w:p>
      <w:pPr>
        <w:spacing w:after="0" w:line="137" w:lineRule="exact"/>
        <w:rPr>
          <w:sz w:val="20"/>
          <w:szCs w:val="20"/>
          <w:color w:val="auto"/>
        </w:rPr>
      </w:pPr>
    </w:p>
    <w:p>
      <w:pPr>
        <w:ind w:left="20" w:right="160" w:firstLine="543"/>
        <w:spacing w:after="0" w:line="249" w:lineRule="auto"/>
        <w:rPr>
          <w:sz w:val="20"/>
          <w:szCs w:val="20"/>
          <w:color w:val="auto"/>
        </w:rPr>
      </w:pPr>
      <w:r>
        <w:rPr>
          <w:rFonts w:ascii="Arial" w:cs="Arial" w:eastAsia="Arial" w:hAnsi="Arial"/>
          <w:sz w:val="21"/>
          <w:szCs w:val="21"/>
          <w:color w:val="262626"/>
        </w:rPr>
        <w:t xml:space="preserve">4.l </w:t>
      </w:r>
      <w:r>
        <w:rPr>
          <w:rFonts w:ascii="Arial" w:cs="Arial" w:eastAsia="Arial" w:hAnsi="Arial"/>
          <w:sz w:val="21"/>
          <w:szCs w:val="21"/>
          <w:u w:val="single" w:color="auto"/>
          <w:color w:val="363636"/>
        </w:rPr>
        <w:t>Confidential Information.</w:t>
      </w:r>
      <w:r>
        <w:rPr>
          <w:rFonts w:ascii="Arial" w:cs="Arial" w:eastAsia="Arial" w:hAnsi="Arial"/>
          <w:sz w:val="21"/>
          <w:szCs w:val="21"/>
          <w:color w:val="262626"/>
        </w:rPr>
        <w:t xml:space="preserve"> </w:t>
      </w:r>
      <w:r>
        <w:rPr>
          <w:rFonts w:ascii="Arial" w:cs="Arial" w:eastAsia="Arial" w:hAnsi="Arial"/>
          <w:sz w:val="21"/>
          <w:szCs w:val="21"/>
          <w:color w:val="363636"/>
        </w:rPr>
        <w:t>Both</w:t>
      </w:r>
      <w:r>
        <w:rPr>
          <w:rFonts w:ascii="Arial" w:cs="Arial" w:eastAsia="Arial" w:hAnsi="Arial"/>
          <w:sz w:val="21"/>
          <w:szCs w:val="21"/>
          <w:color w:val="262626"/>
        </w:rPr>
        <w:t xml:space="preserve"> during the </w:t>
      </w:r>
      <w:r>
        <w:rPr>
          <w:rFonts w:ascii="Arial" w:cs="Arial" w:eastAsia="Arial" w:hAnsi="Arial"/>
          <w:sz w:val="21"/>
          <w:szCs w:val="21"/>
          <w:color w:val="363636"/>
        </w:rPr>
        <w:t>term of</w:t>
      </w:r>
      <w:r>
        <w:rPr>
          <w:rFonts w:ascii="Arial" w:cs="Arial" w:eastAsia="Arial" w:hAnsi="Arial"/>
          <w:sz w:val="21"/>
          <w:szCs w:val="21"/>
          <w:color w:val="262626"/>
        </w:rPr>
        <w:t xml:space="preserve"> the </w:t>
      </w:r>
      <w:r>
        <w:rPr>
          <w:rFonts w:ascii="Arial" w:cs="Arial" w:eastAsia="Arial" w:hAnsi="Arial"/>
          <w:sz w:val="21"/>
          <w:szCs w:val="21"/>
          <w:color w:val="363636"/>
        </w:rPr>
        <w:t>Executive</w:t>
      </w:r>
      <w:r>
        <w:rPr>
          <w:rFonts w:ascii="Arial" w:cs="Arial" w:eastAsia="Arial" w:hAnsi="Arial"/>
          <w:sz w:val="21"/>
          <w:szCs w:val="21"/>
          <w:color w:val="5B5B5B"/>
        </w:rPr>
        <w:t>'</w:t>
      </w:r>
      <w:r>
        <w:rPr>
          <w:rFonts w:ascii="Arial" w:cs="Arial" w:eastAsia="Arial" w:hAnsi="Arial"/>
          <w:sz w:val="21"/>
          <w:szCs w:val="21"/>
          <w:color w:val="363636"/>
        </w:rPr>
        <w:t>s</w:t>
      </w:r>
      <w:r>
        <w:rPr>
          <w:rFonts w:ascii="Arial" w:cs="Arial" w:eastAsia="Arial" w:hAnsi="Arial"/>
          <w:sz w:val="21"/>
          <w:szCs w:val="21"/>
          <w:color w:val="262626"/>
        </w:rPr>
        <w:t xml:space="preserve"> </w:t>
      </w:r>
      <w:r>
        <w:rPr>
          <w:rFonts w:ascii="Arial" w:cs="Arial" w:eastAsia="Arial" w:hAnsi="Arial"/>
          <w:sz w:val="21"/>
          <w:szCs w:val="21"/>
          <w:color w:val="494949"/>
        </w:rPr>
        <w:t>e</w:t>
      </w:r>
      <w:r>
        <w:rPr>
          <w:rFonts w:ascii="Arial" w:cs="Arial" w:eastAsia="Arial" w:hAnsi="Arial"/>
          <w:sz w:val="21"/>
          <w:szCs w:val="21"/>
          <w:color w:val="262626"/>
        </w:rPr>
        <w:t>mploym</w:t>
      </w:r>
      <w:r>
        <w:rPr>
          <w:rFonts w:ascii="Arial" w:cs="Arial" w:eastAsia="Arial" w:hAnsi="Arial"/>
          <w:sz w:val="21"/>
          <w:szCs w:val="21"/>
          <w:color w:val="494949"/>
        </w:rPr>
        <w:t>en</w:t>
      </w:r>
      <w:r>
        <w:rPr>
          <w:rFonts w:ascii="Arial" w:cs="Arial" w:eastAsia="Arial" w:hAnsi="Arial"/>
          <w:sz w:val="21"/>
          <w:szCs w:val="21"/>
          <w:color w:val="262626"/>
        </w:rPr>
        <w:t xml:space="preserve">t under this </w:t>
      </w:r>
      <w:r>
        <w:rPr>
          <w:rFonts w:ascii="Arial" w:cs="Arial" w:eastAsia="Arial" w:hAnsi="Arial"/>
          <w:sz w:val="21"/>
          <w:szCs w:val="21"/>
          <w:color w:val="363636"/>
        </w:rPr>
        <w:t>Agreement</w:t>
      </w:r>
      <w:r>
        <w:rPr>
          <w:rFonts w:ascii="Arial" w:cs="Arial" w:eastAsia="Arial" w:hAnsi="Arial"/>
          <w:sz w:val="21"/>
          <w:szCs w:val="21"/>
          <w:color w:val="262626"/>
        </w:rPr>
        <w:t xml:space="preserve"> </w:t>
      </w:r>
      <w:r>
        <w:rPr>
          <w:rFonts w:ascii="Arial" w:cs="Arial" w:eastAsia="Arial" w:hAnsi="Arial"/>
          <w:sz w:val="21"/>
          <w:szCs w:val="21"/>
          <w:color w:val="363636"/>
        </w:rPr>
        <w:t xml:space="preserve">and </w:t>
      </w:r>
      <w:r>
        <w:rPr>
          <w:rFonts w:ascii="Arial" w:cs="Arial" w:eastAsia="Arial" w:hAnsi="Arial"/>
          <w:sz w:val="21"/>
          <w:szCs w:val="21"/>
          <w:color w:val="262626"/>
        </w:rPr>
        <w:t>indefinitely after the</w:t>
      </w:r>
      <w:r>
        <w:rPr>
          <w:rFonts w:ascii="Arial" w:cs="Arial" w:eastAsia="Arial" w:hAnsi="Arial"/>
          <w:sz w:val="21"/>
          <w:szCs w:val="21"/>
          <w:color w:val="363636"/>
        </w:rPr>
        <w:t xml:space="preserve"> Executive is </w:t>
      </w:r>
      <w:r>
        <w:rPr>
          <w:rFonts w:ascii="Arial" w:cs="Arial" w:eastAsia="Arial" w:hAnsi="Arial"/>
          <w:sz w:val="21"/>
          <w:szCs w:val="21"/>
          <w:color w:val="262626"/>
        </w:rPr>
        <w:t>no longer</w:t>
      </w:r>
      <w:r>
        <w:rPr>
          <w:rFonts w:ascii="Arial" w:cs="Arial" w:eastAsia="Arial" w:hAnsi="Arial"/>
          <w:sz w:val="21"/>
          <w:szCs w:val="21"/>
          <w:color w:val="363636"/>
        </w:rPr>
        <w:t xml:space="preserve"> employed as Chief Financial </w:t>
      </w:r>
      <w:r>
        <w:rPr>
          <w:rFonts w:ascii="Arial" w:cs="Arial" w:eastAsia="Arial" w:hAnsi="Arial"/>
          <w:sz w:val="21"/>
          <w:szCs w:val="21"/>
          <w:color w:val="262626"/>
        </w:rPr>
        <w:t>Officer</w:t>
      </w:r>
      <w:r>
        <w:rPr>
          <w:rFonts w:ascii="Arial" w:cs="Arial" w:eastAsia="Arial" w:hAnsi="Arial"/>
          <w:sz w:val="21"/>
          <w:szCs w:val="21"/>
          <w:color w:val="363636"/>
        </w:rPr>
        <w:t xml:space="preserve"> of </w:t>
      </w:r>
      <w:r>
        <w:rPr>
          <w:rFonts w:ascii="Arial" w:cs="Arial" w:eastAsia="Arial" w:hAnsi="Arial"/>
          <w:sz w:val="21"/>
          <w:szCs w:val="21"/>
          <w:color w:val="262626"/>
        </w:rPr>
        <w:t>the</w:t>
      </w:r>
      <w:r>
        <w:rPr>
          <w:rFonts w:ascii="Arial" w:cs="Arial" w:eastAsia="Arial" w:hAnsi="Arial"/>
          <w:sz w:val="21"/>
          <w:szCs w:val="21"/>
          <w:color w:val="363636"/>
        </w:rPr>
        <w:t xml:space="preserve"> Company, </w:t>
      </w:r>
      <w:r>
        <w:rPr>
          <w:rFonts w:ascii="Arial" w:cs="Arial" w:eastAsia="Arial" w:hAnsi="Arial"/>
          <w:sz w:val="21"/>
          <w:szCs w:val="21"/>
          <w:color w:val="262626"/>
        </w:rPr>
        <w:t>the</w:t>
      </w:r>
      <w:r>
        <w:rPr>
          <w:rFonts w:ascii="Arial" w:cs="Arial" w:eastAsia="Arial" w:hAnsi="Arial"/>
          <w:sz w:val="21"/>
          <w:szCs w:val="21"/>
          <w:color w:val="363636"/>
        </w:rPr>
        <w:t xml:space="preserve"> Executive shall </w:t>
      </w:r>
      <w:r>
        <w:rPr>
          <w:rFonts w:ascii="Arial" w:cs="Arial" w:eastAsia="Arial" w:hAnsi="Arial"/>
          <w:sz w:val="21"/>
          <w:szCs w:val="21"/>
          <w:color w:val="262626"/>
        </w:rPr>
        <w:t>not,</w:t>
      </w:r>
      <w:r>
        <w:rPr>
          <w:rFonts w:ascii="Arial" w:cs="Arial" w:eastAsia="Arial" w:hAnsi="Arial"/>
          <w:sz w:val="21"/>
          <w:szCs w:val="21"/>
          <w:color w:val="363636"/>
        </w:rPr>
        <w:t xml:space="preserve"> directly or </w:t>
      </w:r>
      <w:r>
        <w:rPr>
          <w:rFonts w:ascii="Arial" w:cs="Arial" w:eastAsia="Arial" w:hAnsi="Arial"/>
          <w:sz w:val="21"/>
          <w:szCs w:val="21"/>
          <w:color w:val="262626"/>
        </w:rPr>
        <w:t>indirectl</w:t>
      </w:r>
      <w:r>
        <w:rPr>
          <w:rFonts w:ascii="Arial" w:cs="Arial" w:eastAsia="Arial" w:hAnsi="Arial"/>
          <w:sz w:val="21"/>
          <w:szCs w:val="21"/>
          <w:color w:val="494949"/>
        </w:rPr>
        <w:t>y</w:t>
      </w:r>
      <w:r>
        <w:rPr>
          <w:rFonts w:ascii="Arial" w:cs="Arial" w:eastAsia="Arial" w:hAnsi="Arial"/>
          <w:sz w:val="21"/>
          <w:szCs w:val="21"/>
          <w:color w:val="262626"/>
        </w:rPr>
        <w:t>,</w:t>
      </w:r>
      <w:r>
        <w:rPr>
          <w:rFonts w:ascii="Arial" w:cs="Arial" w:eastAsia="Arial" w:hAnsi="Arial"/>
          <w:sz w:val="21"/>
          <w:szCs w:val="21"/>
          <w:color w:val="363636"/>
        </w:rPr>
        <w:t xml:space="preserve"> (i) </w:t>
      </w:r>
      <w:r>
        <w:rPr>
          <w:rFonts w:ascii="Arial" w:cs="Arial" w:eastAsia="Arial" w:hAnsi="Arial"/>
          <w:sz w:val="21"/>
          <w:szCs w:val="21"/>
          <w:color w:val="262626"/>
        </w:rPr>
        <w:t>knowingly</w:t>
      </w:r>
      <w:r>
        <w:rPr>
          <w:rFonts w:ascii="Arial" w:cs="Arial" w:eastAsia="Arial" w:hAnsi="Arial"/>
          <w:sz w:val="21"/>
          <w:szCs w:val="21"/>
          <w:color w:val="363636"/>
        </w:rPr>
        <w:t xml:space="preserve"> use for an </w:t>
      </w:r>
      <w:r>
        <w:rPr>
          <w:rFonts w:ascii="Arial" w:cs="Arial" w:eastAsia="Arial" w:hAnsi="Arial"/>
          <w:sz w:val="21"/>
          <w:szCs w:val="21"/>
          <w:color w:val="262626"/>
        </w:rPr>
        <w:t>improper personal benefit an</w:t>
      </w:r>
      <w:r>
        <w:rPr>
          <w:rFonts w:ascii="Arial" w:cs="Arial" w:eastAsia="Arial" w:hAnsi="Arial"/>
          <w:sz w:val="21"/>
          <w:szCs w:val="21"/>
          <w:color w:val="494949"/>
        </w:rPr>
        <w:t>y "Co</w:t>
      </w:r>
      <w:r>
        <w:rPr>
          <w:rFonts w:ascii="Arial" w:cs="Arial" w:eastAsia="Arial" w:hAnsi="Arial"/>
          <w:sz w:val="21"/>
          <w:szCs w:val="21"/>
          <w:color w:val="262626"/>
        </w:rPr>
        <w:t>nfidential Information" that</w:t>
      </w:r>
      <w:r>
        <w:rPr>
          <w:rFonts w:ascii="Arial" w:cs="Arial" w:eastAsia="Arial" w:hAnsi="Arial"/>
          <w:sz w:val="21"/>
          <w:szCs w:val="21"/>
          <w:color w:val="363636"/>
        </w:rPr>
        <w:t xml:space="preserve"> was </w:t>
      </w:r>
      <w:r>
        <w:rPr>
          <w:rFonts w:ascii="Arial" w:cs="Arial" w:eastAsia="Arial" w:hAnsi="Arial"/>
          <w:sz w:val="21"/>
          <w:szCs w:val="21"/>
          <w:color w:val="494949"/>
        </w:rPr>
        <w:t>ac</w:t>
      </w:r>
      <w:r>
        <w:rPr>
          <w:rFonts w:ascii="Arial" w:cs="Arial" w:eastAsia="Arial" w:hAnsi="Arial"/>
          <w:sz w:val="21"/>
          <w:szCs w:val="21"/>
          <w:color w:val="262626"/>
        </w:rPr>
        <w:t>quired by</w:t>
      </w:r>
      <w:r>
        <w:rPr>
          <w:rFonts w:ascii="Arial" w:cs="Arial" w:eastAsia="Arial" w:hAnsi="Arial"/>
          <w:sz w:val="21"/>
          <w:szCs w:val="21"/>
          <w:color w:val="49494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482600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80"/>
          </w:cols>
          <w:pgMar w:left="660" w:top="653" w:right="1159" w:bottom="1440" w:gutter="0" w:footer="0" w:header="0"/>
        </w:sectPr>
      </w:pPr>
    </w:p>
    <w:bookmarkStart w:id="158" w:name="page159"/>
    <w:bookmarkEnd w:id="158"/>
    <w:p>
      <w:pPr>
        <w:ind w:right="140" w:firstLine="7"/>
        <w:spacing w:after="0" w:line="255" w:lineRule="auto"/>
        <w:rPr>
          <w:sz w:val="20"/>
          <w:szCs w:val="20"/>
          <w:color w:val="auto"/>
        </w:rPr>
      </w:pPr>
      <w:r>
        <w:rPr>
          <w:rFonts w:ascii="Arial" w:cs="Arial" w:eastAsia="Arial" w:hAnsi="Arial"/>
          <w:sz w:val="19"/>
          <w:szCs w:val="19"/>
          <w:color w:val="262626"/>
        </w:rPr>
        <w:t xml:space="preserve">learned by </w:t>
      </w:r>
      <w:r>
        <w:rPr>
          <w:rFonts w:ascii="Arial" w:cs="Arial" w:eastAsia="Arial" w:hAnsi="Arial"/>
          <w:sz w:val="19"/>
          <w:szCs w:val="19"/>
          <w:color w:val="363636"/>
        </w:rPr>
        <w:t>or disclosed</w:t>
      </w:r>
      <w:r>
        <w:rPr>
          <w:rFonts w:ascii="Arial" w:cs="Arial" w:eastAsia="Arial" w:hAnsi="Arial"/>
          <w:sz w:val="19"/>
          <w:szCs w:val="19"/>
          <w:color w:val="262626"/>
        </w:rPr>
        <w:t xml:space="preserve"> to </w:t>
      </w:r>
      <w:r>
        <w:rPr>
          <w:rFonts w:ascii="Arial" w:cs="Arial" w:eastAsia="Arial" w:hAnsi="Arial"/>
          <w:sz w:val="19"/>
          <w:szCs w:val="19"/>
          <w:color w:val="363636"/>
        </w:rPr>
        <w:t>Executive</w:t>
      </w:r>
      <w:r>
        <w:rPr>
          <w:rFonts w:ascii="Arial" w:cs="Arial" w:eastAsia="Arial" w:hAnsi="Arial"/>
          <w:sz w:val="19"/>
          <w:szCs w:val="19"/>
          <w:color w:val="262626"/>
        </w:rPr>
        <w:t xml:space="preserve"> by reason </w:t>
      </w:r>
      <w:r>
        <w:rPr>
          <w:rFonts w:ascii="Arial" w:cs="Arial" w:eastAsia="Arial" w:hAnsi="Arial"/>
          <w:sz w:val="19"/>
          <w:szCs w:val="19"/>
          <w:color w:val="363636"/>
        </w:rPr>
        <w:t>of</w:t>
      </w:r>
      <w:r>
        <w:rPr>
          <w:rFonts w:ascii="Arial" w:cs="Arial" w:eastAsia="Arial" w:hAnsi="Arial"/>
          <w:sz w:val="19"/>
          <w:szCs w:val="19"/>
          <w:color w:val="262626"/>
        </w:rPr>
        <w:t xml:space="preserve"> the </w:t>
      </w:r>
      <w:r>
        <w:rPr>
          <w:rFonts w:ascii="Arial" w:cs="Arial" w:eastAsia="Arial" w:hAnsi="Arial"/>
          <w:sz w:val="19"/>
          <w:szCs w:val="19"/>
          <w:color w:val="363636"/>
        </w:rPr>
        <w:t>Executive's employment as Chief</w:t>
      </w:r>
      <w:r>
        <w:rPr>
          <w:rFonts w:ascii="Arial" w:cs="Arial" w:eastAsia="Arial" w:hAnsi="Arial"/>
          <w:sz w:val="19"/>
          <w:szCs w:val="19"/>
          <w:color w:val="262626"/>
        </w:rPr>
        <w:t xml:space="preserve"> Financial Officer of the </w:t>
      </w:r>
      <w:r>
        <w:rPr>
          <w:rFonts w:ascii="Arial" w:cs="Arial" w:eastAsia="Arial" w:hAnsi="Arial"/>
          <w:sz w:val="19"/>
          <w:szCs w:val="19"/>
          <w:color w:val="363636"/>
        </w:rPr>
        <w:t>Company</w:t>
      </w:r>
      <w:r>
        <w:rPr>
          <w:rFonts w:ascii="Arial" w:cs="Arial" w:eastAsia="Arial" w:hAnsi="Arial"/>
          <w:sz w:val="19"/>
          <w:szCs w:val="19"/>
          <w:color w:val="262626"/>
        </w:rPr>
        <w:t xml:space="preserve"> </w:t>
      </w:r>
      <w:r>
        <w:rPr>
          <w:rFonts w:ascii="Arial" w:cs="Arial" w:eastAsia="Arial" w:hAnsi="Arial"/>
          <w:sz w:val="19"/>
          <w:szCs w:val="19"/>
          <w:color w:val="363636"/>
        </w:rPr>
        <w:t xml:space="preserve">(before or after </w:t>
      </w:r>
      <w:r>
        <w:rPr>
          <w:rFonts w:ascii="Arial" w:cs="Arial" w:eastAsia="Arial" w:hAnsi="Arial"/>
          <w:sz w:val="19"/>
          <w:szCs w:val="19"/>
          <w:color w:val="262626"/>
        </w:rPr>
        <w:t>the date</w:t>
      </w:r>
      <w:r>
        <w:rPr>
          <w:rFonts w:ascii="Arial" w:cs="Arial" w:eastAsia="Arial" w:hAnsi="Arial"/>
          <w:sz w:val="19"/>
          <w:szCs w:val="19"/>
          <w:color w:val="363636"/>
        </w:rPr>
        <w:t xml:space="preserve"> of this Agreem</w:t>
      </w:r>
      <w:r>
        <w:rPr>
          <w:rFonts w:ascii="Arial" w:cs="Arial" w:eastAsia="Arial" w:hAnsi="Arial"/>
          <w:sz w:val="19"/>
          <w:szCs w:val="19"/>
          <w:color w:val="4F4F4F"/>
        </w:rPr>
        <w:t>e</w:t>
      </w:r>
      <w:r>
        <w:rPr>
          <w:rFonts w:ascii="Arial" w:cs="Arial" w:eastAsia="Arial" w:hAnsi="Arial"/>
          <w:sz w:val="19"/>
          <w:szCs w:val="19"/>
          <w:color w:val="262626"/>
        </w:rPr>
        <w:t>nt)</w:t>
      </w:r>
      <w:r>
        <w:rPr>
          <w:rFonts w:ascii="Arial" w:cs="Arial" w:eastAsia="Arial" w:hAnsi="Arial"/>
          <w:sz w:val="19"/>
          <w:szCs w:val="19"/>
          <w:color w:val="4F4F4F"/>
        </w:rPr>
        <w:t>,</w:t>
      </w:r>
      <w:r>
        <w:rPr>
          <w:rFonts w:ascii="Arial" w:cs="Arial" w:eastAsia="Arial" w:hAnsi="Arial"/>
          <w:sz w:val="19"/>
          <w:szCs w:val="19"/>
          <w:color w:val="363636"/>
        </w:rPr>
        <w:t xml:space="preserve"> or (ii) </w:t>
      </w:r>
      <w:r>
        <w:rPr>
          <w:rFonts w:ascii="Arial" w:cs="Arial" w:eastAsia="Arial" w:hAnsi="Arial"/>
          <w:sz w:val="19"/>
          <w:szCs w:val="19"/>
          <w:color w:val="262626"/>
        </w:rPr>
        <w:t>disclose</w:t>
      </w:r>
      <w:r>
        <w:rPr>
          <w:rFonts w:ascii="Arial" w:cs="Arial" w:eastAsia="Arial" w:hAnsi="Arial"/>
          <w:sz w:val="19"/>
          <w:szCs w:val="19"/>
          <w:color w:val="363636"/>
        </w:rPr>
        <w:t xml:space="preserve">any such Confidential </w:t>
      </w:r>
      <w:r>
        <w:rPr>
          <w:rFonts w:ascii="Arial" w:cs="Arial" w:eastAsia="Arial" w:hAnsi="Arial"/>
          <w:sz w:val="19"/>
          <w:szCs w:val="19"/>
          <w:color w:val="262626"/>
        </w:rPr>
        <w:t>Information to</w:t>
      </w:r>
      <w:r>
        <w:rPr>
          <w:rFonts w:ascii="Arial" w:cs="Arial" w:eastAsia="Arial" w:hAnsi="Arial"/>
          <w:sz w:val="19"/>
          <w:szCs w:val="19"/>
          <w:color w:val="363636"/>
        </w:rPr>
        <w:t xml:space="preserve"> any </w:t>
      </w:r>
      <w:r>
        <w:rPr>
          <w:rFonts w:ascii="Arial" w:cs="Arial" w:eastAsia="Arial" w:hAnsi="Arial"/>
          <w:sz w:val="19"/>
          <w:szCs w:val="19"/>
          <w:color w:val="262626"/>
        </w:rPr>
        <w:t>person</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business</w:t>
      </w:r>
      <w:r>
        <w:rPr>
          <w:rFonts w:ascii="Arial" w:cs="Arial" w:eastAsia="Arial" w:hAnsi="Arial"/>
          <w:sz w:val="19"/>
          <w:szCs w:val="19"/>
          <w:color w:val="363636"/>
        </w:rPr>
        <w:t xml:space="preserve"> or entity, except </w:t>
      </w:r>
      <w:r>
        <w:rPr>
          <w:rFonts w:ascii="Arial" w:cs="Arial" w:eastAsia="Arial" w:hAnsi="Arial"/>
          <w:sz w:val="19"/>
          <w:szCs w:val="19"/>
          <w:color w:val="262626"/>
        </w:rPr>
        <w:t>in</w:t>
      </w:r>
      <w:r>
        <w:rPr>
          <w:rFonts w:ascii="Arial" w:cs="Arial" w:eastAsia="Arial" w:hAnsi="Arial"/>
          <w:sz w:val="19"/>
          <w:szCs w:val="19"/>
          <w:color w:val="363636"/>
        </w:rPr>
        <w:t xml:space="preserve"> </w:t>
      </w:r>
      <w:r>
        <w:rPr>
          <w:rFonts w:ascii="Arial" w:cs="Arial" w:eastAsia="Arial" w:hAnsi="Arial"/>
          <w:sz w:val="19"/>
          <w:szCs w:val="19"/>
          <w:color w:val="262626"/>
        </w:rPr>
        <w:t>the proper</w:t>
      </w:r>
      <w:r>
        <w:rPr>
          <w:rFonts w:ascii="Arial" w:cs="Arial" w:eastAsia="Arial" w:hAnsi="Arial"/>
          <w:sz w:val="19"/>
          <w:szCs w:val="19"/>
          <w:color w:val="363636"/>
        </w:rPr>
        <w:t xml:space="preserve"> course of </w:t>
      </w:r>
      <w:r>
        <w:rPr>
          <w:rFonts w:ascii="Arial" w:cs="Arial" w:eastAsia="Arial" w:hAnsi="Arial"/>
          <w:sz w:val="19"/>
          <w:szCs w:val="19"/>
          <w:color w:val="262626"/>
        </w:rPr>
        <w:t>the</w:t>
      </w:r>
      <w:r>
        <w:rPr>
          <w:rFonts w:ascii="Arial" w:cs="Arial" w:eastAsia="Arial" w:hAnsi="Arial"/>
          <w:sz w:val="19"/>
          <w:szCs w:val="19"/>
          <w:color w:val="363636"/>
        </w:rPr>
        <w:t xml:space="preserve"> Executive</w:t>
      </w:r>
      <w:r>
        <w:rPr>
          <w:rFonts w:ascii="Arial" w:cs="Arial" w:eastAsia="Arial" w:hAnsi="Arial"/>
          <w:sz w:val="19"/>
          <w:szCs w:val="19"/>
          <w:color w:val="4F4F4F"/>
        </w:rPr>
        <w:t>'</w:t>
      </w:r>
      <w:r>
        <w:rPr>
          <w:rFonts w:ascii="Arial" w:cs="Arial" w:eastAsia="Arial" w:hAnsi="Arial"/>
          <w:sz w:val="19"/>
          <w:szCs w:val="19"/>
          <w:color w:val="363636"/>
        </w:rPr>
        <w:t xml:space="preserve"> s </w:t>
      </w:r>
      <w:r>
        <w:rPr>
          <w:rFonts w:ascii="Arial" w:cs="Arial" w:eastAsia="Arial" w:hAnsi="Arial"/>
          <w:sz w:val="19"/>
          <w:szCs w:val="19"/>
          <w:color w:val="262626"/>
        </w:rPr>
        <w:t>duties as</w:t>
      </w:r>
      <w:r>
        <w:rPr>
          <w:rFonts w:ascii="Arial" w:cs="Arial" w:eastAsia="Arial" w:hAnsi="Arial"/>
          <w:sz w:val="19"/>
          <w:szCs w:val="19"/>
          <w:color w:val="363636"/>
        </w:rPr>
        <w:t xml:space="preserve"> Chief Financial </w:t>
      </w:r>
      <w:r>
        <w:rPr>
          <w:rFonts w:ascii="Arial" w:cs="Arial" w:eastAsia="Arial" w:hAnsi="Arial"/>
          <w:sz w:val="19"/>
          <w:szCs w:val="19"/>
          <w:color w:val="262626"/>
        </w:rPr>
        <w:t>Officer</w:t>
      </w:r>
      <w:r>
        <w:rPr>
          <w:rFonts w:ascii="Arial" w:cs="Arial" w:eastAsia="Arial" w:hAnsi="Arial"/>
          <w:sz w:val="19"/>
          <w:szCs w:val="19"/>
          <w:color w:val="4F4F4F"/>
        </w:rPr>
        <w:t>,</w:t>
      </w:r>
      <w:r>
        <w:rPr>
          <w:rFonts w:ascii="Arial" w:cs="Arial" w:eastAsia="Arial" w:hAnsi="Arial"/>
          <w:sz w:val="19"/>
          <w:szCs w:val="19"/>
          <w:color w:val="363636"/>
        </w:rPr>
        <w:t xml:space="preserve"> of the Company</w:t>
      </w:r>
      <w:r>
        <w:rPr>
          <w:rFonts w:ascii="Arial" w:cs="Arial" w:eastAsia="Arial" w:hAnsi="Arial"/>
          <w:sz w:val="19"/>
          <w:szCs w:val="19"/>
          <w:color w:val="4F4F4F"/>
        </w:rPr>
        <w:t>.</w:t>
      </w:r>
      <w:r>
        <w:rPr>
          <w:rFonts w:ascii="Arial" w:cs="Arial" w:eastAsia="Arial" w:hAnsi="Arial"/>
          <w:sz w:val="19"/>
          <w:szCs w:val="19"/>
          <w:color w:val="363636"/>
        </w:rPr>
        <w:t xml:space="preserve"> As </w:t>
      </w:r>
      <w:r>
        <w:rPr>
          <w:rFonts w:ascii="Arial" w:cs="Arial" w:eastAsia="Arial" w:hAnsi="Arial"/>
          <w:sz w:val="19"/>
          <w:szCs w:val="19"/>
          <w:color w:val="262626"/>
        </w:rPr>
        <w:t>used in</w:t>
      </w:r>
      <w:r>
        <w:rPr>
          <w:rFonts w:ascii="Arial" w:cs="Arial" w:eastAsia="Arial" w:hAnsi="Arial"/>
          <w:sz w:val="19"/>
          <w:szCs w:val="19"/>
          <w:color w:val="363636"/>
        </w:rPr>
        <w:t xml:space="preserve"> this Agreement</w:t>
      </w:r>
      <w:r>
        <w:rPr>
          <w:rFonts w:ascii="Arial" w:cs="Arial" w:eastAsia="Arial" w:hAnsi="Arial"/>
          <w:sz w:val="19"/>
          <w:szCs w:val="19"/>
          <w:color w:val="4F4F4F"/>
        </w:rPr>
        <w:t>, "</w:t>
      </w:r>
      <w:r>
        <w:rPr>
          <w:rFonts w:ascii="Arial" w:cs="Arial" w:eastAsia="Arial" w:hAnsi="Arial"/>
          <w:sz w:val="19"/>
          <w:szCs w:val="19"/>
          <w:color w:val="363636"/>
        </w:rPr>
        <w:t>Confidentia</w:t>
      </w:r>
      <w:r>
        <w:rPr>
          <w:rFonts w:ascii="Arial" w:cs="Arial" w:eastAsia="Arial" w:hAnsi="Arial"/>
          <w:sz w:val="19"/>
          <w:szCs w:val="19"/>
          <w:color w:val="0F0F0F"/>
        </w:rPr>
        <w:t>l</w:t>
      </w:r>
      <w:r>
        <w:rPr>
          <w:rFonts w:ascii="Arial" w:cs="Arial" w:eastAsia="Arial" w:hAnsi="Arial"/>
          <w:sz w:val="19"/>
          <w:szCs w:val="19"/>
          <w:color w:val="363636"/>
        </w:rPr>
        <w:t xml:space="preserve"> </w:t>
      </w:r>
      <w:r>
        <w:rPr>
          <w:rFonts w:ascii="Arial" w:cs="Arial" w:eastAsia="Arial" w:hAnsi="Arial"/>
          <w:sz w:val="19"/>
          <w:szCs w:val="19"/>
          <w:color w:val="262626"/>
        </w:rPr>
        <w:t>Information</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means any and all</w:t>
      </w:r>
      <w:r>
        <w:rPr>
          <w:rFonts w:ascii="Arial" w:cs="Arial" w:eastAsia="Arial" w:hAnsi="Arial"/>
          <w:sz w:val="19"/>
          <w:szCs w:val="19"/>
          <w:color w:val="363636"/>
        </w:rPr>
        <w:t xml:space="preserve"> confidential or </w:t>
      </w:r>
      <w:r>
        <w:rPr>
          <w:rFonts w:ascii="Arial" w:cs="Arial" w:eastAsia="Arial" w:hAnsi="Arial"/>
          <w:sz w:val="19"/>
          <w:szCs w:val="19"/>
          <w:color w:val="262626"/>
        </w:rPr>
        <w:t>proprietary</w:t>
      </w:r>
      <w:r>
        <w:rPr>
          <w:rFonts w:ascii="Arial" w:cs="Arial" w:eastAsia="Arial" w:hAnsi="Arial"/>
          <w:sz w:val="19"/>
          <w:szCs w:val="19"/>
          <w:color w:val="363636"/>
        </w:rPr>
        <w:t xml:space="preserve"> information of </w:t>
      </w:r>
      <w:r>
        <w:rPr>
          <w:rFonts w:ascii="Arial" w:cs="Arial" w:eastAsia="Arial" w:hAnsi="Arial"/>
          <w:sz w:val="19"/>
          <w:szCs w:val="19"/>
          <w:color w:val="262626"/>
        </w:rPr>
        <w:t>the</w:t>
      </w:r>
      <w:r>
        <w:rPr>
          <w:rFonts w:ascii="Arial" w:cs="Arial" w:eastAsia="Arial" w:hAnsi="Arial"/>
          <w:sz w:val="19"/>
          <w:szCs w:val="19"/>
          <w:color w:val="363636"/>
        </w:rPr>
        <w:t xml:space="preserve"> Company</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and its</w:t>
      </w:r>
      <w:r>
        <w:rPr>
          <w:rFonts w:ascii="Arial" w:cs="Arial" w:eastAsia="Arial" w:hAnsi="Arial"/>
          <w:sz w:val="19"/>
          <w:szCs w:val="19"/>
          <w:color w:val="363636"/>
        </w:rPr>
        <w:t xml:space="preserve"> subsidiaries and </w:t>
      </w:r>
      <w:r>
        <w:rPr>
          <w:rFonts w:ascii="Arial" w:cs="Arial" w:eastAsia="Arial" w:hAnsi="Arial"/>
          <w:sz w:val="19"/>
          <w:szCs w:val="19"/>
          <w:color w:val="262626"/>
        </w:rPr>
        <w:t>affiliates that is not</w:t>
      </w:r>
      <w:r>
        <w:rPr>
          <w:rFonts w:ascii="Arial" w:cs="Arial" w:eastAsia="Arial" w:hAnsi="Arial"/>
          <w:sz w:val="19"/>
          <w:szCs w:val="19"/>
          <w:color w:val="363636"/>
        </w:rPr>
        <w:t xml:space="preserve"> generally </w:t>
      </w:r>
      <w:r>
        <w:rPr>
          <w:rFonts w:ascii="Arial" w:cs="Arial" w:eastAsia="Arial" w:hAnsi="Arial"/>
          <w:sz w:val="19"/>
          <w:szCs w:val="19"/>
          <w:color w:val="262626"/>
        </w:rPr>
        <w:t>known to the public,</w:t>
      </w:r>
      <w:r>
        <w:rPr>
          <w:rFonts w:ascii="Arial" w:cs="Arial" w:eastAsia="Arial" w:hAnsi="Arial"/>
          <w:sz w:val="19"/>
          <w:szCs w:val="19"/>
          <w:color w:val="363636"/>
        </w:rPr>
        <w:t xml:space="preserve"> including</w:t>
      </w:r>
      <w:r>
        <w:rPr>
          <w:rFonts w:ascii="Arial" w:cs="Arial" w:eastAsia="Arial" w:hAnsi="Arial"/>
          <w:sz w:val="19"/>
          <w:szCs w:val="19"/>
          <w:color w:val="4F4F4F"/>
        </w:rPr>
        <w:t>,</w:t>
      </w:r>
      <w:r>
        <w:rPr>
          <w:rFonts w:ascii="Arial" w:cs="Arial" w:eastAsia="Arial" w:hAnsi="Arial"/>
          <w:sz w:val="19"/>
          <w:szCs w:val="19"/>
          <w:color w:val="363636"/>
        </w:rPr>
        <w:t xml:space="preserve"> without limitation, </w:t>
      </w:r>
      <w:r>
        <w:rPr>
          <w:rFonts w:ascii="Arial" w:cs="Arial" w:eastAsia="Arial" w:hAnsi="Arial"/>
          <w:sz w:val="19"/>
          <w:szCs w:val="19"/>
          <w:color w:val="262626"/>
        </w:rPr>
        <w:t>business, financial,</w:t>
      </w:r>
      <w:r>
        <w:rPr>
          <w:rFonts w:ascii="Arial" w:cs="Arial" w:eastAsia="Arial" w:hAnsi="Arial"/>
          <w:sz w:val="19"/>
          <w:szCs w:val="19"/>
          <w:color w:val="363636"/>
        </w:rPr>
        <w:t xml:space="preserve"> </w:t>
      </w:r>
      <w:r>
        <w:rPr>
          <w:rFonts w:ascii="Arial" w:cs="Arial" w:eastAsia="Arial" w:hAnsi="Arial"/>
          <w:sz w:val="19"/>
          <w:szCs w:val="19"/>
          <w:color w:val="262626"/>
        </w:rPr>
        <w:t>mark</w:t>
      </w:r>
      <w:r>
        <w:rPr>
          <w:rFonts w:ascii="Arial" w:cs="Arial" w:eastAsia="Arial" w:hAnsi="Arial"/>
          <w:sz w:val="19"/>
          <w:szCs w:val="19"/>
          <w:color w:val="4F4F4F"/>
        </w:rPr>
        <w:t>e</w:t>
      </w:r>
      <w:r>
        <w:rPr>
          <w:rFonts w:ascii="Arial" w:cs="Arial" w:eastAsia="Arial" w:hAnsi="Arial"/>
          <w:sz w:val="19"/>
          <w:szCs w:val="19"/>
          <w:color w:val="363636"/>
        </w:rPr>
        <w:t>ting,</w:t>
      </w:r>
      <w:r>
        <w:rPr>
          <w:rFonts w:ascii="Arial" w:cs="Arial" w:eastAsia="Arial" w:hAnsi="Arial"/>
          <w:sz w:val="19"/>
          <w:szCs w:val="19"/>
          <w:color w:val="262626"/>
        </w:rPr>
        <w:t xml:space="preserve"> technical</w:t>
      </w:r>
      <w:r>
        <w:rPr>
          <w:rFonts w:ascii="Arial" w:cs="Arial" w:eastAsia="Arial" w:hAnsi="Arial"/>
          <w:sz w:val="19"/>
          <w:szCs w:val="19"/>
          <w:color w:val="4F4F4F"/>
        </w:rPr>
        <w:t>,</w:t>
      </w:r>
      <w:r>
        <w:rPr>
          <w:rFonts w:ascii="Arial" w:cs="Arial" w:eastAsia="Arial" w:hAnsi="Arial"/>
          <w:sz w:val="19"/>
          <w:szCs w:val="19"/>
          <w:color w:val="262626"/>
        </w:rPr>
        <w:t xml:space="preserve"> developmental</w:t>
      </w:r>
      <w:r>
        <w:rPr>
          <w:rFonts w:ascii="Arial" w:cs="Arial" w:eastAsia="Arial" w:hAnsi="Arial"/>
          <w:sz w:val="19"/>
          <w:szCs w:val="19"/>
          <w:color w:val="4F4F4F"/>
        </w:rPr>
        <w:t>,</w:t>
      </w:r>
      <w:r>
        <w:rPr>
          <w:rFonts w:ascii="Arial" w:cs="Arial" w:eastAsia="Arial" w:hAnsi="Arial"/>
          <w:sz w:val="19"/>
          <w:szCs w:val="19"/>
          <w:color w:val="262626"/>
        </w:rPr>
        <w:t xml:space="preserve"> operating, performance, know-how</w:t>
      </w:r>
      <w:r>
        <w:rPr>
          <w:rFonts w:ascii="Arial" w:cs="Arial" w:eastAsia="Arial" w:hAnsi="Arial"/>
          <w:sz w:val="19"/>
          <w:szCs w:val="19"/>
          <w:color w:val="4F4F4F"/>
        </w:rPr>
        <w:t>,</w:t>
      </w:r>
      <w:r>
        <w:rPr>
          <w:rFonts w:ascii="Arial" w:cs="Arial" w:eastAsia="Arial" w:hAnsi="Arial"/>
          <w:sz w:val="19"/>
          <w:szCs w:val="19"/>
          <w:color w:val="262626"/>
        </w:rPr>
        <w:t xml:space="preserve"> and </w:t>
      </w:r>
      <w:r>
        <w:rPr>
          <w:rFonts w:ascii="Arial" w:cs="Arial" w:eastAsia="Arial" w:hAnsi="Arial"/>
          <w:sz w:val="19"/>
          <w:szCs w:val="19"/>
          <w:color w:val="363636"/>
        </w:rPr>
        <w:t>process</w:t>
      </w:r>
      <w:r>
        <w:rPr>
          <w:rFonts w:ascii="Arial" w:cs="Arial" w:eastAsia="Arial" w:hAnsi="Arial"/>
          <w:sz w:val="19"/>
          <w:szCs w:val="19"/>
          <w:color w:val="262626"/>
        </w:rPr>
        <w:t xml:space="preserve"> information, drawings </w:t>
      </w:r>
      <w:r>
        <w:rPr>
          <w:rFonts w:ascii="Arial" w:cs="Arial" w:eastAsia="Arial" w:hAnsi="Arial"/>
          <w:sz w:val="19"/>
          <w:szCs w:val="19"/>
          <w:color w:val="363636"/>
        </w:rPr>
        <w:t>and</w:t>
      </w:r>
      <w:r>
        <w:rPr>
          <w:rFonts w:ascii="Arial" w:cs="Arial" w:eastAsia="Arial" w:hAnsi="Arial"/>
          <w:sz w:val="19"/>
          <w:szCs w:val="19"/>
          <w:color w:val="262626"/>
        </w:rPr>
        <w:t xml:space="preserve"> designs, </w:t>
      </w:r>
      <w:r>
        <w:rPr>
          <w:rFonts w:ascii="Arial" w:cs="Arial" w:eastAsia="Arial" w:hAnsi="Arial"/>
          <w:sz w:val="19"/>
          <w:szCs w:val="19"/>
          <w:color w:val="363636"/>
        </w:rPr>
        <w:t xml:space="preserve">customer </w:t>
      </w:r>
      <w:r>
        <w:rPr>
          <w:rFonts w:ascii="Arial" w:cs="Arial" w:eastAsia="Arial" w:hAnsi="Arial"/>
          <w:sz w:val="19"/>
          <w:szCs w:val="19"/>
          <w:color w:val="262626"/>
        </w:rPr>
        <w:t>information</w:t>
      </w:r>
      <w:r>
        <w:rPr>
          <w:rFonts w:ascii="Arial" w:cs="Arial" w:eastAsia="Arial" w:hAnsi="Arial"/>
          <w:sz w:val="19"/>
          <w:szCs w:val="19"/>
          <w:color w:val="363636"/>
        </w:rPr>
        <w:t xml:space="preserve"> (including contact </w:t>
      </w:r>
      <w:r>
        <w:rPr>
          <w:rFonts w:ascii="Arial" w:cs="Arial" w:eastAsia="Arial" w:hAnsi="Arial"/>
          <w:sz w:val="19"/>
          <w:szCs w:val="19"/>
          <w:color w:val="262626"/>
        </w:rPr>
        <w:t>information,</w:t>
      </w:r>
      <w:r>
        <w:rPr>
          <w:rFonts w:ascii="Arial" w:cs="Arial" w:eastAsia="Arial" w:hAnsi="Arial"/>
          <w:sz w:val="19"/>
          <w:szCs w:val="19"/>
          <w:color w:val="363636"/>
        </w:rPr>
        <w:t xml:space="preserve"> pricing </w:t>
      </w:r>
      <w:r>
        <w:rPr>
          <w:rFonts w:ascii="Arial" w:cs="Arial" w:eastAsia="Arial" w:hAnsi="Arial"/>
          <w:sz w:val="19"/>
          <w:szCs w:val="19"/>
          <w:color w:val="262626"/>
        </w:rPr>
        <w:t>and buying trends</w:t>
      </w:r>
      <w:r>
        <w:rPr>
          <w:rFonts w:ascii="Arial" w:cs="Arial" w:eastAsia="Arial" w:hAnsi="Arial"/>
          <w:sz w:val="19"/>
          <w:szCs w:val="19"/>
          <w:color w:val="363636"/>
        </w:rPr>
        <w:t xml:space="preserve"> and </w:t>
      </w:r>
      <w:r>
        <w:rPr>
          <w:rFonts w:ascii="Arial" w:cs="Arial" w:eastAsia="Arial" w:hAnsi="Arial"/>
          <w:sz w:val="19"/>
          <w:szCs w:val="19"/>
          <w:color w:val="262626"/>
        </w:rPr>
        <w:t>needs), employee information</w:t>
      </w:r>
      <w:r>
        <w:rPr>
          <w:rFonts w:ascii="Arial" w:cs="Arial" w:eastAsia="Arial" w:hAnsi="Arial"/>
          <w:sz w:val="19"/>
          <w:szCs w:val="19"/>
          <w:color w:val="363636"/>
        </w:rPr>
        <w:t xml:space="preserve"> (including </w:t>
      </w:r>
      <w:r>
        <w:rPr>
          <w:rFonts w:ascii="Arial" w:cs="Arial" w:eastAsia="Arial" w:hAnsi="Arial"/>
          <w:sz w:val="19"/>
          <w:szCs w:val="19"/>
          <w:color w:val="262626"/>
        </w:rPr>
        <w:t xml:space="preserve">the </w:t>
      </w:r>
      <w:r>
        <w:rPr>
          <w:rFonts w:ascii="Arial" w:cs="Arial" w:eastAsia="Arial" w:hAnsi="Arial"/>
          <w:sz w:val="19"/>
          <w:szCs w:val="19"/>
          <w:color w:val="363636"/>
        </w:rPr>
        <w:t>skills</w:t>
      </w:r>
      <w:r>
        <w:rPr>
          <w:rFonts w:ascii="Arial" w:cs="Arial" w:eastAsia="Arial" w:hAnsi="Arial"/>
          <w:sz w:val="19"/>
          <w:szCs w:val="19"/>
          <w:color w:val="4F4F4F"/>
        </w:rPr>
        <w:t>,</w:t>
      </w:r>
      <w:r>
        <w:rPr>
          <w:rFonts w:ascii="Arial" w:cs="Arial" w:eastAsia="Arial" w:hAnsi="Arial"/>
          <w:sz w:val="19"/>
          <w:szCs w:val="19"/>
          <w:color w:val="262626"/>
        </w:rPr>
        <w:t xml:space="preserve"> abilities </w:t>
      </w:r>
      <w:r>
        <w:rPr>
          <w:rFonts w:ascii="Arial" w:cs="Arial" w:eastAsia="Arial" w:hAnsi="Arial"/>
          <w:sz w:val="19"/>
          <w:szCs w:val="19"/>
          <w:color w:val="363636"/>
        </w:rPr>
        <w:t>and compensation of other</w:t>
      </w:r>
      <w:r>
        <w:rPr>
          <w:rFonts w:ascii="Arial" w:cs="Arial" w:eastAsia="Arial" w:hAnsi="Arial"/>
          <w:sz w:val="19"/>
          <w:szCs w:val="19"/>
          <w:color w:val="262626"/>
        </w:rPr>
        <w:t xml:space="preserve"> employees)</w:t>
      </w:r>
      <w:r>
        <w:rPr>
          <w:rFonts w:ascii="Arial" w:cs="Arial" w:eastAsia="Arial" w:hAnsi="Arial"/>
          <w:sz w:val="19"/>
          <w:szCs w:val="19"/>
          <w:color w:val="4F4F4F"/>
        </w:rPr>
        <w:t>,</w:t>
      </w:r>
      <w:r>
        <w:rPr>
          <w:rFonts w:ascii="Arial" w:cs="Arial" w:eastAsia="Arial" w:hAnsi="Arial"/>
          <w:sz w:val="19"/>
          <w:szCs w:val="19"/>
          <w:color w:val="262626"/>
        </w:rPr>
        <w:t xml:space="preserve"> and </w:t>
      </w:r>
      <w:r>
        <w:rPr>
          <w:rFonts w:ascii="Arial" w:cs="Arial" w:eastAsia="Arial" w:hAnsi="Arial"/>
          <w:sz w:val="19"/>
          <w:szCs w:val="19"/>
          <w:color w:val="363636"/>
        </w:rPr>
        <w:t>other trade secret</w:t>
      </w:r>
      <w:r>
        <w:rPr>
          <w:rFonts w:ascii="Arial" w:cs="Arial" w:eastAsia="Arial" w:hAnsi="Arial"/>
          <w:sz w:val="19"/>
          <w:szCs w:val="19"/>
          <w:color w:val="262626"/>
        </w:rPr>
        <w:t xml:space="preserve"> information</w:t>
      </w:r>
      <w:r>
        <w:rPr>
          <w:rFonts w:ascii="Arial" w:cs="Arial" w:eastAsia="Arial" w:hAnsi="Arial"/>
          <w:sz w:val="19"/>
          <w:szCs w:val="19"/>
          <w:color w:val="4F4F4F"/>
        </w:rPr>
        <w:t>,</w:t>
      </w:r>
      <w:r>
        <w:rPr>
          <w:rFonts w:ascii="Arial" w:cs="Arial" w:eastAsia="Arial" w:hAnsi="Arial"/>
          <w:sz w:val="19"/>
          <w:szCs w:val="19"/>
          <w:color w:val="262626"/>
        </w:rPr>
        <w:t xml:space="preserve"> now existing </w:t>
      </w:r>
      <w:r>
        <w:rPr>
          <w:rFonts w:ascii="Arial" w:cs="Arial" w:eastAsia="Arial" w:hAnsi="Arial"/>
          <w:sz w:val="19"/>
          <w:szCs w:val="19"/>
          <w:color w:val="363636"/>
        </w:rPr>
        <w:t>or hereafter</w:t>
      </w:r>
      <w:r>
        <w:rPr>
          <w:rFonts w:ascii="Arial" w:cs="Arial" w:eastAsia="Arial" w:hAnsi="Arial"/>
          <w:sz w:val="19"/>
          <w:szCs w:val="19"/>
          <w:color w:val="262626"/>
        </w:rPr>
        <w:t xml:space="preserve"> discovered </w:t>
      </w:r>
      <w:r>
        <w:rPr>
          <w:rFonts w:ascii="Arial" w:cs="Arial" w:eastAsia="Arial" w:hAnsi="Arial"/>
          <w:sz w:val="19"/>
          <w:szCs w:val="19"/>
          <w:color w:val="363636"/>
        </w:rPr>
        <w:t>or</w:t>
      </w:r>
      <w:r>
        <w:rPr>
          <w:rFonts w:ascii="Arial" w:cs="Arial" w:eastAsia="Arial" w:hAnsi="Arial"/>
          <w:sz w:val="19"/>
          <w:szCs w:val="19"/>
          <w:color w:val="262626"/>
        </w:rPr>
        <w:t xml:space="preserve"> developed. </w:t>
      </w:r>
      <w:r>
        <w:rPr>
          <w:rFonts w:ascii="Arial" w:cs="Arial" w:eastAsia="Arial" w:hAnsi="Arial"/>
          <w:sz w:val="19"/>
          <w:szCs w:val="19"/>
          <w:color w:val="363636"/>
        </w:rPr>
        <w:t>Confident</w:t>
      </w:r>
      <w:r>
        <w:rPr>
          <w:rFonts w:ascii="Arial" w:cs="Arial" w:eastAsia="Arial" w:hAnsi="Arial"/>
          <w:sz w:val="19"/>
          <w:szCs w:val="19"/>
          <w:color w:val="0F0F0F"/>
        </w:rPr>
        <w:t>i</w:t>
      </w:r>
      <w:r>
        <w:rPr>
          <w:rFonts w:ascii="Arial" w:cs="Arial" w:eastAsia="Arial" w:hAnsi="Arial"/>
          <w:sz w:val="19"/>
          <w:szCs w:val="19"/>
          <w:color w:val="363636"/>
        </w:rPr>
        <w:t>al</w:t>
      </w:r>
      <w:r>
        <w:rPr>
          <w:rFonts w:ascii="Arial" w:cs="Arial" w:eastAsia="Arial" w:hAnsi="Arial"/>
          <w:sz w:val="19"/>
          <w:szCs w:val="19"/>
          <w:color w:val="262626"/>
        </w:rPr>
        <w:t xml:space="preserve"> Information </w:t>
      </w:r>
      <w:r>
        <w:rPr>
          <w:rFonts w:ascii="Arial" w:cs="Arial" w:eastAsia="Arial" w:hAnsi="Arial"/>
          <w:sz w:val="19"/>
          <w:szCs w:val="19"/>
          <w:color w:val="363636"/>
        </w:rPr>
        <w:t>shall</w:t>
      </w:r>
      <w:r>
        <w:rPr>
          <w:rFonts w:ascii="Arial" w:cs="Arial" w:eastAsia="Arial" w:hAnsi="Arial"/>
          <w:sz w:val="19"/>
          <w:szCs w:val="19"/>
          <w:color w:val="262626"/>
        </w:rPr>
        <w:t xml:space="preserve"> include information in </w:t>
      </w:r>
      <w:r>
        <w:rPr>
          <w:rFonts w:ascii="Arial" w:cs="Arial" w:eastAsia="Arial" w:hAnsi="Arial"/>
          <w:sz w:val="19"/>
          <w:szCs w:val="19"/>
          <w:color w:val="363636"/>
        </w:rPr>
        <w:t>any form whatsoe</w:t>
      </w:r>
      <w:r>
        <w:rPr>
          <w:rFonts w:ascii="Arial" w:cs="Arial" w:eastAsia="Arial" w:hAnsi="Arial"/>
          <w:sz w:val="19"/>
          <w:szCs w:val="19"/>
          <w:color w:val="4F4F4F"/>
        </w:rPr>
        <w:t>v</w:t>
      </w:r>
      <w:r>
        <w:rPr>
          <w:rFonts w:ascii="Arial" w:cs="Arial" w:eastAsia="Arial" w:hAnsi="Arial"/>
          <w:sz w:val="19"/>
          <w:szCs w:val="19"/>
          <w:color w:val="363636"/>
        </w:rPr>
        <w:t>er,</w:t>
      </w:r>
      <w:r>
        <w:rPr>
          <w:rFonts w:ascii="Arial" w:cs="Arial" w:eastAsia="Arial" w:hAnsi="Arial"/>
          <w:sz w:val="19"/>
          <w:szCs w:val="19"/>
          <w:color w:val="262626"/>
        </w:rPr>
        <w:t xml:space="preserve"> including, </w:t>
      </w:r>
      <w:r>
        <w:rPr>
          <w:rFonts w:ascii="Arial" w:cs="Arial" w:eastAsia="Arial" w:hAnsi="Arial"/>
          <w:sz w:val="19"/>
          <w:szCs w:val="19"/>
          <w:color w:val="363636"/>
        </w:rPr>
        <w:t>without</w:t>
      </w:r>
      <w:r>
        <w:rPr>
          <w:rFonts w:ascii="Arial" w:cs="Arial" w:eastAsia="Arial" w:hAnsi="Arial"/>
          <w:sz w:val="19"/>
          <w:szCs w:val="19"/>
          <w:color w:val="262626"/>
        </w:rPr>
        <w:t xml:space="preserve"> limitation</w:t>
      </w:r>
      <w:r>
        <w:rPr>
          <w:rFonts w:ascii="Arial" w:cs="Arial" w:eastAsia="Arial" w:hAnsi="Arial"/>
          <w:sz w:val="19"/>
          <w:szCs w:val="19"/>
          <w:color w:val="4F4F4F"/>
        </w:rPr>
        <w:t>,</w:t>
      </w:r>
      <w:r>
        <w:rPr>
          <w:rFonts w:ascii="Arial" w:cs="Arial" w:eastAsia="Arial" w:hAnsi="Arial"/>
          <w:sz w:val="19"/>
          <w:szCs w:val="19"/>
          <w:color w:val="262626"/>
        </w:rPr>
        <w:t xml:space="preserve"> </w:t>
      </w:r>
      <w:r>
        <w:rPr>
          <w:rFonts w:ascii="Arial" w:cs="Arial" w:eastAsia="Arial" w:hAnsi="Arial"/>
          <w:sz w:val="19"/>
          <w:szCs w:val="19"/>
          <w:color w:val="363636"/>
        </w:rPr>
        <w:t>any</w:t>
      </w:r>
      <w:r>
        <w:rPr>
          <w:rFonts w:ascii="Arial" w:cs="Arial" w:eastAsia="Arial" w:hAnsi="Arial"/>
          <w:sz w:val="19"/>
          <w:szCs w:val="19"/>
          <w:color w:val="262626"/>
        </w:rPr>
        <w:t xml:space="preserve"> digital or </w:t>
      </w:r>
      <w:r>
        <w:rPr>
          <w:rFonts w:ascii="Arial" w:cs="Arial" w:eastAsia="Arial" w:hAnsi="Arial"/>
          <w:sz w:val="19"/>
          <w:szCs w:val="19"/>
          <w:color w:val="363636"/>
        </w:rPr>
        <w:t>electronic record-bearing</w:t>
      </w:r>
      <w:r>
        <w:rPr>
          <w:rFonts w:ascii="Arial" w:cs="Arial" w:eastAsia="Arial" w:hAnsi="Arial"/>
          <w:sz w:val="19"/>
          <w:szCs w:val="19"/>
          <w:color w:val="262626"/>
        </w:rPr>
        <w:t xml:space="preserve"> media </w:t>
      </w:r>
      <w:r>
        <w:rPr>
          <w:rFonts w:ascii="Arial" w:cs="Arial" w:eastAsia="Arial" w:hAnsi="Arial"/>
          <w:sz w:val="19"/>
          <w:szCs w:val="19"/>
          <w:color w:val="363636"/>
        </w:rPr>
        <w:t>containing or</w:t>
      </w:r>
    </w:p>
    <w:p>
      <w:pPr>
        <w:spacing w:after="0" w:line="3" w:lineRule="exact"/>
        <w:rPr>
          <w:sz w:val="20"/>
          <w:szCs w:val="20"/>
          <w:color w:val="auto"/>
        </w:rPr>
      </w:pPr>
    </w:p>
    <w:p>
      <w:pPr>
        <w:ind w:right="60" w:firstLine="1"/>
        <w:spacing w:after="0" w:line="266" w:lineRule="auto"/>
        <w:rPr>
          <w:sz w:val="20"/>
          <w:szCs w:val="20"/>
          <w:color w:val="auto"/>
        </w:rPr>
      </w:pPr>
      <w:r>
        <w:rPr>
          <w:rFonts w:ascii="Arial" w:cs="Arial" w:eastAsia="Arial" w:hAnsi="Arial"/>
          <w:sz w:val="18"/>
          <w:szCs w:val="18"/>
          <w:color w:val="262626"/>
        </w:rPr>
        <w:t xml:space="preserve">disclosing </w:t>
      </w:r>
      <w:r>
        <w:rPr>
          <w:rFonts w:ascii="Arial" w:cs="Arial" w:eastAsia="Arial" w:hAnsi="Arial"/>
          <w:sz w:val="18"/>
          <w:szCs w:val="18"/>
          <w:color w:val="363636"/>
        </w:rPr>
        <w:t>such</w:t>
      </w:r>
      <w:r>
        <w:rPr>
          <w:rFonts w:ascii="Arial" w:cs="Arial" w:eastAsia="Arial" w:hAnsi="Arial"/>
          <w:sz w:val="18"/>
          <w:szCs w:val="18"/>
          <w:color w:val="262626"/>
        </w:rPr>
        <w:t xml:space="preserve"> information. The provisions </w:t>
      </w:r>
      <w:r>
        <w:rPr>
          <w:rFonts w:ascii="Arial" w:cs="Arial" w:eastAsia="Arial" w:hAnsi="Arial"/>
          <w:sz w:val="18"/>
          <w:szCs w:val="18"/>
          <w:color w:val="363636"/>
        </w:rPr>
        <w:t>of</w:t>
      </w:r>
      <w:r>
        <w:rPr>
          <w:rFonts w:ascii="Arial" w:cs="Arial" w:eastAsia="Arial" w:hAnsi="Arial"/>
          <w:sz w:val="18"/>
          <w:szCs w:val="18"/>
          <w:color w:val="262626"/>
        </w:rPr>
        <w:t xml:space="preserve"> this Section 4 </w:t>
      </w:r>
      <w:r>
        <w:rPr>
          <w:rFonts w:ascii="Arial" w:cs="Arial" w:eastAsia="Arial" w:hAnsi="Arial"/>
          <w:sz w:val="18"/>
          <w:szCs w:val="18"/>
          <w:color w:val="363636"/>
        </w:rPr>
        <w:t>sha</w:t>
      </w:r>
      <w:r>
        <w:rPr>
          <w:rFonts w:ascii="Arial" w:cs="Arial" w:eastAsia="Arial" w:hAnsi="Arial"/>
          <w:sz w:val="18"/>
          <w:szCs w:val="18"/>
          <w:color w:val="0F0F0F"/>
        </w:rPr>
        <w:t>ll</w:t>
      </w:r>
      <w:r>
        <w:rPr>
          <w:rFonts w:ascii="Arial" w:cs="Arial" w:eastAsia="Arial" w:hAnsi="Arial"/>
          <w:sz w:val="18"/>
          <w:szCs w:val="18"/>
          <w:color w:val="262626"/>
        </w:rPr>
        <w:t xml:space="preserve"> not apply to </w:t>
      </w:r>
      <w:r>
        <w:rPr>
          <w:rFonts w:ascii="Arial" w:cs="Arial" w:eastAsia="Arial" w:hAnsi="Arial"/>
          <w:sz w:val="18"/>
          <w:szCs w:val="18"/>
          <w:color w:val="363636"/>
        </w:rPr>
        <w:t>information that</w:t>
      </w:r>
      <w:r>
        <w:rPr>
          <w:rFonts w:ascii="Arial" w:cs="Arial" w:eastAsia="Arial" w:hAnsi="Arial"/>
          <w:sz w:val="18"/>
          <w:szCs w:val="18"/>
          <w:color w:val="262626"/>
        </w:rPr>
        <w:t xml:space="preserve">has become </w:t>
      </w:r>
      <w:r>
        <w:rPr>
          <w:rFonts w:ascii="Arial" w:cs="Arial" w:eastAsia="Arial" w:hAnsi="Arial"/>
          <w:sz w:val="18"/>
          <w:szCs w:val="18"/>
          <w:color w:val="363636"/>
        </w:rPr>
        <w:t>generally</w:t>
      </w:r>
      <w:r>
        <w:rPr>
          <w:rFonts w:ascii="Arial" w:cs="Arial" w:eastAsia="Arial" w:hAnsi="Arial"/>
          <w:sz w:val="18"/>
          <w:szCs w:val="18"/>
          <w:color w:val="262626"/>
        </w:rPr>
        <w:t xml:space="preserve"> available to the public other than as </w:t>
      </w:r>
      <w:r>
        <w:rPr>
          <w:rFonts w:ascii="Arial" w:cs="Arial" w:eastAsia="Arial" w:hAnsi="Arial"/>
          <w:sz w:val="18"/>
          <w:szCs w:val="18"/>
          <w:color w:val="363636"/>
        </w:rPr>
        <w:t>a</w:t>
      </w:r>
      <w:r>
        <w:rPr>
          <w:rFonts w:ascii="Arial" w:cs="Arial" w:eastAsia="Arial" w:hAnsi="Arial"/>
          <w:sz w:val="18"/>
          <w:szCs w:val="18"/>
          <w:color w:val="262626"/>
        </w:rPr>
        <w:t xml:space="preserve"> result </w:t>
      </w:r>
      <w:r>
        <w:rPr>
          <w:rFonts w:ascii="Arial" w:cs="Arial" w:eastAsia="Arial" w:hAnsi="Arial"/>
          <w:sz w:val="18"/>
          <w:szCs w:val="18"/>
          <w:color w:val="363636"/>
        </w:rPr>
        <w:t>of</w:t>
      </w:r>
      <w:r>
        <w:rPr>
          <w:rFonts w:ascii="Arial" w:cs="Arial" w:eastAsia="Arial" w:hAnsi="Arial"/>
          <w:sz w:val="18"/>
          <w:szCs w:val="18"/>
          <w:color w:val="262626"/>
        </w:rPr>
        <w:t xml:space="preserve"> a disclosure by the </w:t>
      </w:r>
      <w:r>
        <w:rPr>
          <w:rFonts w:ascii="Arial" w:cs="Arial" w:eastAsia="Arial" w:hAnsi="Arial"/>
          <w:sz w:val="18"/>
          <w:szCs w:val="18"/>
          <w:color w:val="363636"/>
        </w:rPr>
        <w:t>Executive</w:t>
      </w:r>
      <w:r>
        <w:rPr>
          <w:rFonts w:ascii="Arial" w:cs="Arial" w:eastAsia="Arial" w:hAnsi="Arial"/>
          <w:sz w:val="18"/>
          <w:szCs w:val="18"/>
          <w:color w:val="0F0F0F"/>
        </w:rPr>
        <w:t>.</w:t>
      </w:r>
      <w:r>
        <w:rPr>
          <w:rFonts w:ascii="Arial" w:cs="Arial" w:eastAsia="Arial" w:hAnsi="Arial"/>
          <w:sz w:val="18"/>
          <w:szCs w:val="18"/>
          <w:color w:val="262626"/>
        </w:rPr>
        <w:t xml:space="preserve"> In the </w:t>
      </w:r>
      <w:r>
        <w:rPr>
          <w:rFonts w:ascii="Arial" w:cs="Arial" w:eastAsia="Arial" w:hAnsi="Arial"/>
          <w:sz w:val="18"/>
          <w:szCs w:val="18"/>
          <w:color w:val="363636"/>
        </w:rPr>
        <w:t>event</w:t>
      </w:r>
      <w:r>
        <w:rPr>
          <w:rFonts w:ascii="Arial" w:cs="Arial" w:eastAsia="Arial" w:hAnsi="Arial"/>
          <w:sz w:val="18"/>
          <w:szCs w:val="18"/>
          <w:color w:val="262626"/>
        </w:rPr>
        <w:t xml:space="preserve"> that </w:t>
      </w:r>
      <w:r>
        <w:rPr>
          <w:rFonts w:ascii="Arial" w:cs="Arial" w:eastAsia="Arial" w:hAnsi="Arial"/>
          <w:sz w:val="18"/>
          <w:szCs w:val="18"/>
          <w:color w:val="363636"/>
        </w:rPr>
        <w:t>the Executive i</w:t>
      </w:r>
      <w:r>
        <w:rPr>
          <w:rFonts w:ascii="Arial" w:cs="Arial" w:eastAsia="Arial" w:hAnsi="Arial"/>
          <w:sz w:val="18"/>
          <w:szCs w:val="18"/>
          <w:color w:val="4F4F4F"/>
        </w:rPr>
        <w:t>s</w:t>
      </w:r>
      <w:r>
        <w:rPr>
          <w:rFonts w:ascii="Arial" w:cs="Arial" w:eastAsia="Arial" w:hAnsi="Arial"/>
          <w:sz w:val="18"/>
          <w:szCs w:val="18"/>
          <w:color w:val="262626"/>
        </w:rPr>
        <w:t xml:space="preserve"> </w:t>
      </w:r>
      <w:r>
        <w:rPr>
          <w:rFonts w:ascii="Arial" w:cs="Arial" w:eastAsia="Arial" w:hAnsi="Arial"/>
          <w:sz w:val="18"/>
          <w:szCs w:val="18"/>
          <w:color w:val="363636"/>
        </w:rPr>
        <w:t>reque</w:t>
      </w:r>
      <w:r>
        <w:rPr>
          <w:rFonts w:ascii="Arial" w:cs="Arial" w:eastAsia="Arial" w:hAnsi="Arial"/>
          <w:sz w:val="18"/>
          <w:szCs w:val="18"/>
          <w:color w:val="4F4F4F"/>
        </w:rPr>
        <w:t>s</w:t>
      </w:r>
      <w:r>
        <w:rPr>
          <w:rFonts w:ascii="Arial" w:cs="Arial" w:eastAsia="Arial" w:hAnsi="Arial"/>
          <w:sz w:val="18"/>
          <w:szCs w:val="18"/>
          <w:color w:val="262626"/>
        </w:rPr>
        <w:t xml:space="preserve">ted </w:t>
      </w:r>
      <w:r>
        <w:rPr>
          <w:rFonts w:ascii="Arial" w:cs="Arial" w:eastAsia="Arial" w:hAnsi="Arial"/>
          <w:sz w:val="18"/>
          <w:szCs w:val="18"/>
          <w:color w:val="363636"/>
        </w:rPr>
        <w:t>or required (by</w:t>
      </w:r>
      <w:r>
        <w:rPr>
          <w:rFonts w:ascii="Arial" w:cs="Arial" w:eastAsia="Arial" w:hAnsi="Arial"/>
          <w:sz w:val="18"/>
          <w:szCs w:val="18"/>
          <w:color w:val="262626"/>
        </w:rPr>
        <w:t xml:space="preserve"> </w:t>
      </w:r>
      <w:r>
        <w:rPr>
          <w:rFonts w:ascii="Arial" w:cs="Arial" w:eastAsia="Arial" w:hAnsi="Arial"/>
          <w:sz w:val="18"/>
          <w:szCs w:val="18"/>
          <w:color w:val="363636"/>
        </w:rPr>
        <w:t>oral que</w:t>
      </w:r>
      <w:r>
        <w:rPr>
          <w:rFonts w:ascii="Arial" w:cs="Arial" w:eastAsia="Arial" w:hAnsi="Arial"/>
          <w:sz w:val="18"/>
          <w:szCs w:val="18"/>
          <w:color w:val="4F4F4F"/>
        </w:rPr>
        <w:t>s</w:t>
      </w:r>
      <w:r>
        <w:rPr>
          <w:rFonts w:ascii="Arial" w:cs="Arial" w:eastAsia="Arial" w:hAnsi="Arial"/>
          <w:sz w:val="18"/>
          <w:szCs w:val="18"/>
          <w:color w:val="262626"/>
        </w:rPr>
        <w:t>tion</w:t>
      </w:r>
      <w:r>
        <w:rPr>
          <w:rFonts w:ascii="Arial" w:cs="Arial" w:eastAsia="Arial" w:hAnsi="Arial"/>
          <w:sz w:val="18"/>
          <w:szCs w:val="18"/>
          <w:color w:val="363636"/>
        </w:rPr>
        <w:t xml:space="preserve"> or request for </w:t>
      </w:r>
      <w:r>
        <w:rPr>
          <w:rFonts w:ascii="Arial" w:cs="Arial" w:eastAsia="Arial" w:hAnsi="Arial"/>
          <w:sz w:val="18"/>
          <w:szCs w:val="18"/>
          <w:color w:val="262626"/>
        </w:rPr>
        <w:t>information or documents in any legal proceeding</w:t>
      </w:r>
      <w:r>
        <w:rPr>
          <w:rFonts w:ascii="Arial" w:cs="Arial" w:eastAsia="Arial" w:hAnsi="Arial"/>
          <w:sz w:val="18"/>
          <w:szCs w:val="18"/>
          <w:color w:val="4F4F4F"/>
        </w:rPr>
        <w:t>,</w:t>
      </w:r>
      <w:r>
        <w:rPr>
          <w:rFonts w:ascii="Arial" w:cs="Arial" w:eastAsia="Arial" w:hAnsi="Arial"/>
          <w:sz w:val="18"/>
          <w:szCs w:val="18"/>
          <w:color w:val="363636"/>
        </w:rPr>
        <w:t xml:space="preserve"> interrogatory</w:t>
      </w:r>
      <w:r>
        <w:rPr>
          <w:rFonts w:ascii="Arial" w:cs="Arial" w:eastAsia="Arial" w:hAnsi="Arial"/>
          <w:sz w:val="18"/>
          <w:szCs w:val="18"/>
          <w:color w:val="4F4F4F"/>
        </w:rPr>
        <w:t>,</w:t>
      </w:r>
      <w:r>
        <w:rPr>
          <w:rFonts w:ascii="Arial" w:cs="Arial" w:eastAsia="Arial" w:hAnsi="Arial"/>
          <w:sz w:val="18"/>
          <w:szCs w:val="18"/>
          <w:color w:val="363636"/>
        </w:rPr>
        <w:t xml:space="preserve"> subpoena, civil </w:t>
      </w:r>
      <w:r>
        <w:rPr>
          <w:rFonts w:ascii="Arial" w:cs="Arial" w:eastAsia="Arial" w:hAnsi="Arial"/>
          <w:sz w:val="18"/>
          <w:szCs w:val="18"/>
          <w:color w:val="262626"/>
        </w:rPr>
        <w:t>investigative</w:t>
      </w:r>
      <w:r>
        <w:rPr>
          <w:rFonts w:ascii="Arial" w:cs="Arial" w:eastAsia="Arial" w:hAnsi="Arial"/>
          <w:sz w:val="18"/>
          <w:szCs w:val="18"/>
          <w:color w:val="363636"/>
        </w:rPr>
        <w:t xml:space="preserve"> </w:t>
      </w:r>
      <w:r>
        <w:rPr>
          <w:rFonts w:ascii="Arial" w:cs="Arial" w:eastAsia="Arial" w:hAnsi="Arial"/>
          <w:sz w:val="18"/>
          <w:szCs w:val="18"/>
          <w:color w:val="262626"/>
        </w:rPr>
        <w:t>demand</w:t>
      </w:r>
      <w:r>
        <w:rPr>
          <w:rFonts w:ascii="Arial" w:cs="Arial" w:eastAsia="Arial" w:hAnsi="Arial"/>
          <w:sz w:val="18"/>
          <w:szCs w:val="18"/>
          <w:color w:val="4F4F4F"/>
        </w:rPr>
        <w:t>,</w:t>
      </w:r>
      <w:r>
        <w:rPr>
          <w:rFonts w:ascii="Arial" w:cs="Arial" w:eastAsia="Arial" w:hAnsi="Arial"/>
          <w:sz w:val="18"/>
          <w:szCs w:val="18"/>
          <w:color w:val="262626"/>
        </w:rPr>
        <w:t xml:space="preserve"> </w:t>
      </w:r>
      <w:r>
        <w:rPr>
          <w:rFonts w:ascii="Arial" w:cs="Arial" w:eastAsia="Arial" w:hAnsi="Arial"/>
          <w:sz w:val="18"/>
          <w:szCs w:val="18"/>
          <w:color w:val="363636"/>
        </w:rPr>
        <w:t>or simi</w:t>
      </w:r>
      <w:r>
        <w:rPr>
          <w:rFonts w:ascii="Arial" w:cs="Arial" w:eastAsia="Arial" w:hAnsi="Arial"/>
          <w:sz w:val="18"/>
          <w:szCs w:val="18"/>
          <w:color w:val="0F0F0F"/>
        </w:rPr>
        <w:t>l</w:t>
      </w:r>
      <w:r>
        <w:rPr>
          <w:rFonts w:ascii="Arial" w:cs="Arial" w:eastAsia="Arial" w:hAnsi="Arial"/>
          <w:sz w:val="18"/>
          <w:szCs w:val="18"/>
          <w:color w:val="363636"/>
        </w:rPr>
        <w:t>ar</w:t>
      </w:r>
      <w:r>
        <w:rPr>
          <w:rFonts w:ascii="Arial" w:cs="Arial" w:eastAsia="Arial" w:hAnsi="Arial"/>
          <w:sz w:val="18"/>
          <w:szCs w:val="18"/>
          <w:color w:val="262626"/>
        </w:rPr>
        <w:t xml:space="preserve"> process) </w:t>
      </w:r>
      <w:r>
        <w:rPr>
          <w:rFonts w:ascii="Arial" w:cs="Arial" w:eastAsia="Arial" w:hAnsi="Arial"/>
          <w:sz w:val="18"/>
          <w:szCs w:val="18"/>
          <w:color w:val="363636"/>
        </w:rPr>
        <w:t>to</w:t>
      </w:r>
      <w:r>
        <w:rPr>
          <w:rFonts w:ascii="Arial" w:cs="Arial" w:eastAsia="Arial" w:hAnsi="Arial"/>
          <w:sz w:val="18"/>
          <w:szCs w:val="18"/>
          <w:color w:val="262626"/>
        </w:rPr>
        <w:t xml:space="preserve"> disclose </w:t>
      </w:r>
      <w:r>
        <w:rPr>
          <w:rFonts w:ascii="Arial" w:cs="Arial" w:eastAsia="Arial" w:hAnsi="Arial"/>
          <w:sz w:val="18"/>
          <w:szCs w:val="18"/>
          <w:color w:val="363636"/>
        </w:rPr>
        <w:t>any Confidential</w:t>
      </w:r>
      <w:r>
        <w:rPr>
          <w:rFonts w:ascii="Arial" w:cs="Arial" w:eastAsia="Arial" w:hAnsi="Arial"/>
          <w:sz w:val="18"/>
          <w:szCs w:val="18"/>
          <w:color w:val="262626"/>
        </w:rPr>
        <w:t xml:space="preserve"> Information, then the </w:t>
      </w:r>
      <w:r>
        <w:rPr>
          <w:rFonts w:ascii="Arial" w:cs="Arial" w:eastAsia="Arial" w:hAnsi="Arial"/>
          <w:sz w:val="18"/>
          <w:szCs w:val="18"/>
          <w:color w:val="363636"/>
        </w:rPr>
        <w:t>Executive will</w:t>
      </w:r>
      <w:r>
        <w:rPr>
          <w:rFonts w:ascii="Arial" w:cs="Arial" w:eastAsia="Arial" w:hAnsi="Arial"/>
          <w:sz w:val="18"/>
          <w:szCs w:val="18"/>
          <w:color w:val="262626"/>
        </w:rPr>
        <w:t xml:space="preserve"> notify the Company </w:t>
      </w:r>
      <w:r>
        <w:rPr>
          <w:rFonts w:ascii="Arial" w:cs="Arial" w:eastAsia="Arial" w:hAnsi="Arial"/>
          <w:sz w:val="18"/>
          <w:szCs w:val="18"/>
          <w:color w:val="363636"/>
        </w:rPr>
        <w:t>within two</w:t>
      </w:r>
    </w:p>
    <w:p>
      <w:pPr>
        <w:ind w:right="40" w:firstLine="7"/>
        <w:spacing w:after="0" w:line="252" w:lineRule="auto"/>
        <w:tabs>
          <w:tab w:leader="none" w:pos="280" w:val="left"/>
        </w:tabs>
        <w:numPr>
          <w:ilvl w:val="0"/>
          <w:numId w:val="179"/>
        </w:numPr>
        <w:rPr>
          <w:rFonts w:ascii="Arial" w:cs="Arial" w:eastAsia="Arial" w:hAnsi="Arial"/>
          <w:sz w:val="19"/>
          <w:szCs w:val="19"/>
          <w:color w:val="363636"/>
        </w:rPr>
      </w:pPr>
      <w:r>
        <w:rPr>
          <w:rFonts w:ascii="Arial" w:cs="Arial" w:eastAsia="Arial" w:hAnsi="Arial"/>
          <w:sz w:val="19"/>
          <w:szCs w:val="19"/>
          <w:color w:val="262626"/>
        </w:rPr>
        <w:t xml:space="preserve">business days </w:t>
      </w:r>
      <w:r>
        <w:rPr>
          <w:rFonts w:ascii="Arial" w:cs="Arial" w:eastAsia="Arial" w:hAnsi="Arial"/>
          <w:sz w:val="19"/>
          <w:szCs w:val="19"/>
          <w:color w:val="363636"/>
        </w:rPr>
        <w:t>of</w:t>
      </w:r>
      <w:r>
        <w:rPr>
          <w:rFonts w:ascii="Arial" w:cs="Arial" w:eastAsia="Arial" w:hAnsi="Arial"/>
          <w:sz w:val="19"/>
          <w:szCs w:val="19"/>
          <w:color w:val="262626"/>
        </w:rPr>
        <w:t xml:space="preserve"> rec</w:t>
      </w:r>
      <w:r>
        <w:rPr>
          <w:rFonts w:ascii="Arial" w:cs="Arial" w:eastAsia="Arial" w:hAnsi="Arial"/>
          <w:sz w:val="19"/>
          <w:szCs w:val="19"/>
          <w:color w:val="4F4F4F"/>
        </w:rPr>
        <w:t>e</w:t>
      </w:r>
      <w:r>
        <w:rPr>
          <w:rFonts w:ascii="Arial" w:cs="Arial" w:eastAsia="Arial" w:hAnsi="Arial"/>
          <w:sz w:val="19"/>
          <w:szCs w:val="19"/>
          <w:color w:val="363636"/>
        </w:rPr>
        <w:t>i</w:t>
      </w:r>
      <w:r>
        <w:rPr>
          <w:rFonts w:ascii="Arial" w:cs="Arial" w:eastAsia="Arial" w:hAnsi="Arial"/>
          <w:sz w:val="19"/>
          <w:szCs w:val="19"/>
          <w:color w:val="4F4F4F"/>
        </w:rPr>
        <w:t>v</w:t>
      </w:r>
      <w:r>
        <w:rPr>
          <w:rFonts w:ascii="Arial" w:cs="Arial" w:eastAsia="Arial" w:hAnsi="Arial"/>
          <w:sz w:val="19"/>
          <w:szCs w:val="19"/>
          <w:color w:val="363636"/>
        </w:rPr>
        <w:t>ing the reque</w:t>
      </w:r>
      <w:r>
        <w:rPr>
          <w:rFonts w:ascii="Arial" w:cs="Arial" w:eastAsia="Arial" w:hAnsi="Arial"/>
          <w:sz w:val="19"/>
          <w:szCs w:val="19"/>
          <w:color w:val="4F4F4F"/>
        </w:rPr>
        <w:t>s</w:t>
      </w:r>
      <w:r>
        <w:rPr>
          <w:rFonts w:ascii="Arial" w:cs="Arial" w:eastAsia="Arial" w:hAnsi="Arial"/>
          <w:sz w:val="19"/>
          <w:szCs w:val="19"/>
          <w:color w:val="262626"/>
        </w:rPr>
        <w:t xml:space="preserve">t </w:t>
      </w:r>
      <w:r>
        <w:rPr>
          <w:rFonts w:ascii="Arial" w:cs="Arial" w:eastAsia="Arial" w:hAnsi="Arial"/>
          <w:sz w:val="19"/>
          <w:szCs w:val="19"/>
          <w:color w:val="363636"/>
        </w:rPr>
        <w:t>or requirement so</w:t>
      </w:r>
      <w:r>
        <w:rPr>
          <w:rFonts w:ascii="Arial" w:cs="Arial" w:eastAsia="Arial" w:hAnsi="Arial"/>
          <w:sz w:val="19"/>
          <w:szCs w:val="19"/>
          <w:color w:val="262626"/>
        </w:rPr>
        <w:t xml:space="preserve"> that the </w:t>
      </w:r>
      <w:r>
        <w:rPr>
          <w:rFonts w:ascii="Arial" w:cs="Arial" w:eastAsia="Arial" w:hAnsi="Arial"/>
          <w:sz w:val="19"/>
          <w:szCs w:val="19"/>
          <w:color w:val="363636"/>
        </w:rPr>
        <w:t>Company</w:t>
      </w:r>
      <w:r>
        <w:rPr>
          <w:rFonts w:ascii="Arial" w:cs="Arial" w:eastAsia="Arial" w:hAnsi="Arial"/>
          <w:sz w:val="19"/>
          <w:szCs w:val="19"/>
          <w:color w:val="262626"/>
        </w:rPr>
        <w:t xml:space="preserve"> may </w:t>
      </w:r>
      <w:r>
        <w:rPr>
          <w:rFonts w:ascii="Arial" w:cs="Arial" w:eastAsia="Arial" w:hAnsi="Arial"/>
          <w:sz w:val="19"/>
          <w:szCs w:val="19"/>
          <w:color w:val="363636"/>
        </w:rPr>
        <w:t>seek an appropriate</w:t>
      </w:r>
      <w:r>
        <w:rPr>
          <w:rFonts w:ascii="Arial" w:cs="Arial" w:eastAsia="Arial" w:hAnsi="Arial"/>
          <w:sz w:val="19"/>
          <w:szCs w:val="19"/>
          <w:color w:val="262626"/>
        </w:rPr>
        <w:t xml:space="preserve"> protective </w:t>
      </w:r>
      <w:r>
        <w:rPr>
          <w:rFonts w:ascii="Arial" w:cs="Arial" w:eastAsia="Arial" w:hAnsi="Arial"/>
          <w:sz w:val="19"/>
          <w:szCs w:val="19"/>
          <w:color w:val="363636"/>
        </w:rPr>
        <w:t>order.</w:t>
      </w:r>
      <w:r>
        <w:rPr>
          <w:rFonts w:ascii="Arial" w:cs="Arial" w:eastAsia="Arial" w:hAnsi="Arial"/>
          <w:sz w:val="19"/>
          <w:szCs w:val="19"/>
          <w:color w:val="262626"/>
        </w:rPr>
        <w:t xml:space="preserve"> If</w:t>
      </w:r>
      <w:r>
        <w:rPr>
          <w:rFonts w:ascii="Arial" w:cs="Arial" w:eastAsia="Arial" w:hAnsi="Arial"/>
          <w:sz w:val="19"/>
          <w:szCs w:val="19"/>
          <w:color w:val="4F4F4F"/>
        </w:rPr>
        <w:t>,</w:t>
      </w:r>
      <w:r>
        <w:rPr>
          <w:rFonts w:ascii="Arial" w:cs="Arial" w:eastAsia="Arial" w:hAnsi="Arial"/>
          <w:sz w:val="19"/>
          <w:szCs w:val="19"/>
          <w:color w:val="262626"/>
        </w:rPr>
        <w:t xml:space="preserve"> in </w:t>
      </w:r>
      <w:r>
        <w:rPr>
          <w:rFonts w:ascii="Arial" w:cs="Arial" w:eastAsia="Arial" w:hAnsi="Arial"/>
          <w:sz w:val="19"/>
          <w:szCs w:val="19"/>
          <w:color w:val="363636"/>
        </w:rPr>
        <w:t xml:space="preserve">the absence of </w:t>
      </w:r>
      <w:r>
        <w:rPr>
          <w:rFonts w:ascii="Arial" w:cs="Arial" w:eastAsia="Arial" w:hAnsi="Arial"/>
          <w:sz w:val="19"/>
          <w:szCs w:val="19"/>
          <w:color w:val="4F4F4F"/>
        </w:rPr>
        <w:t>a</w:t>
      </w:r>
      <w:r>
        <w:rPr>
          <w:rFonts w:ascii="Arial" w:cs="Arial" w:eastAsia="Arial" w:hAnsi="Arial"/>
          <w:sz w:val="19"/>
          <w:szCs w:val="19"/>
          <w:color w:val="363636"/>
        </w:rPr>
        <w:t xml:space="preserve"> </w:t>
      </w:r>
      <w:r>
        <w:rPr>
          <w:rFonts w:ascii="Arial" w:cs="Arial" w:eastAsia="Arial" w:hAnsi="Arial"/>
          <w:sz w:val="19"/>
          <w:szCs w:val="19"/>
          <w:color w:val="262626"/>
        </w:rPr>
        <w:t>protective order</w:t>
      </w:r>
      <w:r>
        <w:rPr>
          <w:rFonts w:ascii="Arial" w:cs="Arial" w:eastAsia="Arial" w:hAnsi="Arial"/>
          <w:sz w:val="19"/>
          <w:szCs w:val="19"/>
          <w:color w:val="363636"/>
        </w:rPr>
        <w:t xml:space="preserve"> or the </w:t>
      </w:r>
      <w:r>
        <w:rPr>
          <w:rFonts w:ascii="Arial" w:cs="Arial" w:eastAsia="Arial" w:hAnsi="Arial"/>
          <w:sz w:val="19"/>
          <w:szCs w:val="19"/>
          <w:color w:val="262626"/>
        </w:rPr>
        <w:t>receipt</w:t>
      </w:r>
      <w:r>
        <w:rPr>
          <w:rFonts w:ascii="Arial" w:cs="Arial" w:eastAsia="Arial" w:hAnsi="Arial"/>
          <w:sz w:val="19"/>
          <w:szCs w:val="19"/>
          <w:color w:val="363636"/>
        </w:rPr>
        <w:t xml:space="preserve"> of a wai</w:t>
      </w:r>
      <w:r>
        <w:rPr>
          <w:rFonts w:ascii="Arial" w:cs="Arial" w:eastAsia="Arial" w:hAnsi="Arial"/>
          <w:sz w:val="19"/>
          <w:szCs w:val="19"/>
          <w:color w:val="4F4F4F"/>
        </w:rPr>
        <w:t>v</w:t>
      </w:r>
      <w:r>
        <w:rPr>
          <w:rFonts w:ascii="Arial" w:cs="Arial" w:eastAsia="Arial" w:hAnsi="Arial"/>
          <w:sz w:val="19"/>
          <w:szCs w:val="19"/>
          <w:color w:val="262626"/>
        </w:rPr>
        <w:t>er</w:t>
      </w:r>
      <w:r>
        <w:rPr>
          <w:rFonts w:ascii="Arial" w:cs="Arial" w:eastAsia="Arial" w:hAnsi="Arial"/>
          <w:sz w:val="19"/>
          <w:szCs w:val="19"/>
          <w:color w:val="363636"/>
        </w:rPr>
        <w:t xml:space="preserve"> hereunder</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the</w:t>
      </w:r>
      <w:r>
        <w:rPr>
          <w:rFonts w:ascii="Arial" w:cs="Arial" w:eastAsia="Arial" w:hAnsi="Arial"/>
          <w:sz w:val="19"/>
          <w:szCs w:val="19"/>
          <w:color w:val="363636"/>
        </w:rPr>
        <w:t xml:space="preserve"> Executive is</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on the</w:t>
      </w:r>
      <w:r>
        <w:rPr>
          <w:rFonts w:ascii="Arial" w:cs="Arial" w:eastAsia="Arial" w:hAnsi="Arial"/>
          <w:sz w:val="19"/>
          <w:szCs w:val="19"/>
          <w:color w:val="363636"/>
        </w:rPr>
        <w:t xml:space="preserve"> ad</w:t>
      </w:r>
      <w:r>
        <w:rPr>
          <w:rFonts w:ascii="Arial" w:cs="Arial" w:eastAsia="Arial" w:hAnsi="Arial"/>
          <w:sz w:val="19"/>
          <w:szCs w:val="19"/>
          <w:color w:val="4F4F4F"/>
        </w:rPr>
        <w:t>v</w:t>
      </w:r>
      <w:r>
        <w:rPr>
          <w:rFonts w:ascii="Arial" w:cs="Arial" w:eastAsia="Arial" w:hAnsi="Arial"/>
          <w:sz w:val="19"/>
          <w:szCs w:val="19"/>
          <w:color w:val="262626"/>
        </w:rPr>
        <w:t>ice</w:t>
      </w:r>
      <w:r>
        <w:rPr>
          <w:rFonts w:ascii="Arial" w:cs="Arial" w:eastAsia="Arial" w:hAnsi="Arial"/>
          <w:sz w:val="19"/>
          <w:szCs w:val="19"/>
          <w:color w:val="363636"/>
        </w:rPr>
        <w:t xml:space="preserve"> of </w:t>
      </w:r>
      <w:r>
        <w:rPr>
          <w:rFonts w:ascii="Arial" w:cs="Arial" w:eastAsia="Arial" w:hAnsi="Arial"/>
          <w:sz w:val="19"/>
          <w:szCs w:val="19"/>
          <w:color w:val="262626"/>
        </w:rPr>
        <w:t>counsel</w:t>
      </w:r>
      <w:r>
        <w:rPr>
          <w:rFonts w:ascii="Arial" w:cs="Arial" w:eastAsia="Arial" w:hAnsi="Arial"/>
          <w:sz w:val="19"/>
          <w:szCs w:val="19"/>
          <w:color w:val="4F4F4F"/>
        </w:rPr>
        <w:t>,</w:t>
      </w:r>
      <w:r>
        <w:rPr>
          <w:rFonts w:ascii="Arial" w:cs="Arial" w:eastAsia="Arial" w:hAnsi="Arial"/>
          <w:sz w:val="19"/>
          <w:szCs w:val="19"/>
          <w:color w:val="363636"/>
        </w:rPr>
        <w:t xml:space="preserve"> compelled to </w:t>
      </w:r>
      <w:r>
        <w:rPr>
          <w:rFonts w:ascii="Arial" w:cs="Arial" w:eastAsia="Arial" w:hAnsi="Arial"/>
          <w:sz w:val="19"/>
          <w:szCs w:val="19"/>
          <w:color w:val="262626"/>
        </w:rPr>
        <w:t xml:space="preserve">disclose </w:t>
      </w:r>
      <w:r>
        <w:rPr>
          <w:rFonts w:ascii="Arial" w:cs="Arial" w:eastAsia="Arial" w:hAnsi="Arial"/>
          <w:sz w:val="19"/>
          <w:szCs w:val="19"/>
          <w:color w:val="363636"/>
        </w:rPr>
        <w:t>an</w:t>
      </w:r>
      <w:r>
        <w:rPr>
          <w:rFonts w:ascii="Arial" w:cs="Arial" w:eastAsia="Arial" w:hAnsi="Arial"/>
          <w:sz w:val="19"/>
          <w:szCs w:val="19"/>
          <w:color w:val="4F4F4F"/>
        </w:rPr>
        <w:t>y</w:t>
      </w:r>
      <w:r>
        <w:rPr>
          <w:rFonts w:ascii="Arial" w:cs="Arial" w:eastAsia="Arial" w:hAnsi="Arial"/>
          <w:sz w:val="19"/>
          <w:szCs w:val="19"/>
          <w:color w:val="262626"/>
        </w:rPr>
        <w:t xml:space="preserve"> </w:t>
      </w:r>
      <w:r>
        <w:rPr>
          <w:rFonts w:ascii="Arial" w:cs="Arial" w:eastAsia="Arial" w:hAnsi="Arial"/>
          <w:sz w:val="19"/>
          <w:szCs w:val="19"/>
          <w:color w:val="363636"/>
        </w:rPr>
        <w:t>Confidential</w:t>
      </w:r>
      <w:r>
        <w:rPr>
          <w:rFonts w:ascii="Arial" w:cs="Arial" w:eastAsia="Arial" w:hAnsi="Arial"/>
          <w:sz w:val="19"/>
          <w:szCs w:val="19"/>
          <w:color w:val="262626"/>
        </w:rPr>
        <w:t xml:space="preserve"> Information </w:t>
      </w:r>
      <w:r>
        <w:rPr>
          <w:rFonts w:ascii="Arial" w:cs="Arial" w:eastAsia="Arial" w:hAnsi="Arial"/>
          <w:sz w:val="19"/>
          <w:szCs w:val="19"/>
          <w:color w:val="363636"/>
        </w:rPr>
        <w:t>to any</w:t>
      </w:r>
      <w:r>
        <w:rPr>
          <w:rFonts w:ascii="Arial" w:cs="Arial" w:eastAsia="Arial" w:hAnsi="Arial"/>
          <w:sz w:val="19"/>
          <w:szCs w:val="19"/>
          <w:color w:val="262626"/>
        </w:rPr>
        <w:t xml:space="preserve"> tribunal </w:t>
      </w:r>
      <w:r>
        <w:rPr>
          <w:rFonts w:ascii="Arial" w:cs="Arial" w:eastAsia="Arial" w:hAnsi="Arial"/>
          <w:sz w:val="19"/>
          <w:szCs w:val="19"/>
          <w:color w:val="363636"/>
        </w:rPr>
        <w:t>or else stand liablefor</w:t>
      </w:r>
      <w:r>
        <w:rPr>
          <w:rFonts w:ascii="Arial" w:cs="Arial" w:eastAsia="Arial" w:hAnsi="Arial"/>
          <w:sz w:val="19"/>
          <w:szCs w:val="19"/>
          <w:color w:val="262626"/>
        </w:rPr>
        <w:t xml:space="preserve"> </w:t>
      </w:r>
      <w:r>
        <w:rPr>
          <w:rFonts w:ascii="Arial" w:cs="Arial" w:eastAsia="Arial" w:hAnsi="Arial"/>
          <w:sz w:val="19"/>
          <w:szCs w:val="19"/>
          <w:color w:val="4F4F4F"/>
        </w:rPr>
        <w:t>c</w:t>
      </w:r>
      <w:r>
        <w:rPr>
          <w:rFonts w:ascii="Arial" w:cs="Arial" w:eastAsia="Arial" w:hAnsi="Arial"/>
          <w:sz w:val="19"/>
          <w:szCs w:val="19"/>
          <w:color w:val="363636"/>
        </w:rPr>
        <w:t>ontempt,</w:t>
      </w:r>
      <w:r>
        <w:rPr>
          <w:rFonts w:ascii="Arial" w:cs="Arial" w:eastAsia="Arial" w:hAnsi="Arial"/>
          <w:sz w:val="19"/>
          <w:szCs w:val="19"/>
          <w:color w:val="262626"/>
        </w:rPr>
        <w:t xml:space="preserve"> the </w:t>
      </w:r>
      <w:r>
        <w:rPr>
          <w:rFonts w:ascii="Arial" w:cs="Arial" w:eastAsia="Arial" w:hAnsi="Arial"/>
          <w:sz w:val="19"/>
          <w:szCs w:val="19"/>
          <w:color w:val="363636"/>
        </w:rPr>
        <w:t>Executive</w:t>
      </w:r>
      <w:r>
        <w:rPr>
          <w:rFonts w:ascii="Arial" w:cs="Arial" w:eastAsia="Arial" w:hAnsi="Arial"/>
          <w:sz w:val="19"/>
          <w:szCs w:val="19"/>
          <w:color w:val="262626"/>
        </w:rPr>
        <w:t xml:space="preserve"> may disclose </w:t>
      </w:r>
      <w:r>
        <w:rPr>
          <w:rFonts w:ascii="Arial" w:cs="Arial" w:eastAsia="Arial" w:hAnsi="Arial"/>
          <w:sz w:val="19"/>
          <w:szCs w:val="19"/>
          <w:color w:val="363636"/>
        </w:rPr>
        <w:t>such</w:t>
      </w:r>
      <w:r>
        <w:rPr>
          <w:rFonts w:ascii="Arial" w:cs="Arial" w:eastAsia="Arial" w:hAnsi="Arial"/>
          <w:sz w:val="19"/>
          <w:szCs w:val="19"/>
          <w:color w:val="262626"/>
        </w:rPr>
        <w:t xml:space="preserve"> </w:t>
      </w:r>
      <w:r>
        <w:rPr>
          <w:rFonts w:ascii="Arial" w:cs="Arial" w:eastAsia="Arial" w:hAnsi="Arial"/>
          <w:sz w:val="19"/>
          <w:szCs w:val="19"/>
          <w:color w:val="363636"/>
        </w:rPr>
        <w:t xml:space="preserve">Confidential Information </w:t>
      </w:r>
      <w:r>
        <w:rPr>
          <w:rFonts w:ascii="Arial" w:cs="Arial" w:eastAsia="Arial" w:hAnsi="Arial"/>
          <w:sz w:val="19"/>
          <w:szCs w:val="19"/>
          <w:color w:val="262626"/>
        </w:rPr>
        <w:t>to the tribunal; provided</w:t>
      </w:r>
      <w:r>
        <w:rPr>
          <w:rFonts w:ascii="Arial" w:cs="Arial" w:eastAsia="Arial" w:hAnsi="Arial"/>
          <w:sz w:val="19"/>
          <w:szCs w:val="19"/>
          <w:color w:val="4F4F4F"/>
        </w:rPr>
        <w:t>,</w:t>
      </w:r>
      <w:r>
        <w:rPr>
          <w:rFonts w:ascii="Arial" w:cs="Arial" w:eastAsia="Arial" w:hAnsi="Arial"/>
          <w:sz w:val="19"/>
          <w:szCs w:val="19"/>
          <w:color w:val="363636"/>
        </w:rPr>
        <w:t xml:space="preserve"> however</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that the</w:t>
      </w:r>
      <w:r>
        <w:rPr>
          <w:rFonts w:ascii="Arial" w:cs="Arial" w:eastAsia="Arial" w:hAnsi="Arial"/>
          <w:sz w:val="19"/>
          <w:szCs w:val="19"/>
          <w:color w:val="363636"/>
        </w:rPr>
        <w:t xml:space="preserve"> Executive shall </w:t>
      </w:r>
      <w:r>
        <w:rPr>
          <w:rFonts w:ascii="Arial" w:cs="Arial" w:eastAsia="Arial" w:hAnsi="Arial"/>
          <w:sz w:val="19"/>
          <w:szCs w:val="19"/>
          <w:color w:val="262626"/>
        </w:rPr>
        <w:t>use the</w:t>
      </w:r>
      <w:r>
        <w:rPr>
          <w:rFonts w:ascii="Arial" w:cs="Arial" w:eastAsia="Arial" w:hAnsi="Arial"/>
          <w:sz w:val="19"/>
          <w:szCs w:val="19"/>
          <w:color w:val="363636"/>
        </w:rPr>
        <w:t xml:space="preserve"> Executive's </w:t>
      </w:r>
      <w:r>
        <w:rPr>
          <w:rFonts w:ascii="Arial" w:cs="Arial" w:eastAsia="Arial" w:hAnsi="Arial"/>
          <w:sz w:val="19"/>
          <w:szCs w:val="19"/>
          <w:color w:val="4F4F4F"/>
        </w:rPr>
        <w:t>r</w:t>
      </w:r>
      <w:r>
        <w:rPr>
          <w:rFonts w:ascii="Arial" w:cs="Arial" w:eastAsia="Arial" w:hAnsi="Arial"/>
          <w:sz w:val="19"/>
          <w:szCs w:val="19"/>
          <w:color w:val="363636"/>
        </w:rPr>
        <w:t xml:space="preserve">easonable </w:t>
      </w:r>
      <w:r>
        <w:rPr>
          <w:rFonts w:ascii="Arial" w:cs="Arial" w:eastAsia="Arial" w:hAnsi="Arial"/>
          <w:sz w:val="19"/>
          <w:szCs w:val="19"/>
          <w:color w:val="262626"/>
        </w:rPr>
        <w:t>best</w:t>
      </w:r>
      <w:r>
        <w:rPr>
          <w:rFonts w:ascii="Arial" w:cs="Arial" w:eastAsia="Arial" w:hAnsi="Arial"/>
          <w:sz w:val="19"/>
          <w:szCs w:val="19"/>
          <w:color w:val="363636"/>
        </w:rPr>
        <w:t xml:space="preserve"> efforts to obtain, at </w:t>
      </w:r>
      <w:r>
        <w:rPr>
          <w:rFonts w:ascii="Arial" w:cs="Arial" w:eastAsia="Arial" w:hAnsi="Arial"/>
          <w:sz w:val="19"/>
          <w:szCs w:val="19"/>
          <w:color w:val="262626"/>
        </w:rPr>
        <w:t>the</w:t>
      </w:r>
      <w:r>
        <w:rPr>
          <w:rFonts w:ascii="Arial" w:cs="Arial" w:eastAsia="Arial" w:hAnsi="Arial"/>
          <w:sz w:val="19"/>
          <w:szCs w:val="19"/>
          <w:color w:val="363636"/>
        </w:rPr>
        <w:t xml:space="preserve"> expense </w:t>
      </w:r>
      <w:r>
        <w:rPr>
          <w:rFonts w:ascii="Arial" w:cs="Arial" w:eastAsia="Arial" w:hAnsi="Arial"/>
          <w:sz w:val="19"/>
          <w:szCs w:val="19"/>
          <w:color w:val="262626"/>
        </w:rPr>
        <w:t>and reasonable</w:t>
      </w:r>
      <w:r>
        <w:rPr>
          <w:rFonts w:ascii="Arial" w:cs="Arial" w:eastAsia="Arial" w:hAnsi="Arial"/>
          <w:sz w:val="19"/>
          <w:szCs w:val="19"/>
          <w:color w:val="363636"/>
        </w:rPr>
        <w:t xml:space="preserve"> request of the Company</w:t>
      </w:r>
      <w:r>
        <w:rPr>
          <w:rFonts w:ascii="Arial" w:cs="Arial" w:eastAsia="Arial" w:hAnsi="Arial"/>
          <w:sz w:val="19"/>
          <w:szCs w:val="19"/>
          <w:color w:val="4F4F4F"/>
        </w:rPr>
        <w:t>,</w:t>
      </w:r>
      <w:r>
        <w:rPr>
          <w:rFonts w:ascii="Arial" w:cs="Arial" w:eastAsia="Arial" w:hAnsi="Arial"/>
          <w:sz w:val="19"/>
          <w:szCs w:val="19"/>
          <w:color w:val="363636"/>
        </w:rPr>
        <w:t xml:space="preserve"> an order or other assurance </w:t>
      </w:r>
      <w:r>
        <w:rPr>
          <w:rFonts w:ascii="Arial" w:cs="Arial" w:eastAsia="Arial" w:hAnsi="Arial"/>
          <w:sz w:val="19"/>
          <w:szCs w:val="19"/>
          <w:color w:val="262626"/>
        </w:rPr>
        <w:t>that</w:t>
      </w:r>
      <w:r>
        <w:rPr>
          <w:rFonts w:ascii="Arial" w:cs="Arial" w:eastAsia="Arial" w:hAnsi="Arial"/>
          <w:sz w:val="19"/>
          <w:szCs w:val="19"/>
          <w:color w:val="363636"/>
        </w:rPr>
        <w:t xml:space="preserve"> confidential treatment will </w:t>
      </w:r>
      <w:r>
        <w:rPr>
          <w:rFonts w:ascii="Arial" w:cs="Arial" w:eastAsia="Arial" w:hAnsi="Arial"/>
          <w:sz w:val="19"/>
          <w:szCs w:val="19"/>
          <w:color w:val="262626"/>
        </w:rPr>
        <w:t>be accorded</w:t>
      </w:r>
      <w:r>
        <w:rPr>
          <w:rFonts w:ascii="Arial" w:cs="Arial" w:eastAsia="Arial" w:hAnsi="Arial"/>
          <w:sz w:val="19"/>
          <w:szCs w:val="19"/>
          <w:color w:val="363636"/>
        </w:rPr>
        <w:t xml:space="preserve"> to such </w:t>
      </w:r>
      <w:r>
        <w:rPr>
          <w:rFonts w:ascii="Arial" w:cs="Arial" w:eastAsia="Arial" w:hAnsi="Arial"/>
          <w:sz w:val="19"/>
          <w:szCs w:val="19"/>
          <w:color w:val="262626"/>
        </w:rPr>
        <w:t>portion</w:t>
      </w:r>
      <w:r>
        <w:rPr>
          <w:rFonts w:ascii="Arial" w:cs="Arial" w:eastAsia="Arial" w:hAnsi="Arial"/>
          <w:sz w:val="19"/>
          <w:szCs w:val="19"/>
          <w:color w:val="363636"/>
        </w:rPr>
        <w:t xml:space="preserve"> of </w:t>
      </w:r>
      <w:r>
        <w:rPr>
          <w:rFonts w:ascii="Arial" w:cs="Arial" w:eastAsia="Arial" w:hAnsi="Arial"/>
          <w:sz w:val="19"/>
          <w:szCs w:val="19"/>
          <w:color w:val="262626"/>
        </w:rPr>
        <w:t>the</w:t>
      </w:r>
      <w:r>
        <w:rPr>
          <w:rFonts w:ascii="Arial" w:cs="Arial" w:eastAsia="Arial" w:hAnsi="Arial"/>
          <w:sz w:val="19"/>
          <w:szCs w:val="19"/>
          <w:color w:val="363636"/>
        </w:rPr>
        <w:t xml:space="preserve"> Confidential </w:t>
      </w:r>
      <w:r>
        <w:rPr>
          <w:rFonts w:ascii="Arial" w:cs="Arial" w:eastAsia="Arial" w:hAnsi="Arial"/>
          <w:sz w:val="19"/>
          <w:szCs w:val="19"/>
          <w:color w:val="262626"/>
        </w:rPr>
        <w:t>Information</w:t>
      </w:r>
    </w:p>
    <w:p>
      <w:pPr>
        <w:ind w:right="20" w:firstLine="9"/>
        <w:spacing w:after="0" w:line="266" w:lineRule="auto"/>
        <w:rPr>
          <w:rFonts w:ascii="Arial" w:cs="Arial" w:eastAsia="Arial" w:hAnsi="Arial"/>
          <w:sz w:val="19"/>
          <w:szCs w:val="19"/>
          <w:color w:val="363636"/>
        </w:rPr>
      </w:pPr>
      <w:r>
        <w:rPr>
          <w:rFonts w:ascii="Arial" w:cs="Arial" w:eastAsia="Arial" w:hAnsi="Arial"/>
          <w:sz w:val="18"/>
          <w:szCs w:val="18"/>
          <w:color w:val="262626"/>
        </w:rPr>
        <w:t xml:space="preserve">required </w:t>
      </w:r>
      <w:r>
        <w:rPr>
          <w:rFonts w:ascii="Arial" w:cs="Arial" w:eastAsia="Arial" w:hAnsi="Arial"/>
          <w:sz w:val="18"/>
          <w:szCs w:val="18"/>
          <w:color w:val="363636"/>
        </w:rPr>
        <w:t>to</w:t>
      </w:r>
      <w:r>
        <w:rPr>
          <w:rFonts w:ascii="Arial" w:cs="Arial" w:eastAsia="Arial" w:hAnsi="Arial"/>
          <w:sz w:val="18"/>
          <w:szCs w:val="18"/>
          <w:color w:val="262626"/>
        </w:rPr>
        <w:t xml:space="preserve"> be disclosed </w:t>
      </w:r>
      <w:r>
        <w:rPr>
          <w:rFonts w:ascii="Arial" w:cs="Arial" w:eastAsia="Arial" w:hAnsi="Arial"/>
          <w:sz w:val="18"/>
          <w:szCs w:val="18"/>
          <w:color w:val="363636"/>
        </w:rPr>
        <w:t>as the Company shall</w:t>
      </w:r>
      <w:r>
        <w:rPr>
          <w:rFonts w:ascii="Arial" w:cs="Arial" w:eastAsia="Arial" w:hAnsi="Arial"/>
          <w:sz w:val="18"/>
          <w:szCs w:val="18"/>
          <w:color w:val="262626"/>
        </w:rPr>
        <w:t xml:space="preserve"> designate. The </w:t>
      </w:r>
      <w:r>
        <w:rPr>
          <w:rFonts w:ascii="Arial" w:cs="Arial" w:eastAsia="Arial" w:hAnsi="Arial"/>
          <w:sz w:val="18"/>
          <w:szCs w:val="18"/>
          <w:color w:val="363636"/>
        </w:rPr>
        <w:t>E</w:t>
      </w:r>
      <w:r>
        <w:rPr>
          <w:rFonts w:ascii="Arial" w:cs="Arial" w:eastAsia="Arial" w:hAnsi="Arial"/>
          <w:sz w:val="18"/>
          <w:szCs w:val="18"/>
          <w:color w:val="4F4F4F"/>
        </w:rPr>
        <w:t>x</w:t>
      </w:r>
      <w:r>
        <w:rPr>
          <w:rFonts w:ascii="Arial" w:cs="Arial" w:eastAsia="Arial" w:hAnsi="Arial"/>
          <w:sz w:val="18"/>
          <w:szCs w:val="18"/>
          <w:color w:val="363636"/>
        </w:rPr>
        <w:t>ecutive acknow</w:t>
      </w:r>
      <w:r>
        <w:rPr>
          <w:rFonts w:ascii="Arial" w:cs="Arial" w:eastAsia="Arial" w:hAnsi="Arial"/>
          <w:sz w:val="18"/>
          <w:szCs w:val="18"/>
          <w:color w:val="0F0F0F"/>
        </w:rPr>
        <w:t>l</w:t>
      </w:r>
      <w:r>
        <w:rPr>
          <w:rFonts w:ascii="Arial" w:cs="Arial" w:eastAsia="Arial" w:hAnsi="Arial"/>
          <w:sz w:val="18"/>
          <w:szCs w:val="18"/>
          <w:color w:val="363636"/>
        </w:rPr>
        <w:t>edge</w:t>
      </w:r>
      <w:r>
        <w:rPr>
          <w:rFonts w:ascii="Arial" w:cs="Arial" w:eastAsia="Arial" w:hAnsi="Arial"/>
          <w:sz w:val="18"/>
          <w:szCs w:val="18"/>
          <w:color w:val="4F4F4F"/>
        </w:rPr>
        <w:t>s</w:t>
      </w:r>
      <w:r>
        <w:rPr>
          <w:rFonts w:ascii="Arial" w:cs="Arial" w:eastAsia="Arial" w:hAnsi="Arial"/>
          <w:sz w:val="18"/>
          <w:szCs w:val="18"/>
          <w:color w:val="262626"/>
        </w:rPr>
        <w:t xml:space="preserve"> tha</w:t>
      </w:r>
      <w:r>
        <w:rPr>
          <w:rFonts w:ascii="Arial" w:cs="Arial" w:eastAsia="Arial" w:hAnsi="Arial"/>
          <w:sz w:val="18"/>
          <w:szCs w:val="18"/>
          <w:color w:val="4F4F4F"/>
        </w:rPr>
        <w:t>t</w:t>
      </w:r>
      <w:r>
        <w:rPr>
          <w:rFonts w:ascii="Arial" w:cs="Arial" w:eastAsia="Arial" w:hAnsi="Arial"/>
          <w:sz w:val="18"/>
          <w:szCs w:val="18"/>
          <w:color w:val="262626"/>
        </w:rPr>
        <w:t xml:space="preserve"> </w:t>
      </w:r>
      <w:r>
        <w:rPr>
          <w:rFonts w:ascii="Arial" w:cs="Arial" w:eastAsia="Arial" w:hAnsi="Arial"/>
          <w:sz w:val="18"/>
          <w:szCs w:val="18"/>
          <w:color w:val="363636"/>
        </w:rPr>
        <w:t>all Confidential</w:t>
      </w:r>
      <w:r>
        <w:rPr>
          <w:rFonts w:ascii="Arial" w:cs="Arial" w:eastAsia="Arial" w:hAnsi="Arial"/>
          <w:sz w:val="18"/>
          <w:szCs w:val="18"/>
          <w:color w:val="262626"/>
        </w:rPr>
        <w:t xml:space="preserve"> Information is </w:t>
      </w:r>
      <w:r>
        <w:rPr>
          <w:rFonts w:ascii="Arial" w:cs="Arial" w:eastAsia="Arial" w:hAnsi="Arial"/>
          <w:sz w:val="18"/>
          <w:szCs w:val="18"/>
          <w:color w:val="363636"/>
        </w:rPr>
        <w:t>the</w:t>
      </w:r>
      <w:r>
        <w:rPr>
          <w:rFonts w:ascii="Arial" w:cs="Arial" w:eastAsia="Arial" w:hAnsi="Arial"/>
          <w:sz w:val="18"/>
          <w:szCs w:val="18"/>
          <w:color w:val="262626"/>
        </w:rPr>
        <w:t xml:space="preserve"> </w:t>
      </w:r>
      <w:r>
        <w:rPr>
          <w:rFonts w:ascii="Arial" w:cs="Arial" w:eastAsia="Arial" w:hAnsi="Arial"/>
          <w:sz w:val="18"/>
          <w:szCs w:val="18"/>
          <w:color w:val="363636"/>
        </w:rPr>
        <w:t xml:space="preserve">exclusive </w:t>
      </w:r>
      <w:r>
        <w:rPr>
          <w:rFonts w:ascii="Arial" w:cs="Arial" w:eastAsia="Arial" w:hAnsi="Arial"/>
          <w:sz w:val="18"/>
          <w:szCs w:val="18"/>
          <w:color w:val="262626"/>
        </w:rPr>
        <w:t>property</w:t>
      </w:r>
      <w:r>
        <w:rPr>
          <w:rFonts w:ascii="Arial" w:cs="Arial" w:eastAsia="Arial" w:hAnsi="Arial"/>
          <w:sz w:val="18"/>
          <w:szCs w:val="18"/>
          <w:color w:val="363636"/>
        </w:rPr>
        <w:t xml:space="preserve"> of </w:t>
      </w:r>
      <w:r>
        <w:rPr>
          <w:rFonts w:ascii="Arial" w:cs="Arial" w:eastAsia="Arial" w:hAnsi="Arial"/>
          <w:sz w:val="18"/>
          <w:szCs w:val="18"/>
          <w:color w:val="262626"/>
        </w:rPr>
        <w:t>the</w:t>
      </w:r>
      <w:r>
        <w:rPr>
          <w:rFonts w:ascii="Arial" w:cs="Arial" w:eastAsia="Arial" w:hAnsi="Arial"/>
          <w:sz w:val="18"/>
          <w:szCs w:val="18"/>
          <w:color w:val="363636"/>
        </w:rPr>
        <w:t xml:space="preserve"> Company. </w:t>
      </w:r>
      <w:r>
        <w:rPr>
          <w:rFonts w:ascii="Arial" w:cs="Arial" w:eastAsia="Arial" w:hAnsi="Arial"/>
          <w:sz w:val="18"/>
          <w:szCs w:val="18"/>
          <w:color w:val="262626"/>
        </w:rPr>
        <w:t>The</w:t>
      </w:r>
      <w:r>
        <w:rPr>
          <w:rFonts w:ascii="Arial" w:cs="Arial" w:eastAsia="Arial" w:hAnsi="Arial"/>
          <w:sz w:val="18"/>
          <w:szCs w:val="18"/>
          <w:color w:val="363636"/>
        </w:rPr>
        <w:t xml:space="preserve"> Executive further acknowledges </w:t>
      </w:r>
      <w:r>
        <w:rPr>
          <w:rFonts w:ascii="Arial" w:cs="Arial" w:eastAsia="Arial" w:hAnsi="Arial"/>
          <w:sz w:val="18"/>
          <w:szCs w:val="18"/>
          <w:color w:val="262626"/>
        </w:rPr>
        <w:t>that the</w:t>
      </w:r>
      <w:r>
        <w:rPr>
          <w:rFonts w:ascii="Arial" w:cs="Arial" w:eastAsia="Arial" w:hAnsi="Arial"/>
          <w:sz w:val="18"/>
          <w:szCs w:val="18"/>
          <w:color w:val="363636"/>
        </w:rPr>
        <w:t xml:space="preserve"> Executive</w:t>
      </w:r>
      <w:r>
        <w:rPr>
          <w:rFonts w:ascii="Arial" w:cs="Arial" w:eastAsia="Arial" w:hAnsi="Arial"/>
          <w:sz w:val="18"/>
          <w:szCs w:val="18"/>
          <w:color w:val="4F4F4F"/>
        </w:rPr>
        <w:t>'</w:t>
      </w:r>
      <w:r>
        <w:rPr>
          <w:rFonts w:ascii="Arial" w:cs="Arial" w:eastAsia="Arial" w:hAnsi="Arial"/>
          <w:sz w:val="18"/>
          <w:szCs w:val="18"/>
          <w:color w:val="363636"/>
        </w:rPr>
        <w:t xml:space="preserve"> s </w:t>
      </w:r>
      <w:r>
        <w:rPr>
          <w:rFonts w:ascii="Arial" w:cs="Arial" w:eastAsia="Arial" w:hAnsi="Arial"/>
          <w:sz w:val="18"/>
          <w:szCs w:val="18"/>
          <w:color w:val="262626"/>
        </w:rPr>
        <w:t>entire</w:t>
      </w:r>
      <w:r>
        <w:rPr>
          <w:rFonts w:ascii="Arial" w:cs="Arial" w:eastAsia="Arial" w:hAnsi="Arial"/>
          <w:sz w:val="18"/>
          <w:szCs w:val="18"/>
          <w:color w:val="363636"/>
        </w:rPr>
        <w:t xml:space="preserve"> work </w:t>
      </w:r>
      <w:r>
        <w:rPr>
          <w:rFonts w:ascii="Arial" w:cs="Arial" w:eastAsia="Arial" w:hAnsi="Arial"/>
          <w:sz w:val="18"/>
          <w:szCs w:val="18"/>
          <w:color w:val="262626"/>
        </w:rPr>
        <w:t>product</w:t>
      </w:r>
      <w:r>
        <w:rPr>
          <w:rFonts w:ascii="Arial" w:cs="Arial" w:eastAsia="Arial" w:hAnsi="Arial"/>
          <w:sz w:val="18"/>
          <w:szCs w:val="18"/>
          <w:color w:val="4F4F4F"/>
        </w:rPr>
        <w:t>,</w:t>
      </w:r>
      <w:r>
        <w:rPr>
          <w:rFonts w:ascii="Arial" w:cs="Arial" w:eastAsia="Arial" w:hAnsi="Arial"/>
          <w:sz w:val="18"/>
          <w:szCs w:val="18"/>
          <w:color w:val="363636"/>
        </w:rPr>
        <w:t xml:space="preserve"> </w:t>
      </w:r>
      <w:r>
        <w:rPr>
          <w:rFonts w:ascii="Arial" w:cs="Arial" w:eastAsia="Arial" w:hAnsi="Arial"/>
          <w:sz w:val="18"/>
          <w:szCs w:val="18"/>
          <w:color w:val="262626"/>
        </w:rPr>
        <w:t>including</w:t>
      </w:r>
      <w:r>
        <w:rPr>
          <w:rFonts w:ascii="Arial" w:cs="Arial" w:eastAsia="Arial" w:hAnsi="Arial"/>
          <w:sz w:val="18"/>
          <w:szCs w:val="18"/>
          <w:color w:val="363636"/>
        </w:rPr>
        <w:t xml:space="preserve"> working </w:t>
      </w:r>
      <w:r>
        <w:rPr>
          <w:rFonts w:ascii="Arial" w:cs="Arial" w:eastAsia="Arial" w:hAnsi="Arial"/>
          <w:sz w:val="18"/>
          <w:szCs w:val="18"/>
          <w:color w:val="262626"/>
        </w:rPr>
        <w:t>draft</w:t>
      </w:r>
      <w:r>
        <w:rPr>
          <w:rFonts w:ascii="Arial" w:cs="Arial" w:eastAsia="Arial" w:hAnsi="Arial"/>
          <w:sz w:val="18"/>
          <w:szCs w:val="18"/>
          <w:color w:val="4F4F4F"/>
        </w:rPr>
        <w:t>s</w:t>
      </w:r>
      <w:r>
        <w:rPr>
          <w:rFonts w:ascii="Arial" w:cs="Arial" w:eastAsia="Arial" w:hAnsi="Arial"/>
          <w:sz w:val="18"/>
          <w:szCs w:val="18"/>
          <w:color w:val="363636"/>
        </w:rPr>
        <w:t xml:space="preserve"> and work </w:t>
      </w:r>
      <w:r>
        <w:rPr>
          <w:rFonts w:ascii="Arial" w:cs="Arial" w:eastAsia="Arial" w:hAnsi="Arial"/>
          <w:sz w:val="18"/>
          <w:szCs w:val="18"/>
          <w:color w:val="4F4F4F"/>
        </w:rPr>
        <w:t>s</w:t>
      </w:r>
      <w:r>
        <w:rPr>
          <w:rFonts w:ascii="Arial" w:cs="Arial" w:eastAsia="Arial" w:hAnsi="Arial"/>
          <w:sz w:val="18"/>
          <w:szCs w:val="18"/>
          <w:color w:val="262626"/>
        </w:rPr>
        <w:t>heets</w:t>
      </w:r>
      <w:r>
        <w:rPr>
          <w:rFonts w:ascii="Arial" w:cs="Arial" w:eastAsia="Arial" w:hAnsi="Arial"/>
          <w:sz w:val="18"/>
          <w:szCs w:val="18"/>
          <w:color w:val="4F4F4F"/>
        </w:rPr>
        <w:t>,</w:t>
      </w:r>
      <w:r>
        <w:rPr>
          <w:rFonts w:ascii="Arial" w:cs="Arial" w:eastAsia="Arial" w:hAnsi="Arial"/>
          <w:sz w:val="18"/>
          <w:szCs w:val="18"/>
          <w:color w:val="363636"/>
        </w:rPr>
        <w:t xml:space="preserve"> </w:t>
      </w:r>
      <w:r>
        <w:rPr>
          <w:rFonts w:ascii="Arial" w:cs="Arial" w:eastAsia="Arial" w:hAnsi="Arial"/>
          <w:sz w:val="18"/>
          <w:szCs w:val="18"/>
          <w:color w:val="262626"/>
        </w:rPr>
        <w:t>shall be the</w:t>
      </w:r>
      <w:r>
        <w:rPr>
          <w:rFonts w:ascii="Arial" w:cs="Arial" w:eastAsia="Arial" w:hAnsi="Arial"/>
          <w:sz w:val="18"/>
          <w:szCs w:val="18"/>
          <w:color w:val="363636"/>
        </w:rPr>
        <w:t xml:space="preserve"> sole </w:t>
      </w:r>
      <w:r>
        <w:rPr>
          <w:rFonts w:ascii="Arial" w:cs="Arial" w:eastAsia="Arial" w:hAnsi="Arial"/>
          <w:sz w:val="18"/>
          <w:szCs w:val="18"/>
          <w:color w:val="262626"/>
        </w:rPr>
        <w:t>property</w:t>
      </w:r>
      <w:r>
        <w:rPr>
          <w:rFonts w:ascii="Arial" w:cs="Arial" w:eastAsia="Arial" w:hAnsi="Arial"/>
          <w:sz w:val="18"/>
          <w:szCs w:val="18"/>
          <w:color w:val="363636"/>
        </w:rPr>
        <w:t xml:space="preserve"> of </w:t>
      </w:r>
      <w:r>
        <w:rPr>
          <w:rFonts w:ascii="Arial" w:cs="Arial" w:eastAsia="Arial" w:hAnsi="Arial"/>
          <w:sz w:val="18"/>
          <w:szCs w:val="18"/>
          <w:color w:val="262626"/>
        </w:rPr>
        <w:t>the</w:t>
      </w:r>
      <w:r>
        <w:rPr>
          <w:rFonts w:ascii="Arial" w:cs="Arial" w:eastAsia="Arial" w:hAnsi="Arial"/>
          <w:sz w:val="18"/>
          <w:szCs w:val="18"/>
          <w:color w:val="363636"/>
        </w:rPr>
        <w:t xml:space="preserve"> Compan</w:t>
      </w:r>
      <w:r>
        <w:rPr>
          <w:rFonts w:ascii="Arial" w:cs="Arial" w:eastAsia="Arial" w:hAnsi="Arial"/>
          <w:sz w:val="18"/>
          <w:szCs w:val="18"/>
          <w:color w:val="4F4F4F"/>
        </w:rPr>
        <w:t>y,</w:t>
      </w:r>
      <w:r>
        <w:rPr>
          <w:rFonts w:ascii="Arial" w:cs="Arial" w:eastAsia="Arial" w:hAnsi="Arial"/>
          <w:sz w:val="18"/>
          <w:szCs w:val="18"/>
          <w:color w:val="363636"/>
        </w:rPr>
        <w:t xml:space="preserve"> and </w:t>
      </w:r>
      <w:r>
        <w:rPr>
          <w:rFonts w:ascii="Arial" w:cs="Arial" w:eastAsia="Arial" w:hAnsi="Arial"/>
          <w:sz w:val="18"/>
          <w:szCs w:val="18"/>
          <w:color w:val="262626"/>
        </w:rPr>
        <w:t>that the</w:t>
      </w:r>
      <w:r>
        <w:rPr>
          <w:rFonts w:ascii="Arial" w:cs="Arial" w:eastAsia="Arial" w:hAnsi="Arial"/>
          <w:sz w:val="18"/>
          <w:szCs w:val="18"/>
          <w:color w:val="363636"/>
        </w:rPr>
        <w:t xml:space="preserve"> Executi</w:t>
      </w:r>
      <w:r>
        <w:rPr>
          <w:rFonts w:ascii="Arial" w:cs="Arial" w:eastAsia="Arial" w:hAnsi="Arial"/>
          <w:sz w:val="18"/>
          <w:szCs w:val="18"/>
          <w:color w:val="4F4F4F"/>
        </w:rPr>
        <w:t>v</w:t>
      </w:r>
      <w:r>
        <w:rPr>
          <w:rFonts w:ascii="Arial" w:cs="Arial" w:eastAsia="Arial" w:hAnsi="Arial"/>
          <w:sz w:val="18"/>
          <w:szCs w:val="18"/>
          <w:color w:val="363636"/>
        </w:rPr>
        <w:t xml:space="preserve">e will </w:t>
      </w:r>
      <w:r>
        <w:rPr>
          <w:rFonts w:ascii="Arial" w:cs="Arial" w:eastAsia="Arial" w:hAnsi="Arial"/>
          <w:sz w:val="18"/>
          <w:szCs w:val="18"/>
          <w:color w:val="262626"/>
        </w:rPr>
        <w:t>have no</w:t>
      </w:r>
      <w:r>
        <w:rPr>
          <w:rFonts w:ascii="Arial" w:cs="Arial" w:eastAsia="Arial" w:hAnsi="Arial"/>
          <w:sz w:val="18"/>
          <w:szCs w:val="18"/>
          <w:color w:val="363636"/>
        </w:rPr>
        <w:t xml:space="preserve"> rights</w:t>
      </w:r>
      <w:r>
        <w:rPr>
          <w:rFonts w:ascii="Arial" w:cs="Arial" w:eastAsia="Arial" w:hAnsi="Arial"/>
          <w:sz w:val="18"/>
          <w:szCs w:val="18"/>
          <w:color w:val="4F4F4F"/>
        </w:rPr>
        <w:t>,</w:t>
      </w:r>
      <w:r>
        <w:rPr>
          <w:rFonts w:ascii="Arial" w:cs="Arial" w:eastAsia="Arial" w:hAnsi="Arial"/>
          <w:sz w:val="18"/>
          <w:szCs w:val="18"/>
          <w:color w:val="363636"/>
        </w:rPr>
        <w:t xml:space="preserve"> </w:t>
      </w:r>
      <w:r>
        <w:rPr>
          <w:rFonts w:ascii="Arial" w:cs="Arial" w:eastAsia="Arial" w:hAnsi="Arial"/>
          <w:sz w:val="18"/>
          <w:szCs w:val="18"/>
          <w:color w:val="262626"/>
        </w:rPr>
        <w:t>title</w:t>
      </w:r>
      <w:r>
        <w:rPr>
          <w:rFonts w:ascii="Arial" w:cs="Arial" w:eastAsia="Arial" w:hAnsi="Arial"/>
          <w:sz w:val="18"/>
          <w:szCs w:val="18"/>
          <w:color w:val="363636"/>
        </w:rPr>
        <w:t xml:space="preserve"> or </w:t>
      </w:r>
      <w:r>
        <w:rPr>
          <w:rFonts w:ascii="Arial" w:cs="Arial" w:eastAsia="Arial" w:hAnsi="Arial"/>
          <w:sz w:val="18"/>
          <w:szCs w:val="18"/>
          <w:color w:val="262626"/>
        </w:rPr>
        <w:t xml:space="preserve">interest in </w:t>
      </w:r>
      <w:r>
        <w:rPr>
          <w:rFonts w:ascii="Arial" w:cs="Arial" w:eastAsia="Arial" w:hAnsi="Arial"/>
          <w:sz w:val="18"/>
          <w:szCs w:val="18"/>
          <w:color w:val="363636"/>
        </w:rPr>
        <w:t>any such</w:t>
      </w:r>
      <w:r>
        <w:rPr>
          <w:rFonts w:ascii="Arial" w:cs="Arial" w:eastAsia="Arial" w:hAnsi="Arial"/>
          <w:sz w:val="18"/>
          <w:szCs w:val="18"/>
          <w:color w:val="262626"/>
        </w:rPr>
        <w:t xml:space="preserve"> material </w:t>
      </w:r>
      <w:r>
        <w:rPr>
          <w:rFonts w:ascii="Arial" w:cs="Arial" w:eastAsia="Arial" w:hAnsi="Arial"/>
          <w:sz w:val="18"/>
          <w:szCs w:val="18"/>
          <w:color w:val="363636"/>
        </w:rPr>
        <w:t>whether</w:t>
      </w:r>
      <w:r>
        <w:rPr>
          <w:rFonts w:ascii="Arial" w:cs="Arial" w:eastAsia="Arial" w:hAnsi="Arial"/>
          <w:sz w:val="18"/>
          <w:szCs w:val="18"/>
          <w:color w:val="262626"/>
        </w:rPr>
        <w:t xml:space="preserve"> prepared by </w:t>
      </w:r>
      <w:r>
        <w:rPr>
          <w:rFonts w:ascii="Arial" w:cs="Arial" w:eastAsia="Arial" w:hAnsi="Arial"/>
          <w:sz w:val="18"/>
          <w:szCs w:val="18"/>
          <w:color w:val="363636"/>
        </w:rPr>
        <w:t>the Executive alone,</w:t>
      </w:r>
      <w:r>
        <w:rPr>
          <w:rFonts w:ascii="Arial" w:cs="Arial" w:eastAsia="Arial" w:hAnsi="Arial"/>
          <w:sz w:val="18"/>
          <w:szCs w:val="18"/>
          <w:color w:val="262626"/>
        </w:rPr>
        <w:t xml:space="preserve"> by </w:t>
      </w:r>
      <w:r>
        <w:rPr>
          <w:rFonts w:ascii="Arial" w:cs="Arial" w:eastAsia="Arial" w:hAnsi="Arial"/>
          <w:sz w:val="18"/>
          <w:szCs w:val="18"/>
          <w:color w:val="363636"/>
        </w:rPr>
        <w:t>others or</w:t>
      </w:r>
      <w:r>
        <w:rPr>
          <w:rFonts w:ascii="Arial" w:cs="Arial" w:eastAsia="Arial" w:hAnsi="Arial"/>
          <w:sz w:val="18"/>
          <w:szCs w:val="18"/>
          <w:color w:val="262626"/>
        </w:rPr>
        <w:t xml:space="preserve"> by the </w:t>
      </w:r>
      <w:r>
        <w:rPr>
          <w:rFonts w:ascii="Arial" w:cs="Arial" w:eastAsia="Arial" w:hAnsi="Arial"/>
          <w:sz w:val="18"/>
          <w:szCs w:val="18"/>
          <w:color w:val="363636"/>
        </w:rPr>
        <w:t>Executive</w:t>
      </w:r>
      <w:r>
        <w:rPr>
          <w:rFonts w:ascii="Arial" w:cs="Arial" w:eastAsia="Arial" w:hAnsi="Arial"/>
          <w:sz w:val="18"/>
          <w:szCs w:val="18"/>
          <w:color w:val="262626"/>
        </w:rPr>
        <w:t xml:space="preserve"> in </w:t>
      </w:r>
      <w:r>
        <w:rPr>
          <w:rFonts w:ascii="Arial" w:cs="Arial" w:eastAsia="Arial" w:hAnsi="Arial"/>
          <w:sz w:val="18"/>
          <w:szCs w:val="18"/>
          <w:color w:val="363636"/>
        </w:rPr>
        <w:t>conjunction</w:t>
      </w:r>
      <w:r>
        <w:rPr>
          <w:rFonts w:ascii="Arial" w:cs="Arial" w:eastAsia="Arial" w:hAnsi="Arial"/>
          <w:sz w:val="18"/>
          <w:szCs w:val="18"/>
          <w:color w:val="262626"/>
        </w:rPr>
        <w:t xml:space="preserve"> with </w:t>
      </w:r>
      <w:r>
        <w:rPr>
          <w:rFonts w:ascii="Arial" w:cs="Arial" w:eastAsia="Arial" w:hAnsi="Arial"/>
          <w:sz w:val="18"/>
          <w:szCs w:val="18"/>
          <w:color w:val="363636"/>
        </w:rPr>
        <w:t>others.</w:t>
      </w:r>
      <w:r>
        <w:rPr>
          <w:rFonts w:ascii="Arial" w:cs="Arial" w:eastAsia="Arial" w:hAnsi="Arial"/>
          <w:sz w:val="18"/>
          <w:szCs w:val="18"/>
          <w:color w:val="262626"/>
        </w:rPr>
        <w:t xml:space="preserve"> Executive </w:t>
      </w:r>
      <w:r>
        <w:rPr>
          <w:rFonts w:ascii="Arial" w:cs="Arial" w:eastAsia="Arial" w:hAnsi="Arial"/>
          <w:sz w:val="18"/>
          <w:szCs w:val="18"/>
          <w:color w:val="363636"/>
        </w:rPr>
        <w:t>agrees as a condition of continued</w:t>
      </w:r>
      <w:r>
        <w:rPr>
          <w:rFonts w:ascii="Arial" w:cs="Arial" w:eastAsia="Arial" w:hAnsi="Arial"/>
          <w:sz w:val="18"/>
          <w:szCs w:val="18"/>
          <w:color w:val="262626"/>
        </w:rPr>
        <w:t xml:space="preserve"> employment to </w:t>
      </w:r>
      <w:r>
        <w:rPr>
          <w:rFonts w:ascii="Arial" w:cs="Arial" w:eastAsia="Arial" w:hAnsi="Arial"/>
          <w:sz w:val="18"/>
          <w:szCs w:val="18"/>
          <w:color w:val="363636"/>
        </w:rPr>
        <w:t>execute</w:t>
      </w:r>
      <w:r>
        <w:rPr>
          <w:rFonts w:ascii="Arial" w:cs="Arial" w:eastAsia="Arial" w:hAnsi="Arial"/>
          <w:sz w:val="18"/>
          <w:szCs w:val="18"/>
          <w:color w:val="262626"/>
        </w:rPr>
        <w:t xml:space="preserve"> the </w:t>
      </w:r>
      <w:r>
        <w:rPr>
          <w:rFonts w:ascii="Arial" w:cs="Arial" w:eastAsia="Arial" w:hAnsi="Arial"/>
          <w:sz w:val="18"/>
          <w:szCs w:val="18"/>
          <w:color w:val="363636"/>
        </w:rPr>
        <w:t>Company</w:t>
      </w:r>
      <w:r>
        <w:rPr>
          <w:rFonts w:ascii="Arial" w:cs="Arial" w:eastAsia="Arial" w:hAnsi="Arial"/>
          <w:sz w:val="18"/>
          <w:szCs w:val="18"/>
          <w:color w:val="4F4F4F"/>
        </w:rPr>
        <w:t>'</w:t>
      </w:r>
      <w:r>
        <w:rPr>
          <w:rFonts w:ascii="Arial" w:cs="Arial" w:eastAsia="Arial" w:hAnsi="Arial"/>
          <w:sz w:val="18"/>
          <w:szCs w:val="18"/>
          <w:color w:val="363636"/>
        </w:rPr>
        <w:t>s</w:t>
      </w:r>
      <w:r>
        <w:rPr>
          <w:rFonts w:ascii="Arial" w:cs="Arial" w:eastAsia="Arial" w:hAnsi="Arial"/>
          <w:sz w:val="18"/>
          <w:szCs w:val="18"/>
          <w:color w:val="262626"/>
        </w:rPr>
        <w:t xml:space="preserve"> Proprietary Information Agreement protecting </w:t>
      </w:r>
      <w:r>
        <w:rPr>
          <w:rFonts w:ascii="Arial" w:cs="Arial" w:eastAsia="Arial" w:hAnsi="Arial"/>
          <w:sz w:val="18"/>
          <w:szCs w:val="18"/>
          <w:color w:val="363636"/>
        </w:rPr>
        <w:t>th</w:t>
      </w:r>
      <w:r>
        <w:rPr>
          <w:rFonts w:ascii="Arial" w:cs="Arial" w:eastAsia="Arial" w:hAnsi="Arial"/>
          <w:sz w:val="18"/>
          <w:szCs w:val="18"/>
          <w:color w:val="4F4F4F"/>
        </w:rPr>
        <w:t>e</w:t>
      </w:r>
      <w:r>
        <w:rPr>
          <w:rFonts w:ascii="Arial" w:cs="Arial" w:eastAsia="Arial" w:hAnsi="Arial"/>
          <w:sz w:val="18"/>
          <w:szCs w:val="18"/>
          <w:color w:val="262626"/>
        </w:rPr>
        <w:t xml:space="preserve"> trad</w:t>
      </w:r>
      <w:r>
        <w:rPr>
          <w:rFonts w:ascii="Arial" w:cs="Arial" w:eastAsia="Arial" w:hAnsi="Arial"/>
          <w:sz w:val="18"/>
          <w:szCs w:val="18"/>
          <w:color w:val="4F4F4F"/>
        </w:rPr>
        <w:t>e</w:t>
      </w:r>
      <w:r>
        <w:rPr>
          <w:rFonts w:ascii="Arial" w:cs="Arial" w:eastAsia="Arial" w:hAnsi="Arial"/>
          <w:sz w:val="18"/>
          <w:szCs w:val="18"/>
          <w:color w:val="262626"/>
        </w:rPr>
        <w:t xml:space="preserve"> </w:t>
      </w:r>
      <w:r>
        <w:rPr>
          <w:rFonts w:ascii="Arial" w:cs="Arial" w:eastAsia="Arial" w:hAnsi="Arial"/>
          <w:sz w:val="18"/>
          <w:szCs w:val="18"/>
          <w:color w:val="363636"/>
        </w:rPr>
        <w:t>secrets and other</w:t>
      </w:r>
      <w:r>
        <w:rPr>
          <w:rFonts w:ascii="Arial" w:cs="Arial" w:eastAsia="Arial" w:hAnsi="Arial"/>
          <w:sz w:val="18"/>
          <w:szCs w:val="18"/>
          <w:color w:val="262626"/>
        </w:rPr>
        <w:t xml:space="preserve"> intellectual property </w:t>
      </w:r>
      <w:r>
        <w:rPr>
          <w:rFonts w:ascii="Arial" w:cs="Arial" w:eastAsia="Arial" w:hAnsi="Arial"/>
          <w:sz w:val="18"/>
          <w:szCs w:val="18"/>
          <w:color w:val="363636"/>
        </w:rPr>
        <w:t>of</w:t>
      </w:r>
      <w:r>
        <w:rPr>
          <w:rFonts w:ascii="Arial" w:cs="Arial" w:eastAsia="Arial" w:hAnsi="Arial"/>
          <w:sz w:val="18"/>
          <w:szCs w:val="18"/>
          <w:color w:val="262626"/>
        </w:rPr>
        <w:t xml:space="preserve"> the </w:t>
      </w:r>
      <w:r>
        <w:rPr>
          <w:rFonts w:ascii="Arial" w:cs="Arial" w:eastAsia="Arial" w:hAnsi="Arial"/>
          <w:sz w:val="18"/>
          <w:szCs w:val="18"/>
          <w:color w:val="363636"/>
        </w:rPr>
        <w:t>Company.</w:t>
      </w:r>
      <w:r>
        <w:rPr>
          <w:rFonts w:ascii="Arial" w:cs="Arial" w:eastAsia="Arial" w:hAnsi="Arial"/>
          <w:sz w:val="18"/>
          <w:szCs w:val="18"/>
          <w:color w:val="262626"/>
        </w:rPr>
        <w:t xml:space="preserve"> </w:t>
      </w:r>
      <w:r>
        <w:rPr>
          <w:rFonts w:ascii="Arial" w:cs="Arial" w:eastAsia="Arial" w:hAnsi="Arial"/>
          <w:sz w:val="18"/>
          <w:szCs w:val="18"/>
          <w:b w:val="1"/>
          <w:bCs w:val="1"/>
          <w:i w:val="1"/>
          <w:iCs w:val="1"/>
          <w:color w:val="363636"/>
        </w:rPr>
        <w:t>Def</w:t>
      </w:r>
      <w:r>
        <w:rPr>
          <w:rFonts w:ascii="Arial" w:cs="Arial" w:eastAsia="Arial" w:hAnsi="Arial"/>
          <w:sz w:val="18"/>
          <w:szCs w:val="18"/>
          <w:b w:val="1"/>
          <w:bCs w:val="1"/>
          <w:i w:val="1"/>
          <w:iCs w:val="1"/>
          <w:color w:val="4F4F4F"/>
        </w:rPr>
        <w:t>e</w:t>
      </w:r>
      <w:r>
        <w:rPr>
          <w:rFonts w:ascii="Arial" w:cs="Arial" w:eastAsia="Arial" w:hAnsi="Arial"/>
          <w:sz w:val="18"/>
          <w:szCs w:val="18"/>
          <w:b w:val="1"/>
          <w:bCs w:val="1"/>
          <w:i w:val="1"/>
          <w:iCs w:val="1"/>
          <w:color w:val="363636"/>
        </w:rPr>
        <w:t>nd T</w:t>
      </w:r>
      <w:r>
        <w:rPr>
          <w:rFonts w:ascii="Arial" w:cs="Arial" w:eastAsia="Arial" w:hAnsi="Arial"/>
          <w:sz w:val="18"/>
          <w:szCs w:val="18"/>
          <w:b w:val="1"/>
          <w:bCs w:val="1"/>
          <w:i w:val="1"/>
          <w:iCs w:val="1"/>
          <w:color w:val="4F4F4F"/>
        </w:rPr>
        <w:t>ra</w:t>
      </w:r>
      <w:r>
        <w:rPr>
          <w:rFonts w:ascii="Arial" w:cs="Arial" w:eastAsia="Arial" w:hAnsi="Arial"/>
          <w:sz w:val="18"/>
          <w:szCs w:val="18"/>
          <w:b w:val="1"/>
          <w:bCs w:val="1"/>
          <w:i w:val="1"/>
          <w:iCs w:val="1"/>
          <w:color w:val="363636"/>
        </w:rPr>
        <w:t>d</w:t>
      </w:r>
      <w:r>
        <w:rPr>
          <w:rFonts w:ascii="Arial" w:cs="Arial" w:eastAsia="Arial" w:hAnsi="Arial"/>
          <w:sz w:val="18"/>
          <w:szCs w:val="18"/>
          <w:b w:val="1"/>
          <w:bCs w:val="1"/>
          <w:i w:val="1"/>
          <w:iCs w:val="1"/>
          <w:color w:val="4F4F4F"/>
        </w:rPr>
        <w:t>e</w:t>
      </w:r>
      <w:r>
        <w:rPr>
          <w:rFonts w:ascii="Arial" w:cs="Arial" w:eastAsia="Arial" w:hAnsi="Arial"/>
          <w:sz w:val="18"/>
          <w:szCs w:val="18"/>
          <w:color w:val="262626"/>
        </w:rPr>
        <w:t xml:space="preserve"> </w:t>
      </w:r>
      <w:r>
        <w:rPr>
          <w:rFonts w:ascii="Arial" w:cs="Arial" w:eastAsia="Arial" w:hAnsi="Arial"/>
          <w:sz w:val="18"/>
          <w:szCs w:val="18"/>
          <w:b w:val="1"/>
          <w:bCs w:val="1"/>
          <w:i w:val="1"/>
          <w:iCs w:val="1"/>
          <w:color w:val="363636"/>
        </w:rPr>
        <w:t>S</w:t>
      </w:r>
      <w:r>
        <w:rPr>
          <w:rFonts w:ascii="Arial" w:cs="Arial" w:eastAsia="Arial" w:hAnsi="Arial"/>
          <w:sz w:val="18"/>
          <w:szCs w:val="18"/>
          <w:b w:val="1"/>
          <w:bCs w:val="1"/>
          <w:i w:val="1"/>
          <w:iCs w:val="1"/>
          <w:color w:val="4F4F4F"/>
        </w:rPr>
        <w:t>ec</w:t>
      </w:r>
      <w:r>
        <w:rPr>
          <w:rFonts w:ascii="Arial" w:cs="Arial" w:eastAsia="Arial" w:hAnsi="Arial"/>
          <w:sz w:val="18"/>
          <w:szCs w:val="18"/>
          <w:b w:val="1"/>
          <w:bCs w:val="1"/>
          <w:i w:val="1"/>
          <w:iCs w:val="1"/>
          <w:color w:val="363636"/>
        </w:rPr>
        <w:t>re</w:t>
      </w:r>
      <w:r>
        <w:rPr>
          <w:rFonts w:ascii="Arial" w:cs="Arial" w:eastAsia="Arial" w:hAnsi="Arial"/>
          <w:sz w:val="18"/>
          <w:szCs w:val="18"/>
          <w:b w:val="1"/>
          <w:bCs w:val="1"/>
          <w:i w:val="1"/>
          <w:iCs w:val="1"/>
          <w:color w:val="4F4F4F"/>
        </w:rPr>
        <w:t>ts Act</w:t>
      </w:r>
    </w:p>
    <w:p>
      <w:pPr>
        <w:ind w:left="20"/>
        <w:spacing w:after="0"/>
        <w:rPr>
          <w:rFonts w:ascii="Arial" w:cs="Arial" w:eastAsia="Arial" w:hAnsi="Arial"/>
          <w:sz w:val="19"/>
          <w:szCs w:val="19"/>
          <w:color w:val="363636"/>
        </w:rPr>
      </w:pPr>
      <w:r>
        <w:rPr>
          <w:rFonts w:ascii="Arial" w:cs="Arial" w:eastAsia="Arial" w:hAnsi="Arial"/>
          <w:sz w:val="19"/>
          <w:szCs w:val="19"/>
          <w:b w:val="1"/>
          <w:bCs w:val="1"/>
          <w:i w:val="1"/>
          <w:iCs w:val="1"/>
          <w:color w:val="4F4F4F"/>
        </w:rPr>
        <w:t>N</w:t>
      </w:r>
      <w:r>
        <w:rPr>
          <w:rFonts w:ascii="Arial" w:cs="Arial" w:eastAsia="Arial" w:hAnsi="Arial"/>
          <w:sz w:val="19"/>
          <w:szCs w:val="19"/>
          <w:b w:val="1"/>
          <w:bCs w:val="1"/>
          <w:i w:val="1"/>
          <w:iCs w:val="1"/>
          <w:color w:val="363636"/>
        </w:rPr>
        <w:t>oti</w:t>
      </w:r>
      <w:r>
        <w:rPr>
          <w:rFonts w:ascii="Arial" w:cs="Arial" w:eastAsia="Arial" w:hAnsi="Arial"/>
          <w:sz w:val="19"/>
          <w:szCs w:val="19"/>
          <w:b w:val="1"/>
          <w:bCs w:val="1"/>
          <w:i w:val="1"/>
          <w:iCs w:val="1"/>
          <w:color w:val="4F4F4F"/>
        </w:rPr>
        <w:t>c</w:t>
      </w:r>
      <w:r>
        <w:rPr>
          <w:rFonts w:ascii="Arial" w:cs="Arial" w:eastAsia="Arial" w:hAnsi="Arial"/>
          <w:sz w:val="19"/>
          <w:szCs w:val="19"/>
          <w:b w:val="1"/>
          <w:bCs w:val="1"/>
          <w:i w:val="1"/>
          <w:iCs w:val="1"/>
          <w:color w:val="363636"/>
        </w:rPr>
        <w:t>e.</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4F4F4F"/>
        </w:rPr>
        <w:t>Exe</w:t>
      </w:r>
      <w:r>
        <w:rPr>
          <w:rFonts w:ascii="Arial" w:cs="Arial" w:eastAsia="Arial" w:hAnsi="Arial"/>
          <w:sz w:val="19"/>
          <w:szCs w:val="19"/>
          <w:color w:val="363636"/>
        </w:rPr>
        <w:t>cut</w:t>
      </w:r>
      <w:r>
        <w:rPr>
          <w:rFonts w:ascii="Arial" w:cs="Arial" w:eastAsia="Arial" w:hAnsi="Arial"/>
          <w:sz w:val="19"/>
          <w:szCs w:val="19"/>
          <w:color w:val="4F4F4F"/>
        </w:rPr>
        <w:t>ive</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i</w:t>
      </w:r>
      <w:r>
        <w:rPr>
          <w:rFonts w:ascii="Arial" w:cs="Arial" w:eastAsia="Arial" w:hAnsi="Arial"/>
          <w:sz w:val="19"/>
          <w:szCs w:val="19"/>
          <w:color w:val="4F4F4F"/>
        </w:rPr>
        <w:t>s</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h</w:t>
      </w:r>
      <w:r>
        <w:rPr>
          <w:rFonts w:ascii="Arial" w:cs="Arial" w:eastAsia="Arial" w:hAnsi="Arial"/>
          <w:sz w:val="19"/>
          <w:szCs w:val="19"/>
          <w:color w:val="4F4F4F"/>
        </w:rPr>
        <w:t>e</w:t>
      </w:r>
      <w:r>
        <w:rPr>
          <w:rFonts w:ascii="Arial" w:cs="Arial" w:eastAsia="Arial" w:hAnsi="Arial"/>
          <w:sz w:val="19"/>
          <w:szCs w:val="19"/>
          <w:color w:val="363636"/>
        </w:rPr>
        <w:t>r</w:t>
      </w:r>
      <w:r>
        <w:rPr>
          <w:rFonts w:ascii="Arial" w:cs="Arial" w:eastAsia="Arial" w:hAnsi="Arial"/>
          <w:sz w:val="19"/>
          <w:szCs w:val="19"/>
          <w:color w:val="4F4F4F"/>
        </w:rPr>
        <w:t>e</w:t>
      </w:r>
      <w:r>
        <w:rPr>
          <w:rFonts w:ascii="Arial" w:cs="Arial" w:eastAsia="Arial" w:hAnsi="Arial"/>
          <w:sz w:val="19"/>
          <w:szCs w:val="19"/>
          <w:color w:val="363636"/>
        </w:rPr>
        <w:t>b</w:t>
      </w:r>
      <w:r>
        <w:rPr>
          <w:rFonts w:ascii="Arial" w:cs="Arial" w:eastAsia="Arial" w:hAnsi="Arial"/>
          <w:sz w:val="19"/>
          <w:szCs w:val="19"/>
          <w:color w:val="4F4F4F"/>
        </w:rPr>
        <w:t>y</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n</w:t>
      </w:r>
      <w:r>
        <w:rPr>
          <w:rFonts w:ascii="Arial" w:cs="Arial" w:eastAsia="Arial" w:hAnsi="Arial"/>
          <w:sz w:val="19"/>
          <w:szCs w:val="19"/>
          <w:color w:val="4F4F4F"/>
        </w:rPr>
        <w:t>o</w:t>
      </w:r>
      <w:r>
        <w:rPr>
          <w:rFonts w:ascii="Arial" w:cs="Arial" w:eastAsia="Arial" w:hAnsi="Arial"/>
          <w:sz w:val="19"/>
          <w:szCs w:val="19"/>
          <w:color w:val="363636"/>
        </w:rPr>
        <w:t>tifi</w:t>
      </w:r>
      <w:r>
        <w:rPr>
          <w:rFonts w:ascii="Arial" w:cs="Arial" w:eastAsia="Arial" w:hAnsi="Arial"/>
          <w:sz w:val="19"/>
          <w:szCs w:val="19"/>
          <w:color w:val="4F4F4F"/>
        </w:rPr>
        <w:t>ed</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in</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4F4F4F"/>
        </w:rPr>
        <w:t>acco</w:t>
      </w:r>
      <w:r>
        <w:rPr>
          <w:rFonts w:ascii="Arial" w:cs="Arial" w:eastAsia="Arial" w:hAnsi="Arial"/>
          <w:sz w:val="19"/>
          <w:szCs w:val="19"/>
          <w:color w:val="363636"/>
        </w:rPr>
        <w:t>rd</w:t>
      </w:r>
      <w:r>
        <w:rPr>
          <w:rFonts w:ascii="Arial" w:cs="Arial" w:eastAsia="Arial" w:hAnsi="Arial"/>
          <w:sz w:val="19"/>
          <w:szCs w:val="19"/>
          <w:color w:val="4F4F4F"/>
        </w:rPr>
        <w:t>a</w:t>
      </w:r>
      <w:r>
        <w:rPr>
          <w:rFonts w:ascii="Arial" w:cs="Arial" w:eastAsia="Arial" w:hAnsi="Arial"/>
          <w:sz w:val="19"/>
          <w:szCs w:val="19"/>
          <w:color w:val="363636"/>
        </w:rPr>
        <w:t>n</w:t>
      </w:r>
      <w:r>
        <w:rPr>
          <w:rFonts w:ascii="Arial" w:cs="Arial" w:eastAsia="Arial" w:hAnsi="Arial"/>
          <w:sz w:val="19"/>
          <w:szCs w:val="19"/>
          <w:color w:val="4F4F4F"/>
        </w:rPr>
        <w:t>ce w</w:t>
      </w:r>
      <w:r>
        <w:rPr>
          <w:rFonts w:ascii="Arial" w:cs="Arial" w:eastAsia="Arial" w:hAnsi="Arial"/>
          <w:sz w:val="19"/>
          <w:szCs w:val="19"/>
          <w:color w:val="363636"/>
        </w:rPr>
        <w:t>i</w:t>
      </w:r>
      <w:r>
        <w:rPr>
          <w:rFonts w:ascii="Arial" w:cs="Arial" w:eastAsia="Arial" w:hAnsi="Arial"/>
          <w:sz w:val="19"/>
          <w:szCs w:val="19"/>
          <w:color w:val="4F4F4F"/>
        </w:rPr>
        <w:t>t</w:t>
      </w:r>
      <w:r>
        <w:rPr>
          <w:rFonts w:ascii="Arial" w:cs="Arial" w:eastAsia="Arial" w:hAnsi="Arial"/>
          <w:sz w:val="19"/>
          <w:szCs w:val="19"/>
          <w:color w:val="363636"/>
        </w:rPr>
        <w:t>h th</w:t>
      </w:r>
      <w:r>
        <w:rPr>
          <w:rFonts w:ascii="Arial" w:cs="Arial" w:eastAsia="Arial" w:hAnsi="Arial"/>
          <w:sz w:val="19"/>
          <w:szCs w:val="19"/>
          <w:color w:val="4F4F4F"/>
        </w:rPr>
        <w:t>e</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D</w:t>
      </w:r>
      <w:r>
        <w:rPr>
          <w:rFonts w:ascii="Arial" w:cs="Arial" w:eastAsia="Arial" w:hAnsi="Arial"/>
          <w:sz w:val="19"/>
          <w:szCs w:val="19"/>
          <w:color w:val="4F4F4F"/>
        </w:rPr>
        <w:t>efe</w:t>
      </w:r>
      <w:r>
        <w:rPr>
          <w:rFonts w:ascii="Arial" w:cs="Arial" w:eastAsia="Arial" w:hAnsi="Arial"/>
          <w:sz w:val="19"/>
          <w:szCs w:val="19"/>
          <w:color w:val="363636"/>
        </w:rPr>
        <w:t>n</w:t>
      </w:r>
      <w:r>
        <w:rPr>
          <w:rFonts w:ascii="Arial" w:cs="Arial" w:eastAsia="Arial" w:hAnsi="Arial"/>
          <w:sz w:val="19"/>
          <w:szCs w:val="19"/>
          <w:color w:val="4F4F4F"/>
        </w:rPr>
        <w:t>d Tra</w:t>
      </w:r>
      <w:r>
        <w:rPr>
          <w:rFonts w:ascii="Arial" w:cs="Arial" w:eastAsia="Arial" w:hAnsi="Arial"/>
          <w:sz w:val="19"/>
          <w:szCs w:val="19"/>
          <w:color w:val="363636"/>
        </w:rPr>
        <w:t>de</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4F4F4F"/>
        </w:rPr>
        <w:t>Sec</w:t>
      </w:r>
      <w:r>
        <w:rPr>
          <w:rFonts w:ascii="Arial" w:cs="Arial" w:eastAsia="Arial" w:hAnsi="Arial"/>
          <w:sz w:val="19"/>
          <w:szCs w:val="19"/>
          <w:color w:val="363636"/>
        </w:rPr>
        <w:t>r</w:t>
      </w:r>
      <w:r>
        <w:rPr>
          <w:rFonts w:ascii="Arial" w:cs="Arial" w:eastAsia="Arial" w:hAnsi="Arial"/>
          <w:sz w:val="19"/>
          <w:szCs w:val="19"/>
          <w:color w:val="4F4F4F"/>
        </w:rPr>
        <w:t>e</w:t>
      </w:r>
      <w:r>
        <w:rPr>
          <w:rFonts w:ascii="Arial" w:cs="Arial" w:eastAsia="Arial" w:hAnsi="Arial"/>
          <w:sz w:val="19"/>
          <w:szCs w:val="19"/>
          <w:color w:val="363636"/>
        </w:rPr>
        <w:t>t</w:t>
      </w:r>
      <w:r>
        <w:rPr>
          <w:rFonts w:ascii="Arial" w:cs="Arial" w:eastAsia="Arial" w:hAnsi="Arial"/>
          <w:sz w:val="19"/>
          <w:szCs w:val="19"/>
          <w:color w:val="4F4F4F"/>
        </w:rPr>
        <w:t>s Act of 20</w:t>
      </w:r>
      <w:r>
        <w:rPr>
          <w:rFonts w:ascii="Arial" w:cs="Arial" w:eastAsia="Arial" w:hAnsi="Arial"/>
          <w:sz w:val="19"/>
          <w:szCs w:val="19"/>
          <w:color w:val="363636"/>
        </w:rPr>
        <w:t>1</w:t>
      </w:r>
      <w:r>
        <w:rPr>
          <w:rFonts w:ascii="Arial" w:cs="Arial" w:eastAsia="Arial" w:hAnsi="Arial"/>
          <w:sz w:val="19"/>
          <w:szCs w:val="19"/>
          <w:color w:val="4F4F4F"/>
        </w:rPr>
        <w:t>6</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th</w:t>
      </w:r>
      <w:r>
        <w:rPr>
          <w:rFonts w:ascii="Arial" w:cs="Arial" w:eastAsia="Arial" w:hAnsi="Arial"/>
          <w:sz w:val="19"/>
          <w:szCs w:val="19"/>
          <w:color w:val="4F4F4F"/>
        </w:rPr>
        <w:t>a</w:t>
      </w:r>
      <w:r>
        <w:rPr>
          <w:rFonts w:ascii="Arial" w:cs="Arial" w:eastAsia="Arial" w:hAnsi="Arial"/>
          <w:sz w:val="19"/>
          <w:szCs w:val="19"/>
          <w:color w:val="363636"/>
        </w:rPr>
        <w:t>t h</w:t>
      </w:r>
      <w:r>
        <w:rPr>
          <w:rFonts w:ascii="Arial" w:cs="Arial" w:eastAsia="Arial" w:hAnsi="Arial"/>
          <w:sz w:val="19"/>
          <w:szCs w:val="19"/>
          <w:color w:val="4F4F4F"/>
        </w:rPr>
        <w:t>e</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will</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4F4F4F"/>
        </w:rPr>
        <w:t>no</w:t>
      </w:r>
      <w:r>
        <w:rPr>
          <w:rFonts w:ascii="Arial" w:cs="Arial" w:eastAsia="Arial" w:hAnsi="Arial"/>
          <w:sz w:val="19"/>
          <w:szCs w:val="19"/>
          <w:color w:val="363636"/>
        </w:rPr>
        <w:t>t</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4F4F4F"/>
        </w:rPr>
        <w:t>be</w:t>
      </w:r>
      <w:r>
        <w:rPr>
          <w:rFonts w:ascii="Arial" w:cs="Arial" w:eastAsia="Arial" w:hAnsi="Arial"/>
          <w:sz w:val="19"/>
          <w:szCs w:val="19"/>
          <w:b w:val="1"/>
          <w:bCs w:val="1"/>
          <w:i w:val="1"/>
          <w:iCs w:val="1"/>
          <w:color w:val="4F4F4F"/>
        </w:rPr>
        <w:t xml:space="preserve"> </w:t>
      </w:r>
      <w:r>
        <w:rPr>
          <w:rFonts w:ascii="Arial" w:cs="Arial" w:eastAsia="Arial" w:hAnsi="Arial"/>
          <w:sz w:val="19"/>
          <w:szCs w:val="19"/>
          <w:color w:val="363636"/>
        </w:rPr>
        <w:t>h</w:t>
      </w:r>
      <w:r>
        <w:rPr>
          <w:rFonts w:ascii="Arial" w:cs="Arial" w:eastAsia="Arial" w:hAnsi="Arial"/>
          <w:sz w:val="19"/>
          <w:szCs w:val="19"/>
          <w:color w:val="4F4F4F"/>
        </w:rPr>
        <w:t>e</w:t>
      </w:r>
      <w:r>
        <w:rPr>
          <w:rFonts w:ascii="Arial" w:cs="Arial" w:eastAsia="Arial" w:hAnsi="Arial"/>
          <w:sz w:val="19"/>
          <w:szCs w:val="19"/>
          <w:color w:val="363636"/>
        </w:rPr>
        <w:t>ld</w:t>
      </w:r>
    </w:p>
    <w:p>
      <w:pPr>
        <w:spacing w:after="0" w:line="11" w:lineRule="exact"/>
        <w:rPr>
          <w:rFonts w:ascii="Arial" w:cs="Arial" w:eastAsia="Arial" w:hAnsi="Arial"/>
          <w:sz w:val="19"/>
          <w:szCs w:val="19"/>
          <w:color w:val="363636"/>
        </w:rPr>
      </w:pPr>
    </w:p>
    <w:p>
      <w:pPr>
        <w:ind w:left="20"/>
        <w:spacing w:after="0" w:line="241" w:lineRule="auto"/>
        <w:rPr>
          <w:rFonts w:ascii="Arial" w:cs="Arial" w:eastAsia="Arial" w:hAnsi="Arial"/>
          <w:sz w:val="19"/>
          <w:szCs w:val="19"/>
          <w:color w:val="363636"/>
        </w:rPr>
      </w:pPr>
      <w:r>
        <w:rPr>
          <w:rFonts w:ascii="Arial" w:cs="Arial" w:eastAsia="Arial" w:hAnsi="Arial"/>
          <w:sz w:val="20"/>
          <w:szCs w:val="20"/>
          <w:color w:val="4F4F4F"/>
        </w:rPr>
        <w:t>c</w:t>
      </w:r>
      <w:r>
        <w:rPr>
          <w:rFonts w:ascii="Arial" w:cs="Arial" w:eastAsia="Arial" w:hAnsi="Arial"/>
          <w:sz w:val="20"/>
          <w:szCs w:val="20"/>
          <w:color w:val="363636"/>
        </w:rPr>
        <w:t>rimin</w:t>
      </w:r>
      <w:r>
        <w:rPr>
          <w:rFonts w:ascii="Arial" w:cs="Arial" w:eastAsia="Arial" w:hAnsi="Arial"/>
          <w:sz w:val="20"/>
          <w:szCs w:val="20"/>
          <w:color w:val="4F4F4F"/>
        </w:rPr>
        <w:t>a</w:t>
      </w:r>
      <w:r>
        <w:rPr>
          <w:rFonts w:ascii="Arial" w:cs="Arial" w:eastAsia="Arial" w:hAnsi="Arial"/>
          <w:sz w:val="20"/>
          <w:szCs w:val="20"/>
          <w:color w:val="363636"/>
        </w:rPr>
        <w:t>ll</w:t>
      </w:r>
      <w:r>
        <w:rPr>
          <w:rFonts w:ascii="Arial" w:cs="Arial" w:eastAsia="Arial" w:hAnsi="Arial"/>
          <w:sz w:val="20"/>
          <w:szCs w:val="20"/>
          <w:color w:val="4F4F4F"/>
        </w:rPr>
        <w:t>y o</w:t>
      </w:r>
      <w:r>
        <w:rPr>
          <w:rFonts w:ascii="Arial" w:cs="Arial" w:eastAsia="Arial" w:hAnsi="Arial"/>
          <w:sz w:val="20"/>
          <w:szCs w:val="20"/>
          <w:color w:val="363636"/>
        </w:rPr>
        <w:t>r</w:t>
      </w:r>
      <w:r>
        <w:rPr>
          <w:rFonts w:ascii="Arial" w:cs="Arial" w:eastAsia="Arial" w:hAnsi="Arial"/>
          <w:sz w:val="20"/>
          <w:szCs w:val="20"/>
          <w:color w:val="4F4F4F"/>
        </w:rPr>
        <w:t xml:space="preserve"> c</w:t>
      </w:r>
      <w:r>
        <w:rPr>
          <w:rFonts w:ascii="Arial" w:cs="Arial" w:eastAsia="Arial" w:hAnsi="Arial"/>
          <w:sz w:val="20"/>
          <w:szCs w:val="20"/>
          <w:color w:val="363636"/>
        </w:rPr>
        <w:t>i</w:t>
      </w:r>
      <w:r>
        <w:rPr>
          <w:rFonts w:ascii="Arial" w:cs="Arial" w:eastAsia="Arial" w:hAnsi="Arial"/>
          <w:sz w:val="20"/>
          <w:szCs w:val="20"/>
          <w:color w:val="4F4F4F"/>
        </w:rPr>
        <w:t>v</w:t>
      </w:r>
      <w:r>
        <w:rPr>
          <w:rFonts w:ascii="Arial" w:cs="Arial" w:eastAsia="Arial" w:hAnsi="Arial"/>
          <w:sz w:val="20"/>
          <w:szCs w:val="20"/>
          <w:color w:val="363636"/>
        </w:rPr>
        <w:t>ill</w:t>
      </w:r>
      <w:r>
        <w:rPr>
          <w:rFonts w:ascii="Arial" w:cs="Arial" w:eastAsia="Arial" w:hAnsi="Arial"/>
          <w:sz w:val="20"/>
          <w:szCs w:val="20"/>
          <w:color w:val="4F4F4F"/>
        </w:rPr>
        <w:t xml:space="preserve">y </w:t>
      </w:r>
      <w:r>
        <w:rPr>
          <w:rFonts w:ascii="Arial" w:cs="Arial" w:eastAsia="Arial" w:hAnsi="Arial"/>
          <w:sz w:val="20"/>
          <w:szCs w:val="20"/>
          <w:color w:val="363636"/>
        </w:rPr>
        <w:t>l</w:t>
      </w:r>
      <w:r>
        <w:rPr>
          <w:rFonts w:ascii="Arial" w:cs="Arial" w:eastAsia="Arial" w:hAnsi="Arial"/>
          <w:sz w:val="20"/>
          <w:szCs w:val="20"/>
          <w:color w:val="4F4F4F"/>
        </w:rPr>
        <w:t>iab</w:t>
      </w:r>
      <w:r>
        <w:rPr>
          <w:rFonts w:ascii="Arial" w:cs="Arial" w:eastAsia="Arial" w:hAnsi="Arial"/>
          <w:sz w:val="20"/>
          <w:szCs w:val="20"/>
          <w:color w:val="363636"/>
        </w:rPr>
        <w:t>l</w:t>
      </w:r>
      <w:r>
        <w:rPr>
          <w:rFonts w:ascii="Arial" w:cs="Arial" w:eastAsia="Arial" w:hAnsi="Arial"/>
          <w:sz w:val="20"/>
          <w:szCs w:val="20"/>
          <w:color w:val="4F4F4F"/>
        </w:rPr>
        <w:t xml:space="preserve">e </w:t>
      </w:r>
      <w:r>
        <w:rPr>
          <w:rFonts w:ascii="Arial" w:cs="Arial" w:eastAsia="Arial" w:hAnsi="Arial"/>
          <w:sz w:val="20"/>
          <w:szCs w:val="20"/>
          <w:color w:val="363636"/>
        </w:rPr>
        <w:t>u</w:t>
      </w:r>
      <w:r>
        <w:rPr>
          <w:rFonts w:ascii="Arial" w:cs="Arial" w:eastAsia="Arial" w:hAnsi="Arial"/>
          <w:sz w:val="20"/>
          <w:szCs w:val="20"/>
          <w:color w:val="4F4F4F"/>
        </w:rPr>
        <w:t>n</w:t>
      </w:r>
      <w:r>
        <w:rPr>
          <w:rFonts w:ascii="Arial" w:cs="Arial" w:eastAsia="Arial" w:hAnsi="Arial"/>
          <w:sz w:val="20"/>
          <w:szCs w:val="20"/>
          <w:color w:val="363636"/>
        </w:rPr>
        <w:t>d</w:t>
      </w:r>
      <w:r>
        <w:rPr>
          <w:rFonts w:ascii="Arial" w:cs="Arial" w:eastAsia="Arial" w:hAnsi="Arial"/>
          <w:sz w:val="20"/>
          <w:szCs w:val="20"/>
          <w:color w:val="4F4F4F"/>
        </w:rPr>
        <w:t xml:space="preserve">er </w:t>
      </w:r>
      <w:r>
        <w:rPr>
          <w:rFonts w:ascii="Arial" w:cs="Arial" w:eastAsia="Arial" w:hAnsi="Arial"/>
          <w:sz w:val="20"/>
          <w:szCs w:val="20"/>
          <w:color w:val="363636"/>
        </w:rPr>
        <w:t>an</w:t>
      </w:r>
      <w:r>
        <w:rPr>
          <w:rFonts w:ascii="Arial" w:cs="Arial" w:eastAsia="Arial" w:hAnsi="Arial"/>
          <w:sz w:val="20"/>
          <w:szCs w:val="20"/>
          <w:color w:val="4F4F4F"/>
        </w:rPr>
        <w:t>y fede</w:t>
      </w:r>
      <w:r>
        <w:rPr>
          <w:rFonts w:ascii="Arial" w:cs="Arial" w:eastAsia="Arial" w:hAnsi="Arial"/>
          <w:sz w:val="20"/>
          <w:szCs w:val="20"/>
          <w:color w:val="363636"/>
        </w:rPr>
        <w:t>ral</w:t>
      </w:r>
      <w:r>
        <w:rPr>
          <w:rFonts w:ascii="Arial" w:cs="Arial" w:eastAsia="Arial" w:hAnsi="Arial"/>
          <w:sz w:val="20"/>
          <w:szCs w:val="20"/>
          <w:color w:val="4F4F4F"/>
        </w:rPr>
        <w:t xml:space="preserve"> or s</w:t>
      </w:r>
      <w:r>
        <w:rPr>
          <w:rFonts w:ascii="Arial" w:cs="Arial" w:eastAsia="Arial" w:hAnsi="Arial"/>
          <w:sz w:val="20"/>
          <w:szCs w:val="20"/>
          <w:color w:val="363636"/>
        </w:rPr>
        <w:t>t</w:t>
      </w:r>
      <w:r>
        <w:rPr>
          <w:rFonts w:ascii="Arial" w:cs="Arial" w:eastAsia="Arial" w:hAnsi="Arial"/>
          <w:sz w:val="20"/>
          <w:szCs w:val="20"/>
          <w:color w:val="4F4F4F"/>
        </w:rPr>
        <w:t>a</w:t>
      </w:r>
      <w:r>
        <w:rPr>
          <w:rFonts w:ascii="Arial" w:cs="Arial" w:eastAsia="Arial" w:hAnsi="Arial"/>
          <w:sz w:val="20"/>
          <w:szCs w:val="20"/>
          <w:color w:val="363636"/>
        </w:rPr>
        <w:t>t</w:t>
      </w:r>
      <w:r>
        <w:rPr>
          <w:rFonts w:ascii="Arial" w:cs="Arial" w:eastAsia="Arial" w:hAnsi="Arial"/>
          <w:sz w:val="20"/>
          <w:szCs w:val="20"/>
          <w:color w:val="4F4F4F"/>
        </w:rPr>
        <w:t>e tra</w:t>
      </w:r>
      <w:r>
        <w:rPr>
          <w:rFonts w:ascii="Arial" w:cs="Arial" w:eastAsia="Arial" w:hAnsi="Arial"/>
          <w:sz w:val="20"/>
          <w:szCs w:val="20"/>
          <w:color w:val="363636"/>
        </w:rPr>
        <w:t>d</w:t>
      </w:r>
      <w:r>
        <w:rPr>
          <w:rFonts w:ascii="Arial" w:cs="Arial" w:eastAsia="Arial" w:hAnsi="Arial"/>
          <w:sz w:val="20"/>
          <w:szCs w:val="20"/>
          <w:color w:val="4F4F4F"/>
        </w:rPr>
        <w:t>e secre</w:t>
      </w:r>
      <w:r>
        <w:rPr>
          <w:rFonts w:ascii="Arial" w:cs="Arial" w:eastAsia="Arial" w:hAnsi="Arial"/>
          <w:sz w:val="20"/>
          <w:szCs w:val="20"/>
          <w:color w:val="363636"/>
        </w:rPr>
        <w:t>t l</w:t>
      </w:r>
      <w:r>
        <w:rPr>
          <w:rFonts w:ascii="Arial" w:cs="Arial" w:eastAsia="Arial" w:hAnsi="Arial"/>
          <w:sz w:val="20"/>
          <w:szCs w:val="20"/>
          <w:color w:val="4F4F4F"/>
        </w:rPr>
        <w:t>aw for t</w:t>
      </w:r>
      <w:r>
        <w:rPr>
          <w:rFonts w:ascii="Arial" w:cs="Arial" w:eastAsia="Arial" w:hAnsi="Arial"/>
          <w:sz w:val="20"/>
          <w:szCs w:val="20"/>
          <w:color w:val="363636"/>
        </w:rPr>
        <w:t>h</w:t>
      </w:r>
      <w:r>
        <w:rPr>
          <w:rFonts w:ascii="Arial" w:cs="Arial" w:eastAsia="Arial" w:hAnsi="Arial"/>
          <w:sz w:val="20"/>
          <w:szCs w:val="20"/>
          <w:color w:val="4F4F4F"/>
        </w:rPr>
        <w:t>e d</w:t>
      </w:r>
      <w:r>
        <w:rPr>
          <w:rFonts w:ascii="Arial" w:cs="Arial" w:eastAsia="Arial" w:hAnsi="Arial"/>
          <w:sz w:val="20"/>
          <w:szCs w:val="20"/>
          <w:color w:val="363636"/>
        </w:rPr>
        <w:t>i</w:t>
      </w:r>
      <w:r>
        <w:rPr>
          <w:rFonts w:ascii="Arial" w:cs="Arial" w:eastAsia="Arial" w:hAnsi="Arial"/>
          <w:sz w:val="20"/>
          <w:szCs w:val="20"/>
          <w:color w:val="4F4F4F"/>
        </w:rPr>
        <w:t>sclos</w:t>
      </w:r>
      <w:r>
        <w:rPr>
          <w:rFonts w:ascii="Arial" w:cs="Arial" w:eastAsia="Arial" w:hAnsi="Arial"/>
          <w:sz w:val="20"/>
          <w:szCs w:val="20"/>
          <w:color w:val="363636"/>
        </w:rPr>
        <w:t>ur</w:t>
      </w:r>
      <w:r>
        <w:rPr>
          <w:rFonts w:ascii="Arial" w:cs="Arial" w:eastAsia="Arial" w:hAnsi="Arial"/>
          <w:sz w:val="20"/>
          <w:szCs w:val="20"/>
          <w:color w:val="4F4F4F"/>
        </w:rPr>
        <w:t>e o</w:t>
      </w:r>
      <w:r>
        <w:rPr>
          <w:rFonts w:ascii="Arial" w:cs="Arial" w:eastAsia="Arial" w:hAnsi="Arial"/>
          <w:sz w:val="20"/>
          <w:szCs w:val="20"/>
          <w:color w:val="363636"/>
        </w:rPr>
        <w:t>f</w:t>
      </w:r>
      <w:r>
        <w:rPr>
          <w:rFonts w:ascii="Arial" w:cs="Arial" w:eastAsia="Arial" w:hAnsi="Arial"/>
          <w:sz w:val="20"/>
          <w:szCs w:val="20"/>
          <w:color w:val="4F4F4F"/>
        </w:rPr>
        <w:t xml:space="preserve"> a </w:t>
      </w:r>
      <w:r>
        <w:rPr>
          <w:rFonts w:ascii="Arial" w:cs="Arial" w:eastAsia="Arial" w:hAnsi="Arial"/>
          <w:sz w:val="20"/>
          <w:szCs w:val="20"/>
          <w:color w:val="363636"/>
        </w:rPr>
        <w:t>t</w:t>
      </w:r>
      <w:r>
        <w:rPr>
          <w:rFonts w:ascii="Arial" w:cs="Arial" w:eastAsia="Arial" w:hAnsi="Arial"/>
          <w:sz w:val="20"/>
          <w:szCs w:val="20"/>
          <w:color w:val="4F4F4F"/>
        </w:rPr>
        <w:t>rade secre</w:t>
      </w:r>
      <w:r>
        <w:rPr>
          <w:rFonts w:ascii="Arial" w:cs="Arial" w:eastAsia="Arial" w:hAnsi="Arial"/>
          <w:sz w:val="20"/>
          <w:szCs w:val="20"/>
          <w:color w:val="363636"/>
        </w:rPr>
        <w:t>t th</w:t>
      </w:r>
      <w:r>
        <w:rPr>
          <w:rFonts w:ascii="Arial" w:cs="Arial" w:eastAsia="Arial" w:hAnsi="Arial"/>
          <w:sz w:val="20"/>
          <w:szCs w:val="20"/>
          <w:color w:val="4F4F4F"/>
        </w:rPr>
        <w:t>a</w:t>
      </w:r>
      <w:r>
        <w:rPr>
          <w:rFonts w:ascii="Arial" w:cs="Arial" w:eastAsia="Arial" w:hAnsi="Arial"/>
          <w:sz w:val="20"/>
          <w:szCs w:val="20"/>
          <w:color w:val="363636"/>
        </w:rPr>
        <w:t>t:</w:t>
      </w:r>
      <w:r>
        <w:rPr>
          <w:rFonts w:ascii="Arial" w:cs="Arial" w:eastAsia="Arial" w:hAnsi="Arial"/>
          <w:sz w:val="20"/>
          <w:szCs w:val="20"/>
          <w:color w:val="4F4F4F"/>
        </w:rPr>
        <w:t xml:space="preserve"> (</w:t>
      </w:r>
      <w:r>
        <w:rPr>
          <w:rFonts w:ascii="Arial" w:cs="Arial" w:eastAsia="Arial" w:hAnsi="Arial"/>
          <w:sz w:val="20"/>
          <w:szCs w:val="20"/>
          <w:color w:val="363636"/>
        </w:rPr>
        <w:t>i</w:t>
      </w:r>
      <w:r>
        <w:rPr>
          <w:rFonts w:ascii="Arial" w:cs="Arial" w:eastAsia="Arial" w:hAnsi="Arial"/>
          <w:sz w:val="20"/>
          <w:szCs w:val="20"/>
          <w:color w:val="4F4F4F"/>
        </w:rPr>
        <w:t>) is ma</w:t>
      </w:r>
      <w:r>
        <w:rPr>
          <w:rFonts w:ascii="Arial" w:cs="Arial" w:eastAsia="Arial" w:hAnsi="Arial"/>
          <w:sz w:val="20"/>
          <w:szCs w:val="20"/>
          <w:color w:val="363636"/>
        </w:rPr>
        <w:t>d</w:t>
      </w:r>
      <w:r>
        <w:rPr>
          <w:rFonts w:ascii="Arial" w:cs="Arial" w:eastAsia="Arial" w:hAnsi="Arial"/>
          <w:sz w:val="20"/>
          <w:szCs w:val="20"/>
          <w:color w:val="4F4F4F"/>
        </w:rPr>
        <w:t xml:space="preserve">e </w:t>
      </w:r>
      <w:r>
        <w:rPr>
          <w:rFonts w:ascii="Arial" w:cs="Arial" w:eastAsia="Arial" w:hAnsi="Arial"/>
          <w:sz w:val="20"/>
          <w:szCs w:val="20"/>
          <w:color w:val="363636"/>
        </w:rPr>
        <w:t>in</w:t>
      </w:r>
      <w:r>
        <w:rPr>
          <w:rFonts w:ascii="Arial" w:cs="Arial" w:eastAsia="Arial" w:hAnsi="Arial"/>
          <w:sz w:val="20"/>
          <w:szCs w:val="20"/>
          <w:color w:val="4F4F4F"/>
        </w:rPr>
        <w:t xml:space="preserve"> co</w:t>
      </w:r>
      <w:r>
        <w:rPr>
          <w:rFonts w:ascii="Arial" w:cs="Arial" w:eastAsia="Arial" w:hAnsi="Arial"/>
          <w:sz w:val="20"/>
          <w:szCs w:val="20"/>
          <w:color w:val="363636"/>
        </w:rPr>
        <w:t>n</w:t>
      </w:r>
      <w:r>
        <w:rPr>
          <w:rFonts w:ascii="Arial" w:cs="Arial" w:eastAsia="Arial" w:hAnsi="Arial"/>
          <w:sz w:val="20"/>
          <w:szCs w:val="20"/>
          <w:color w:val="4F4F4F"/>
        </w:rPr>
        <w:t>fi</w:t>
      </w:r>
      <w:r>
        <w:rPr>
          <w:rFonts w:ascii="Arial" w:cs="Arial" w:eastAsia="Arial" w:hAnsi="Arial"/>
          <w:sz w:val="20"/>
          <w:szCs w:val="20"/>
          <w:color w:val="363636"/>
        </w:rPr>
        <w:t>d</w:t>
      </w:r>
      <w:r>
        <w:rPr>
          <w:rFonts w:ascii="Arial" w:cs="Arial" w:eastAsia="Arial" w:hAnsi="Arial"/>
          <w:sz w:val="20"/>
          <w:szCs w:val="20"/>
          <w:color w:val="4F4F4F"/>
        </w:rPr>
        <w:t>e</w:t>
      </w:r>
      <w:r>
        <w:rPr>
          <w:rFonts w:ascii="Arial" w:cs="Arial" w:eastAsia="Arial" w:hAnsi="Arial"/>
          <w:sz w:val="20"/>
          <w:szCs w:val="20"/>
          <w:color w:val="363636"/>
        </w:rPr>
        <w:t>n</w:t>
      </w:r>
      <w:r>
        <w:rPr>
          <w:rFonts w:ascii="Arial" w:cs="Arial" w:eastAsia="Arial" w:hAnsi="Arial"/>
          <w:sz w:val="20"/>
          <w:szCs w:val="20"/>
          <w:color w:val="4F4F4F"/>
        </w:rPr>
        <w:t xml:space="preserve">ce </w:t>
      </w:r>
      <w:r>
        <w:rPr>
          <w:rFonts w:ascii="Arial" w:cs="Arial" w:eastAsia="Arial" w:hAnsi="Arial"/>
          <w:sz w:val="20"/>
          <w:szCs w:val="20"/>
          <w:color w:val="363636"/>
        </w:rPr>
        <w:t>t</w:t>
      </w:r>
      <w:r>
        <w:rPr>
          <w:rFonts w:ascii="Arial" w:cs="Arial" w:eastAsia="Arial" w:hAnsi="Arial"/>
          <w:sz w:val="20"/>
          <w:szCs w:val="20"/>
          <w:color w:val="4F4F4F"/>
        </w:rPr>
        <w:t>o a fe</w:t>
      </w:r>
      <w:r>
        <w:rPr>
          <w:rFonts w:ascii="Arial" w:cs="Arial" w:eastAsia="Arial" w:hAnsi="Arial"/>
          <w:sz w:val="20"/>
          <w:szCs w:val="20"/>
          <w:color w:val="363636"/>
        </w:rPr>
        <w:t>d</w:t>
      </w:r>
      <w:r>
        <w:rPr>
          <w:rFonts w:ascii="Arial" w:cs="Arial" w:eastAsia="Arial" w:hAnsi="Arial"/>
          <w:sz w:val="20"/>
          <w:szCs w:val="20"/>
          <w:color w:val="4F4F4F"/>
        </w:rPr>
        <w:t>era</w:t>
      </w:r>
      <w:r>
        <w:rPr>
          <w:rFonts w:ascii="Arial" w:cs="Arial" w:eastAsia="Arial" w:hAnsi="Arial"/>
          <w:sz w:val="20"/>
          <w:szCs w:val="20"/>
          <w:color w:val="262626"/>
        </w:rPr>
        <w:t>l</w:t>
      </w:r>
      <w:r>
        <w:rPr>
          <w:rFonts w:ascii="Arial" w:cs="Arial" w:eastAsia="Arial" w:hAnsi="Arial"/>
          <w:sz w:val="20"/>
          <w:szCs w:val="20"/>
          <w:color w:val="4F4F4F"/>
        </w:rPr>
        <w:t>, s</w:t>
      </w:r>
      <w:r>
        <w:rPr>
          <w:rFonts w:ascii="Arial" w:cs="Arial" w:eastAsia="Arial" w:hAnsi="Arial"/>
          <w:sz w:val="20"/>
          <w:szCs w:val="20"/>
          <w:color w:val="363636"/>
        </w:rPr>
        <w:t>t</w:t>
      </w:r>
      <w:r>
        <w:rPr>
          <w:rFonts w:ascii="Arial" w:cs="Arial" w:eastAsia="Arial" w:hAnsi="Arial"/>
          <w:sz w:val="20"/>
          <w:szCs w:val="20"/>
          <w:color w:val="4F4F4F"/>
        </w:rPr>
        <w:t>ate, or loca</w:t>
      </w:r>
      <w:r>
        <w:rPr>
          <w:rFonts w:ascii="Arial" w:cs="Arial" w:eastAsia="Arial" w:hAnsi="Arial"/>
          <w:sz w:val="20"/>
          <w:szCs w:val="20"/>
          <w:color w:val="363636"/>
        </w:rPr>
        <w:t>l</w:t>
      </w:r>
      <w:r>
        <w:rPr>
          <w:rFonts w:ascii="Arial" w:cs="Arial" w:eastAsia="Arial" w:hAnsi="Arial"/>
          <w:sz w:val="20"/>
          <w:szCs w:val="20"/>
          <w:color w:val="4F4F4F"/>
        </w:rPr>
        <w:t xml:space="preserve"> government o</w:t>
      </w:r>
      <w:r>
        <w:rPr>
          <w:rFonts w:ascii="Arial" w:cs="Arial" w:eastAsia="Arial" w:hAnsi="Arial"/>
          <w:sz w:val="20"/>
          <w:szCs w:val="20"/>
          <w:color w:val="363636"/>
        </w:rPr>
        <w:t>ffi</w:t>
      </w:r>
      <w:r>
        <w:rPr>
          <w:rFonts w:ascii="Arial" w:cs="Arial" w:eastAsia="Arial" w:hAnsi="Arial"/>
          <w:sz w:val="20"/>
          <w:szCs w:val="20"/>
          <w:color w:val="4F4F4F"/>
        </w:rPr>
        <w:t>c</w:t>
      </w:r>
      <w:r>
        <w:rPr>
          <w:rFonts w:ascii="Arial" w:cs="Arial" w:eastAsia="Arial" w:hAnsi="Arial"/>
          <w:sz w:val="20"/>
          <w:szCs w:val="20"/>
          <w:color w:val="363636"/>
        </w:rPr>
        <w:t>i</w:t>
      </w:r>
      <w:r>
        <w:rPr>
          <w:rFonts w:ascii="Arial" w:cs="Arial" w:eastAsia="Arial" w:hAnsi="Arial"/>
          <w:sz w:val="20"/>
          <w:szCs w:val="20"/>
          <w:color w:val="4F4F4F"/>
        </w:rPr>
        <w:t>a</w:t>
      </w:r>
      <w:r>
        <w:rPr>
          <w:rFonts w:ascii="Arial" w:cs="Arial" w:eastAsia="Arial" w:hAnsi="Arial"/>
          <w:sz w:val="20"/>
          <w:szCs w:val="20"/>
          <w:color w:val="262626"/>
        </w:rPr>
        <w:t>l</w:t>
      </w:r>
      <w:r>
        <w:rPr>
          <w:rFonts w:ascii="Arial" w:cs="Arial" w:eastAsia="Arial" w:hAnsi="Arial"/>
          <w:sz w:val="20"/>
          <w:szCs w:val="20"/>
          <w:color w:val="4F4F4F"/>
        </w:rPr>
        <w:t>, e</w:t>
      </w:r>
      <w:r>
        <w:rPr>
          <w:rFonts w:ascii="Arial" w:cs="Arial" w:eastAsia="Arial" w:hAnsi="Arial"/>
          <w:sz w:val="20"/>
          <w:szCs w:val="20"/>
          <w:color w:val="363636"/>
        </w:rPr>
        <w:t>i</w:t>
      </w:r>
      <w:r>
        <w:rPr>
          <w:rFonts w:ascii="Arial" w:cs="Arial" w:eastAsia="Arial" w:hAnsi="Arial"/>
          <w:sz w:val="20"/>
          <w:szCs w:val="20"/>
          <w:color w:val="4F4F4F"/>
        </w:rPr>
        <w:t>t</w:t>
      </w:r>
      <w:r>
        <w:rPr>
          <w:rFonts w:ascii="Arial" w:cs="Arial" w:eastAsia="Arial" w:hAnsi="Arial"/>
          <w:sz w:val="20"/>
          <w:szCs w:val="20"/>
          <w:color w:val="363636"/>
        </w:rPr>
        <w:t>h</w:t>
      </w:r>
      <w:r>
        <w:rPr>
          <w:rFonts w:ascii="Arial" w:cs="Arial" w:eastAsia="Arial" w:hAnsi="Arial"/>
          <w:sz w:val="20"/>
          <w:szCs w:val="20"/>
          <w:color w:val="4F4F4F"/>
        </w:rPr>
        <w:t>e</w:t>
      </w:r>
      <w:r>
        <w:rPr>
          <w:rFonts w:ascii="Arial" w:cs="Arial" w:eastAsia="Arial" w:hAnsi="Arial"/>
          <w:sz w:val="20"/>
          <w:szCs w:val="20"/>
          <w:color w:val="363636"/>
        </w:rPr>
        <w:t>r dir</w:t>
      </w:r>
      <w:r>
        <w:rPr>
          <w:rFonts w:ascii="Arial" w:cs="Arial" w:eastAsia="Arial" w:hAnsi="Arial"/>
          <w:sz w:val="20"/>
          <w:szCs w:val="20"/>
          <w:color w:val="4F4F4F"/>
        </w:rPr>
        <w:t>ec</w:t>
      </w:r>
      <w:r>
        <w:rPr>
          <w:rFonts w:ascii="Arial" w:cs="Arial" w:eastAsia="Arial" w:hAnsi="Arial"/>
          <w:sz w:val="20"/>
          <w:szCs w:val="20"/>
          <w:color w:val="363636"/>
        </w:rPr>
        <w:t>tl</w:t>
      </w:r>
      <w:r>
        <w:rPr>
          <w:rFonts w:ascii="Arial" w:cs="Arial" w:eastAsia="Arial" w:hAnsi="Arial"/>
          <w:sz w:val="20"/>
          <w:szCs w:val="20"/>
          <w:color w:val="4F4F4F"/>
        </w:rPr>
        <w:t xml:space="preserve">y or </w:t>
      </w:r>
      <w:r>
        <w:rPr>
          <w:rFonts w:ascii="Arial" w:cs="Arial" w:eastAsia="Arial" w:hAnsi="Arial"/>
          <w:sz w:val="20"/>
          <w:szCs w:val="20"/>
          <w:color w:val="363636"/>
        </w:rPr>
        <w:t>indi</w:t>
      </w:r>
      <w:r>
        <w:rPr>
          <w:rFonts w:ascii="Arial" w:cs="Arial" w:eastAsia="Arial" w:hAnsi="Arial"/>
          <w:sz w:val="20"/>
          <w:szCs w:val="20"/>
          <w:color w:val="4F4F4F"/>
        </w:rPr>
        <w:t>rec</w:t>
      </w:r>
      <w:r>
        <w:rPr>
          <w:rFonts w:ascii="Arial" w:cs="Arial" w:eastAsia="Arial" w:hAnsi="Arial"/>
          <w:sz w:val="20"/>
          <w:szCs w:val="20"/>
          <w:color w:val="363636"/>
        </w:rPr>
        <w:t>tl</w:t>
      </w:r>
      <w:r>
        <w:rPr>
          <w:rFonts w:ascii="Arial" w:cs="Arial" w:eastAsia="Arial" w:hAnsi="Arial"/>
          <w:sz w:val="20"/>
          <w:szCs w:val="20"/>
          <w:color w:val="4F4F4F"/>
        </w:rPr>
        <w:t>y</w:t>
      </w:r>
      <w:r>
        <w:rPr>
          <w:rFonts w:ascii="Arial" w:cs="Arial" w:eastAsia="Arial" w:hAnsi="Arial"/>
          <w:sz w:val="20"/>
          <w:szCs w:val="20"/>
          <w:color w:val="707270"/>
        </w:rPr>
        <w:t>,</w:t>
      </w:r>
      <w:r>
        <w:rPr>
          <w:rFonts w:ascii="Arial" w:cs="Arial" w:eastAsia="Arial" w:hAnsi="Arial"/>
          <w:sz w:val="20"/>
          <w:szCs w:val="20"/>
          <w:color w:val="4F4F4F"/>
        </w:rPr>
        <w:t xml:space="preserve"> or </w:t>
      </w:r>
      <w:r>
        <w:rPr>
          <w:rFonts w:ascii="Arial" w:cs="Arial" w:eastAsia="Arial" w:hAnsi="Arial"/>
          <w:sz w:val="20"/>
          <w:szCs w:val="20"/>
          <w:color w:val="363636"/>
        </w:rPr>
        <w:t>t</w:t>
      </w:r>
      <w:r>
        <w:rPr>
          <w:rFonts w:ascii="Arial" w:cs="Arial" w:eastAsia="Arial" w:hAnsi="Arial"/>
          <w:sz w:val="20"/>
          <w:szCs w:val="20"/>
          <w:color w:val="4F4F4F"/>
        </w:rPr>
        <w:t>o a</w:t>
      </w:r>
      <w:r>
        <w:rPr>
          <w:rFonts w:ascii="Arial" w:cs="Arial" w:eastAsia="Arial" w:hAnsi="Arial"/>
          <w:sz w:val="20"/>
          <w:szCs w:val="20"/>
          <w:color w:val="363636"/>
        </w:rPr>
        <w:t>n</w:t>
      </w:r>
      <w:r>
        <w:rPr>
          <w:rFonts w:ascii="Arial" w:cs="Arial" w:eastAsia="Arial" w:hAnsi="Arial"/>
          <w:sz w:val="20"/>
          <w:szCs w:val="20"/>
          <w:color w:val="4F4F4F"/>
        </w:rPr>
        <w:t xml:space="preserve"> a</w:t>
      </w:r>
      <w:r>
        <w:rPr>
          <w:rFonts w:ascii="Arial" w:cs="Arial" w:eastAsia="Arial" w:hAnsi="Arial"/>
          <w:sz w:val="20"/>
          <w:szCs w:val="20"/>
          <w:color w:val="363636"/>
        </w:rPr>
        <w:t>tt</w:t>
      </w:r>
      <w:r>
        <w:rPr>
          <w:rFonts w:ascii="Arial" w:cs="Arial" w:eastAsia="Arial" w:hAnsi="Arial"/>
          <w:sz w:val="20"/>
          <w:szCs w:val="20"/>
          <w:color w:val="4F4F4F"/>
        </w:rPr>
        <w:t>orney</w:t>
      </w:r>
      <w:r>
        <w:rPr>
          <w:rFonts w:ascii="Arial" w:cs="Arial" w:eastAsia="Arial" w:hAnsi="Arial"/>
          <w:sz w:val="20"/>
          <w:szCs w:val="20"/>
          <w:color w:val="707270"/>
        </w:rPr>
        <w:t>,</w:t>
      </w:r>
      <w:r>
        <w:rPr>
          <w:rFonts w:ascii="Arial" w:cs="Arial" w:eastAsia="Arial" w:hAnsi="Arial"/>
          <w:sz w:val="20"/>
          <w:szCs w:val="20"/>
          <w:color w:val="4F4F4F"/>
        </w:rPr>
        <w:t xml:space="preserve"> a</w:t>
      </w:r>
      <w:r>
        <w:rPr>
          <w:rFonts w:ascii="Arial" w:cs="Arial" w:eastAsia="Arial" w:hAnsi="Arial"/>
          <w:sz w:val="20"/>
          <w:szCs w:val="20"/>
          <w:color w:val="363636"/>
        </w:rPr>
        <w:t>n</w:t>
      </w:r>
      <w:r>
        <w:rPr>
          <w:rFonts w:ascii="Arial" w:cs="Arial" w:eastAsia="Arial" w:hAnsi="Arial"/>
          <w:sz w:val="20"/>
          <w:szCs w:val="20"/>
          <w:color w:val="4F4F4F"/>
        </w:rPr>
        <w:t>d so</w:t>
      </w:r>
      <w:r>
        <w:rPr>
          <w:rFonts w:ascii="Arial" w:cs="Arial" w:eastAsia="Arial" w:hAnsi="Arial"/>
          <w:sz w:val="20"/>
          <w:szCs w:val="20"/>
          <w:color w:val="363636"/>
        </w:rPr>
        <w:t>l</w:t>
      </w:r>
      <w:r>
        <w:rPr>
          <w:rFonts w:ascii="Arial" w:cs="Arial" w:eastAsia="Arial" w:hAnsi="Arial"/>
          <w:sz w:val="20"/>
          <w:szCs w:val="20"/>
          <w:color w:val="4F4F4F"/>
        </w:rPr>
        <w:t>e</w:t>
      </w:r>
      <w:r>
        <w:rPr>
          <w:rFonts w:ascii="Arial" w:cs="Arial" w:eastAsia="Arial" w:hAnsi="Arial"/>
          <w:sz w:val="20"/>
          <w:szCs w:val="20"/>
          <w:color w:val="363636"/>
        </w:rPr>
        <w:t>l</w:t>
      </w:r>
      <w:r>
        <w:rPr>
          <w:rFonts w:ascii="Arial" w:cs="Arial" w:eastAsia="Arial" w:hAnsi="Arial"/>
          <w:sz w:val="20"/>
          <w:szCs w:val="20"/>
          <w:color w:val="4F4F4F"/>
        </w:rPr>
        <w:t>y fo</w:t>
      </w:r>
      <w:r>
        <w:rPr>
          <w:rFonts w:ascii="Arial" w:cs="Arial" w:eastAsia="Arial" w:hAnsi="Arial"/>
          <w:sz w:val="20"/>
          <w:szCs w:val="20"/>
          <w:color w:val="363636"/>
        </w:rPr>
        <w:t>r th</w:t>
      </w:r>
      <w:r>
        <w:rPr>
          <w:rFonts w:ascii="Arial" w:cs="Arial" w:eastAsia="Arial" w:hAnsi="Arial"/>
          <w:sz w:val="20"/>
          <w:szCs w:val="20"/>
          <w:color w:val="4F4F4F"/>
        </w:rPr>
        <w:t xml:space="preserve">e </w:t>
      </w:r>
      <w:r>
        <w:rPr>
          <w:rFonts w:ascii="Arial" w:cs="Arial" w:eastAsia="Arial" w:hAnsi="Arial"/>
          <w:sz w:val="20"/>
          <w:szCs w:val="20"/>
          <w:color w:val="363636"/>
        </w:rPr>
        <w:t>p</w:t>
      </w:r>
      <w:r>
        <w:rPr>
          <w:rFonts w:ascii="Arial" w:cs="Arial" w:eastAsia="Arial" w:hAnsi="Arial"/>
          <w:sz w:val="20"/>
          <w:szCs w:val="20"/>
          <w:color w:val="4F4F4F"/>
        </w:rPr>
        <w:t>u</w:t>
      </w:r>
      <w:r>
        <w:rPr>
          <w:rFonts w:ascii="Arial" w:cs="Arial" w:eastAsia="Arial" w:hAnsi="Arial"/>
          <w:sz w:val="20"/>
          <w:szCs w:val="20"/>
          <w:color w:val="363636"/>
        </w:rPr>
        <w:t>r</w:t>
      </w:r>
      <w:r>
        <w:rPr>
          <w:rFonts w:ascii="Arial" w:cs="Arial" w:eastAsia="Arial" w:hAnsi="Arial"/>
          <w:sz w:val="20"/>
          <w:szCs w:val="20"/>
          <w:color w:val="4F4F4F"/>
        </w:rPr>
        <w:t>pose of re</w:t>
      </w:r>
      <w:r>
        <w:rPr>
          <w:rFonts w:ascii="Arial" w:cs="Arial" w:eastAsia="Arial" w:hAnsi="Arial"/>
          <w:sz w:val="20"/>
          <w:szCs w:val="20"/>
          <w:color w:val="363636"/>
        </w:rPr>
        <w:t>p</w:t>
      </w:r>
      <w:r>
        <w:rPr>
          <w:rFonts w:ascii="Arial" w:cs="Arial" w:eastAsia="Arial" w:hAnsi="Arial"/>
          <w:sz w:val="20"/>
          <w:szCs w:val="20"/>
          <w:color w:val="4F4F4F"/>
        </w:rPr>
        <w:t>orti</w:t>
      </w:r>
      <w:r>
        <w:rPr>
          <w:rFonts w:ascii="Arial" w:cs="Arial" w:eastAsia="Arial" w:hAnsi="Arial"/>
          <w:sz w:val="20"/>
          <w:szCs w:val="20"/>
          <w:color w:val="363636"/>
        </w:rPr>
        <w:t>n</w:t>
      </w:r>
      <w:r>
        <w:rPr>
          <w:rFonts w:ascii="Arial" w:cs="Arial" w:eastAsia="Arial" w:hAnsi="Arial"/>
          <w:sz w:val="20"/>
          <w:szCs w:val="20"/>
          <w:color w:val="4F4F4F"/>
        </w:rPr>
        <w:t>g or</w:t>
      </w:r>
      <w:r>
        <w:rPr>
          <w:rFonts w:ascii="Arial" w:cs="Arial" w:eastAsia="Arial" w:hAnsi="Arial"/>
          <w:sz w:val="20"/>
          <w:szCs w:val="20"/>
          <w:color w:val="363636"/>
        </w:rPr>
        <w:t xml:space="preserve"> in</w:t>
      </w:r>
      <w:r>
        <w:rPr>
          <w:rFonts w:ascii="Arial" w:cs="Arial" w:eastAsia="Arial" w:hAnsi="Arial"/>
          <w:sz w:val="20"/>
          <w:szCs w:val="20"/>
          <w:color w:val="4F4F4F"/>
        </w:rPr>
        <w:t>ves</w:t>
      </w:r>
      <w:r>
        <w:rPr>
          <w:rFonts w:ascii="Arial" w:cs="Arial" w:eastAsia="Arial" w:hAnsi="Arial"/>
          <w:sz w:val="20"/>
          <w:szCs w:val="20"/>
          <w:color w:val="363636"/>
        </w:rPr>
        <w:t>t</w:t>
      </w:r>
      <w:r>
        <w:rPr>
          <w:rFonts w:ascii="Arial" w:cs="Arial" w:eastAsia="Arial" w:hAnsi="Arial"/>
          <w:sz w:val="20"/>
          <w:szCs w:val="20"/>
          <w:color w:val="4F4F4F"/>
        </w:rPr>
        <w:t>iga</w:t>
      </w:r>
      <w:r>
        <w:rPr>
          <w:rFonts w:ascii="Arial" w:cs="Arial" w:eastAsia="Arial" w:hAnsi="Arial"/>
          <w:sz w:val="20"/>
          <w:szCs w:val="20"/>
          <w:color w:val="363636"/>
        </w:rPr>
        <w:t>tin</w:t>
      </w:r>
      <w:r>
        <w:rPr>
          <w:rFonts w:ascii="Arial" w:cs="Arial" w:eastAsia="Arial" w:hAnsi="Arial"/>
          <w:sz w:val="20"/>
          <w:szCs w:val="20"/>
          <w:color w:val="4F4F4F"/>
        </w:rPr>
        <w:t>g a s</w:t>
      </w:r>
      <w:r>
        <w:rPr>
          <w:rFonts w:ascii="Arial" w:cs="Arial" w:eastAsia="Arial" w:hAnsi="Arial"/>
          <w:sz w:val="20"/>
          <w:szCs w:val="20"/>
          <w:color w:val="363636"/>
        </w:rPr>
        <w:t>u</w:t>
      </w:r>
      <w:r>
        <w:rPr>
          <w:rFonts w:ascii="Arial" w:cs="Arial" w:eastAsia="Arial" w:hAnsi="Arial"/>
          <w:sz w:val="20"/>
          <w:szCs w:val="20"/>
          <w:color w:val="4F4F4F"/>
        </w:rPr>
        <w:t>s</w:t>
      </w:r>
      <w:r>
        <w:rPr>
          <w:rFonts w:ascii="Arial" w:cs="Arial" w:eastAsia="Arial" w:hAnsi="Arial"/>
          <w:sz w:val="20"/>
          <w:szCs w:val="20"/>
          <w:color w:val="363636"/>
        </w:rPr>
        <w:t>p</w:t>
      </w:r>
      <w:r>
        <w:rPr>
          <w:rFonts w:ascii="Arial" w:cs="Arial" w:eastAsia="Arial" w:hAnsi="Arial"/>
          <w:sz w:val="20"/>
          <w:szCs w:val="20"/>
          <w:color w:val="4F4F4F"/>
        </w:rPr>
        <w:t>ected v</w:t>
      </w:r>
      <w:r>
        <w:rPr>
          <w:rFonts w:ascii="Arial" w:cs="Arial" w:eastAsia="Arial" w:hAnsi="Arial"/>
          <w:sz w:val="20"/>
          <w:szCs w:val="20"/>
          <w:color w:val="363636"/>
        </w:rPr>
        <w:t>i</w:t>
      </w:r>
      <w:r>
        <w:rPr>
          <w:rFonts w:ascii="Arial" w:cs="Arial" w:eastAsia="Arial" w:hAnsi="Arial"/>
          <w:sz w:val="20"/>
          <w:szCs w:val="20"/>
          <w:color w:val="4F4F4F"/>
        </w:rPr>
        <w:t>o</w:t>
      </w:r>
      <w:r>
        <w:rPr>
          <w:rFonts w:ascii="Arial" w:cs="Arial" w:eastAsia="Arial" w:hAnsi="Arial"/>
          <w:sz w:val="20"/>
          <w:szCs w:val="20"/>
          <w:color w:val="363636"/>
        </w:rPr>
        <w:t>l</w:t>
      </w:r>
      <w:r>
        <w:rPr>
          <w:rFonts w:ascii="Arial" w:cs="Arial" w:eastAsia="Arial" w:hAnsi="Arial"/>
          <w:sz w:val="20"/>
          <w:szCs w:val="20"/>
          <w:color w:val="4F4F4F"/>
        </w:rPr>
        <w:t>a</w:t>
      </w:r>
      <w:r>
        <w:rPr>
          <w:rFonts w:ascii="Arial" w:cs="Arial" w:eastAsia="Arial" w:hAnsi="Arial"/>
          <w:sz w:val="20"/>
          <w:szCs w:val="20"/>
          <w:color w:val="363636"/>
        </w:rPr>
        <w:t>ti</w:t>
      </w:r>
      <w:r>
        <w:rPr>
          <w:rFonts w:ascii="Arial" w:cs="Arial" w:eastAsia="Arial" w:hAnsi="Arial"/>
          <w:sz w:val="20"/>
          <w:szCs w:val="20"/>
          <w:color w:val="4F4F4F"/>
        </w:rPr>
        <w:t>o</w:t>
      </w:r>
      <w:r>
        <w:rPr>
          <w:rFonts w:ascii="Arial" w:cs="Arial" w:eastAsia="Arial" w:hAnsi="Arial"/>
          <w:sz w:val="20"/>
          <w:szCs w:val="20"/>
          <w:color w:val="363636"/>
        </w:rPr>
        <w:t xml:space="preserve">n </w:t>
      </w:r>
      <w:r>
        <w:rPr>
          <w:rFonts w:ascii="Arial" w:cs="Arial" w:eastAsia="Arial" w:hAnsi="Arial"/>
          <w:sz w:val="20"/>
          <w:szCs w:val="20"/>
          <w:color w:val="4F4F4F"/>
        </w:rPr>
        <w:t>of</w:t>
      </w:r>
      <w:r>
        <w:rPr>
          <w:rFonts w:ascii="Arial" w:cs="Arial" w:eastAsia="Arial" w:hAnsi="Arial"/>
          <w:sz w:val="20"/>
          <w:szCs w:val="20"/>
          <w:color w:val="363636"/>
        </w:rPr>
        <w:t xml:space="preserve"> l</w:t>
      </w:r>
      <w:r>
        <w:rPr>
          <w:rFonts w:ascii="Arial" w:cs="Arial" w:eastAsia="Arial" w:hAnsi="Arial"/>
          <w:sz w:val="20"/>
          <w:szCs w:val="20"/>
          <w:color w:val="4F4F4F"/>
        </w:rPr>
        <w:t>a w; o</w:t>
      </w:r>
      <w:r>
        <w:rPr>
          <w:rFonts w:ascii="Arial" w:cs="Arial" w:eastAsia="Arial" w:hAnsi="Arial"/>
          <w:sz w:val="20"/>
          <w:szCs w:val="20"/>
          <w:color w:val="363636"/>
        </w:rPr>
        <w:t xml:space="preserve">r </w:t>
      </w:r>
      <w:r>
        <w:rPr>
          <w:rFonts w:ascii="Arial" w:cs="Arial" w:eastAsia="Arial" w:hAnsi="Arial"/>
          <w:sz w:val="20"/>
          <w:szCs w:val="20"/>
          <w:color w:val="4F4F4F"/>
        </w:rPr>
        <w:t>(i</w:t>
      </w:r>
      <w:r>
        <w:rPr>
          <w:rFonts w:ascii="Arial" w:cs="Arial" w:eastAsia="Arial" w:hAnsi="Arial"/>
          <w:sz w:val="20"/>
          <w:szCs w:val="20"/>
          <w:color w:val="363636"/>
        </w:rPr>
        <w:t>i</w:t>
      </w:r>
      <w:r>
        <w:rPr>
          <w:rFonts w:ascii="Arial" w:cs="Arial" w:eastAsia="Arial" w:hAnsi="Arial"/>
          <w:sz w:val="20"/>
          <w:szCs w:val="20"/>
          <w:color w:val="4F4F4F"/>
        </w:rPr>
        <w:t>)</w:t>
      </w:r>
      <w:r>
        <w:rPr>
          <w:rFonts w:ascii="Arial" w:cs="Arial" w:eastAsia="Arial" w:hAnsi="Arial"/>
          <w:sz w:val="20"/>
          <w:szCs w:val="20"/>
          <w:color w:val="363636"/>
        </w:rPr>
        <w:t xml:space="preserve"> i</w:t>
      </w:r>
      <w:r>
        <w:rPr>
          <w:rFonts w:ascii="Arial" w:cs="Arial" w:eastAsia="Arial" w:hAnsi="Arial"/>
          <w:sz w:val="20"/>
          <w:szCs w:val="20"/>
          <w:color w:val="4F4F4F"/>
        </w:rPr>
        <w:t>s</w:t>
      </w:r>
      <w:r>
        <w:rPr>
          <w:rFonts w:ascii="Arial" w:cs="Arial" w:eastAsia="Arial" w:hAnsi="Arial"/>
          <w:sz w:val="20"/>
          <w:szCs w:val="20"/>
          <w:color w:val="363636"/>
        </w:rPr>
        <w:t xml:space="preserve"> m</w:t>
      </w:r>
      <w:r>
        <w:rPr>
          <w:rFonts w:ascii="Arial" w:cs="Arial" w:eastAsia="Arial" w:hAnsi="Arial"/>
          <w:sz w:val="20"/>
          <w:szCs w:val="20"/>
          <w:color w:val="4F4F4F"/>
        </w:rPr>
        <w:t>a</w:t>
      </w:r>
      <w:r>
        <w:rPr>
          <w:rFonts w:ascii="Arial" w:cs="Arial" w:eastAsia="Arial" w:hAnsi="Arial"/>
          <w:sz w:val="20"/>
          <w:szCs w:val="20"/>
          <w:color w:val="363636"/>
        </w:rPr>
        <w:t>d</w:t>
      </w:r>
      <w:r>
        <w:rPr>
          <w:rFonts w:ascii="Arial" w:cs="Arial" w:eastAsia="Arial" w:hAnsi="Arial"/>
          <w:sz w:val="20"/>
          <w:szCs w:val="20"/>
          <w:color w:val="4F4F4F"/>
        </w:rPr>
        <w:t>e</w:t>
      </w:r>
      <w:r>
        <w:rPr>
          <w:rFonts w:ascii="Arial" w:cs="Arial" w:eastAsia="Arial" w:hAnsi="Arial"/>
          <w:sz w:val="20"/>
          <w:szCs w:val="20"/>
          <w:color w:val="363636"/>
        </w:rPr>
        <w:t xml:space="preserve"> in </w:t>
      </w:r>
      <w:r>
        <w:rPr>
          <w:rFonts w:ascii="Arial" w:cs="Arial" w:eastAsia="Arial" w:hAnsi="Arial"/>
          <w:sz w:val="20"/>
          <w:szCs w:val="20"/>
          <w:color w:val="4F4F4F"/>
        </w:rPr>
        <w:t>a co</w:t>
      </w:r>
      <w:r>
        <w:rPr>
          <w:rFonts w:ascii="Arial" w:cs="Arial" w:eastAsia="Arial" w:hAnsi="Arial"/>
          <w:sz w:val="20"/>
          <w:szCs w:val="20"/>
          <w:color w:val="363636"/>
        </w:rPr>
        <w:t>m</w:t>
      </w:r>
      <w:r>
        <w:rPr>
          <w:rFonts w:ascii="Arial" w:cs="Arial" w:eastAsia="Arial" w:hAnsi="Arial"/>
          <w:sz w:val="20"/>
          <w:szCs w:val="20"/>
          <w:color w:val="4F4F4F"/>
        </w:rPr>
        <w:t>p</w:t>
      </w:r>
      <w:r>
        <w:rPr>
          <w:rFonts w:ascii="Arial" w:cs="Arial" w:eastAsia="Arial" w:hAnsi="Arial"/>
          <w:sz w:val="20"/>
          <w:szCs w:val="20"/>
          <w:color w:val="363636"/>
        </w:rPr>
        <w:t>l</w:t>
      </w:r>
      <w:r>
        <w:rPr>
          <w:rFonts w:ascii="Arial" w:cs="Arial" w:eastAsia="Arial" w:hAnsi="Arial"/>
          <w:sz w:val="20"/>
          <w:szCs w:val="20"/>
          <w:color w:val="4F4F4F"/>
        </w:rPr>
        <w:t>a</w:t>
      </w:r>
      <w:r>
        <w:rPr>
          <w:rFonts w:ascii="Arial" w:cs="Arial" w:eastAsia="Arial" w:hAnsi="Arial"/>
          <w:sz w:val="20"/>
          <w:szCs w:val="20"/>
          <w:color w:val="363636"/>
        </w:rPr>
        <w:t>i</w:t>
      </w:r>
      <w:r>
        <w:rPr>
          <w:rFonts w:ascii="Arial" w:cs="Arial" w:eastAsia="Arial" w:hAnsi="Arial"/>
          <w:sz w:val="20"/>
          <w:szCs w:val="20"/>
          <w:color w:val="4F4F4F"/>
        </w:rPr>
        <w:t>n</w:t>
      </w:r>
      <w:r>
        <w:rPr>
          <w:rFonts w:ascii="Arial" w:cs="Arial" w:eastAsia="Arial" w:hAnsi="Arial"/>
          <w:sz w:val="20"/>
          <w:szCs w:val="20"/>
          <w:color w:val="363636"/>
        </w:rPr>
        <w:t xml:space="preserve">t </w:t>
      </w:r>
      <w:r>
        <w:rPr>
          <w:rFonts w:ascii="Arial" w:cs="Arial" w:eastAsia="Arial" w:hAnsi="Arial"/>
          <w:sz w:val="20"/>
          <w:szCs w:val="20"/>
          <w:color w:val="4F4F4F"/>
        </w:rPr>
        <w:t>or other doc</w:t>
      </w:r>
      <w:r>
        <w:rPr>
          <w:rFonts w:ascii="Arial" w:cs="Arial" w:eastAsia="Arial" w:hAnsi="Arial"/>
          <w:sz w:val="20"/>
          <w:szCs w:val="20"/>
          <w:color w:val="363636"/>
        </w:rPr>
        <w:t>um</w:t>
      </w:r>
      <w:r>
        <w:rPr>
          <w:rFonts w:ascii="Arial" w:cs="Arial" w:eastAsia="Arial" w:hAnsi="Arial"/>
          <w:sz w:val="20"/>
          <w:szCs w:val="20"/>
          <w:color w:val="4F4F4F"/>
        </w:rPr>
        <w:t>e</w:t>
      </w:r>
      <w:r>
        <w:rPr>
          <w:rFonts w:ascii="Arial" w:cs="Arial" w:eastAsia="Arial" w:hAnsi="Arial"/>
          <w:sz w:val="20"/>
          <w:szCs w:val="20"/>
          <w:color w:val="363636"/>
        </w:rPr>
        <w:t>nt that i</w:t>
      </w:r>
      <w:r>
        <w:rPr>
          <w:rFonts w:ascii="Arial" w:cs="Arial" w:eastAsia="Arial" w:hAnsi="Arial"/>
          <w:sz w:val="20"/>
          <w:szCs w:val="20"/>
          <w:color w:val="4F4F4F"/>
        </w:rPr>
        <w:t>s</w:t>
      </w:r>
      <w:r>
        <w:rPr>
          <w:rFonts w:ascii="Arial" w:cs="Arial" w:eastAsia="Arial" w:hAnsi="Arial"/>
          <w:sz w:val="20"/>
          <w:szCs w:val="20"/>
          <w:color w:val="363636"/>
        </w:rPr>
        <w:t xml:space="preserve"> fil</w:t>
      </w:r>
      <w:r>
        <w:rPr>
          <w:rFonts w:ascii="Arial" w:cs="Arial" w:eastAsia="Arial" w:hAnsi="Arial"/>
          <w:sz w:val="20"/>
          <w:szCs w:val="20"/>
          <w:color w:val="4F4F4F"/>
        </w:rPr>
        <w:t>e</w:t>
      </w:r>
      <w:r>
        <w:rPr>
          <w:rFonts w:ascii="Arial" w:cs="Arial" w:eastAsia="Arial" w:hAnsi="Arial"/>
          <w:sz w:val="20"/>
          <w:szCs w:val="20"/>
          <w:color w:val="363636"/>
        </w:rPr>
        <w:t>d un</w:t>
      </w:r>
      <w:r>
        <w:rPr>
          <w:rFonts w:ascii="Arial" w:cs="Arial" w:eastAsia="Arial" w:hAnsi="Arial"/>
          <w:sz w:val="20"/>
          <w:szCs w:val="20"/>
          <w:color w:val="4F4F4F"/>
        </w:rPr>
        <w:t>de</w:t>
      </w:r>
      <w:r>
        <w:rPr>
          <w:rFonts w:ascii="Arial" w:cs="Arial" w:eastAsia="Arial" w:hAnsi="Arial"/>
          <w:sz w:val="20"/>
          <w:szCs w:val="20"/>
          <w:color w:val="363636"/>
        </w:rPr>
        <w:t xml:space="preserve">r </w:t>
      </w:r>
      <w:r>
        <w:rPr>
          <w:rFonts w:ascii="Arial" w:cs="Arial" w:eastAsia="Arial" w:hAnsi="Arial"/>
          <w:sz w:val="20"/>
          <w:szCs w:val="20"/>
          <w:color w:val="4F4F4F"/>
        </w:rPr>
        <w:t>sea</w:t>
      </w:r>
      <w:r>
        <w:rPr>
          <w:rFonts w:ascii="Arial" w:cs="Arial" w:eastAsia="Arial" w:hAnsi="Arial"/>
          <w:sz w:val="20"/>
          <w:szCs w:val="20"/>
          <w:color w:val="363636"/>
        </w:rPr>
        <w:t xml:space="preserve">l in </w:t>
      </w:r>
      <w:r>
        <w:rPr>
          <w:rFonts w:ascii="Arial" w:cs="Arial" w:eastAsia="Arial" w:hAnsi="Arial"/>
          <w:sz w:val="20"/>
          <w:szCs w:val="20"/>
          <w:color w:val="4F4F4F"/>
        </w:rPr>
        <w:t>a</w:t>
      </w:r>
      <w:r>
        <w:rPr>
          <w:rFonts w:ascii="Arial" w:cs="Arial" w:eastAsia="Arial" w:hAnsi="Arial"/>
          <w:sz w:val="20"/>
          <w:szCs w:val="20"/>
          <w:color w:val="363636"/>
        </w:rPr>
        <w:t xml:space="preserve"> </w:t>
      </w:r>
      <w:r>
        <w:rPr>
          <w:rFonts w:ascii="Arial" w:cs="Arial" w:eastAsia="Arial" w:hAnsi="Arial"/>
          <w:sz w:val="20"/>
          <w:szCs w:val="20"/>
          <w:color w:val="262626"/>
        </w:rPr>
        <w:t>l</w:t>
      </w:r>
      <w:r>
        <w:rPr>
          <w:rFonts w:ascii="Arial" w:cs="Arial" w:eastAsia="Arial" w:hAnsi="Arial"/>
          <w:sz w:val="20"/>
          <w:szCs w:val="20"/>
          <w:color w:val="4F4F4F"/>
        </w:rPr>
        <w:t>awsui</w:t>
      </w:r>
      <w:r>
        <w:rPr>
          <w:rFonts w:ascii="Arial" w:cs="Arial" w:eastAsia="Arial" w:hAnsi="Arial"/>
          <w:sz w:val="20"/>
          <w:szCs w:val="20"/>
          <w:color w:val="363636"/>
        </w:rPr>
        <w:t xml:space="preserve">t </w:t>
      </w:r>
      <w:r>
        <w:rPr>
          <w:rFonts w:ascii="Arial" w:cs="Arial" w:eastAsia="Arial" w:hAnsi="Arial"/>
          <w:sz w:val="20"/>
          <w:szCs w:val="20"/>
          <w:color w:val="4F4F4F"/>
        </w:rPr>
        <w:t>or</w:t>
      </w:r>
      <w:r>
        <w:rPr>
          <w:rFonts w:ascii="Arial" w:cs="Arial" w:eastAsia="Arial" w:hAnsi="Arial"/>
          <w:sz w:val="20"/>
          <w:szCs w:val="20"/>
          <w:color w:val="363636"/>
        </w:rPr>
        <w:t xml:space="preserve"> oth</w:t>
      </w:r>
      <w:r>
        <w:rPr>
          <w:rFonts w:ascii="Arial" w:cs="Arial" w:eastAsia="Arial" w:hAnsi="Arial"/>
          <w:sz w:val="20"/>
          <w:szCs w:val="20"/>
          <w:color w:val="4F4F4F"/>
        </w:rPr>
        <w:t>e</w:t>
      </w:r>
      <w:r>
        <w:rPr>
          <w:rFonts w:ascii="Arial" w:cs="Arial" w:eastAsia="Arial" w:hAnsi="Arial"/>
          <w:sz w:val="20"/>
          <w:szCs w:val="20"/>
          <w:color w:val="363636"/>
        </w:rPr>
        <w:t>r p</w:t>
      </w:r>
      <w:r>
        <w:rPr>
          <w:rFonts w:ascii="Arial" w:cs="Arial" w:eastAsia="Arial" w:hAnsi="Arial"/>
          <w:sz w:val="20"/>
          <w:szCs w:val="20"/>
          <w:color w:val="4F4F4F"/>
        </w:rPr>
        <w:t>ro</w:t>
      </w:r>
      <w:r>
        <w:rPr>
          <w:rFonts w:ascii="Arial" w:cs="Arial" w:eastAsia="Arial" w:hAnsi="Arial"/>
          <w:sz w:val="20"/>
          <w:szCs w:val="20"/>
          <w:color w:val="363636"/>
        </w:rPr>
        <w:t>ce</w:t>
      </w:r>
      <w:r>
        <w:rPr>
          <w:rFonts w:ascii="Arial" w:cs="Arial" w:eastAsia="Arial" w:hAnsi="Arial"/>
          <w:sz w:val="20"/>
          <w:szCs w:val="20"/>
          <w:color w:val="4F4F4F"/>
        </w:rPr>
        <w:t>e</w:t>
      </w:r>
      <w:r>
        <w:rPr>
          <w:rFonts w:ascii="Arial" w:cs="Arial" w:eastAsia="Arial" w:hAnsi="Arial"/>
          <w:sz w:val="20"/>
          <w:szCs w:val="20"/>
          <w:color w:val="363636"/>
        </w:rPr>
        <w:t>din</w:t>
      </w:r>
      <w:r>
        <w:rPr>
          <w:rFonts w:ascii="Arial" w:cs="Arial" w:eastAsia="Arial" w:hAnsi="Arial"/>
          <w:sz w:val="20"/>
          <w:szCs w:val="20"/>
          <w:color w:val="4F4F4F"/>
        </w:rPr>
        <w:t>g. Exec</w:t>
      </w:r>
      <w:r>
        <w:rPr>
          <w:rFonts w:ascii="Arial" w:cs="Arial" w:eastAsia="Arial" w:hAnsi="Arial"/>
          <w:sz w:val="20"/>
          <w:szCs w:val="20"/>
          <w:color w:val="363636"/>
        </w:rPr>
        <w:t>uti</w:t>
      </w:r>
      <w:r>
        <w:rPr>
          <w:rFonts w:ascii="Arial" w:cs="Arial" w:eastAsia="Arial" w:hAnsi="Arial"/>
          <w:sz w:val="20"/>
          <w:szCs w:val="20"/>
          <w:color w:val="4F4F4F"/>
        </w:rPr>
        <w:t>ve is f</w:t>
      </w:r>
      <w:r>
        <w:rPr>
          <w:rFonts w:ascii="Arial" w:cs="Arial" w:eastAsia="Arial" w:hAnsi="Arial"/>
          <w:sz w:val="20"/>
          <w:szCs w:val="20"/>
          <w:color w:val="363636"/>
        </w:rPr>
        <w:t>urthe</w:t>
      </w:r>
      <w:r>
        <w:rPr>
          <w:rFonts w:ascii="Arial" w:cs="Arial" w:eastAsia="Arial" w:hAnsi="Arial"/>
          <w:sz w:val="20"/>
          <w:szCs w:val="20"/>
          <w:color w:val="4F4F4F"/>
        </w:rPr>
        <w:t>r</w:t>
      </w:r>
      <w:r>
        <w:rPr>
          <w:rFonts w:ascii="Arial" w:cs="Arial" w:eastAsia="Arial" w:hAnsi="Arial"/>
          <w:sz w:val="20"/>
          <w:szCs w:val="20"/>
          <w:color w:val="363636"/>
        </w:rPr>
        <w:t xml:space="preserve"> n</w:t>
      </w:r>
      <w:r>
        <w:rPr>
          <w:rFonts w:ascii="Arial" w:cs="Arial" w:eastAsia="Arial" w:hAnsi="Arial"/>
          <w:sz w:val="20"/>
          <w:szCs w:val="20"/>
          <w:color w:val="4F4F4F"/>
        </w:rPr>
        <w:t>otified that</w:t>
      </w:r>
      <w:r>
        <w:rPr>
          <w:rFonts w:ascii="Arial" w:cs="Arial" w:eastAsia="Arial" w:hAnsi="Arial"/>
          <w:sz w:val="20"/>
          <w:szCs w:val="20"/>
          <w:color w:val="363636"/>
        </w:rPr>
        <w:t xml:space="preserve"> </w:t>
      </w:r>
      <w:r>
        <w:rPr>
          <w:rFonts w:ascii="Arial" w:cs="Arial" w:eastAsia="Arial" w:hAnsi="Arial"/>
          <w:sz w:val="17"/>
          <w:szCs w:val="17"/>
          <w:color w:val="363636"/>
        </w:rPr>
        <w:t>if</w:t>
      </w:r>
      <w:r>
        <w:rPr>
          <w:rFonts w:ascii="Arial" w:cs="Arial" w:eastAsia="Arial" w:hAnsi="Arial"/>
          <w:sz w:val="20"/>
          <w:szCs w:val="20"/>
          <w:color w:val="363636"/>
        </w:rPr>
        <w:t xml:space="preserve"> </w:t>
      </w:r>
      <w:r>
        <w:rPr>
          <w:rFonts w:ascii="Arial" w:cs="Arial" w:eastAsia="Arial" w:hAnsi="Arial"/>
          <w:sz w:val="20"/>
          <w:szCs w:val="20"/>
          <w:color w:val="4F4F4F"/>
        </w:rPr>
        <w:t>E</w:t>
      </w:r>
      <w:r>
        <w:rPr>
          <w:rFonts w:ascii="Arial" w:cs="Arial" w:eastAsia="Arial" w:hAnsi="Arial"/>
          <w:sz w:val="20"/>
          <w:szCs w:val="20"/>
          <w:color w:val="363636"/>
        </w:rPr>
        <w:t>x</w:t>
      </w:r>
      <w:r>
        <w:rPr>
          <w:rFonts w:ascii="Arial" w:cs="Arial" w:eastAsia="Arial" w:hAnsi="Arial"/>
          <w:sz w:val="20"/>
          <w:szCs w:val="20"/>
          <w:color w:val="4F4F4F"/>
        </w:rPr>
        <w:t>ec</w:t>
      </w:r>
      <w:r>
        <w:rPr>
          <w:rFonts w:ascii="Arial" w:cs="Arial" w:eastAsia="Arial" w:hAnsi="Arial"/>
          <w:sz w:val="20"/>
          <w:szCs w:val="20"/>
          <w:color w:val="363636"/>
        </w:rPr>
        <w:t>uti</w:t>
      </w:r>
      <w:r>
        <w:rPr>
          <w:rFonts w:ascii="Arial" w:cs="Arial" w:eastAsia="Arial" w:hAnsi="Arial"/>
          <w:sz w:val="20"/>
          <w:szCs w:val="20"/>
          <w:color w:val="4F4F4F"/>
        </w:rPr>
        <w:t>ve</w:t>
      </w:r>
      <w:r>
        <w:rPr>
          <w:rFonts w:ascii="Arial" w:cs="Arial" w:eastAsia="Arial" w:hAnsi="Arial"/>
          <w:sz w:val="20"/>
          <w:szCs w:val="20"/>
          <w:color w:val="363636"/>
        </w:rPr>
        <w:t xml:space="preserve"> fil</w:t>
      </w:r>
      <w:r>
        <w:rPr>
          <w:rFonts w:ascii="Arial" w:cs="Arial" w:eastAsia="Arial" w:hAnsi="Arial"/>
          <w:sz w:val="20"/>
          <w:szCs w:val="20"/>
          <w:color w:val="4F4F4F"/>
        </w:rPr>
        <w:t>es a</w:t>
      </w:r>
      <w:r>
        <w:rPr>
          <w:rFonts w:ascii="Arial" w:cs="Arial" w:eastAsia="Arial" w:hAnsi="Arial"/>
          <w:sz w:val="20"/>
          <w:szCs w:val="20"/>
          <w:color w:val="363636"/>
        </w:rPr>
        <w:t xml:space="preserve"> l</w:t>
      </w:r>
      <w:r>
        <w:rPr>
          <w:rFonts w:ascii="Arial" w:cs="Arial" w:eastAsia="Arial" w:hAnsi="Arial"/>
          <w:sz w:val="20"/>
          <w:szCs w:val="20"/>
          <w:color w:val="4F4F4F"/>
        </w:rPr>
        <w:t>aw</w:t>
      </w:r>
      <w:r>
        <w:rPr>
          <w:rFonts w:ascii="Arial" w:cs="Arial" w:eastAsia="Arial" w:hAnsi="Arial"/>
          <w:sz w:val="20"/>
          <w:szCs w:val="20"/>
          <w:color w:val="707270"/>
        </w:rPr>
        <w:t>s</w:t>
      </w:r>
      <w:r>
        <w:rPr>
          <w:rFonts w:ascii="Arial" w:cs="Arial" w:eastAsia="Arial" w:hAnsi="Arial"/>
          <w:sz w:val="20"/>
          <w:szCs w:val="20"/>
          <w:color w:val="4F4F4F"/>
        </w:rPr>
        <w:t>u</w:t>
      </w:r>
      <w:r>
        <w:rPr>
          <w:rFonts w:ascii="Arial" w:cs="Arial" w:eastAsia="Arial" w:hAnsi="Arial"/>
          <w:sz w:val="20"/>
          <w:szCs w:val="20"/>
          <w:color w:val="363636"/>
        </w:rPr>
        <w:t xml:space="preserve">it </w:t>
      </w:r>
      <w:r>
        <w:rPr>
          <w:rFonts w:ascii="Arial" w:cs="Arial" w:eastAsia="Arial" w:hAnsi="Arial"/>
          <w:sz w:val="20"/>
          <w:szCs w:val="20"/>
          <w:color w:val="4F4F4F"/>
        </w:rPr>
        <w:t>for reta</w:t>
      </w:r>
      <w:r>
        <w:rPr>
          <w:rFonts w:ascii="Arial" w:cs="Arial" w:eastAsia="Arial" w:hAnsi="Arial"/>
          <w:sz w:val="20"/>
          <w:szCs w:val="20"/>
          <w:color w:val="363636"/>
        </w:rPr>
        <w:t>li</w:t>
      </w:r>
      <w:r>
        <w:rPr>
          <w:rFonts w:ascii="Arial" w:cs="Arial" w:eastAsia="Arial" w:hAnsi="Arial"/>
          <w:sz w:val="20"/>
          <w:szCs w:val="20"/>
          <w:color w:val="4F4F4F"/>
        </w:rPr>
        <w:t>at</w:t>
      </w:r>
      <w:r>
        <w:rPr>
          <w:rFonts w:ascii="Arial" w:cs="Arial" w:eastAsia="Arial" w:hAnsi="Arial"/>
          <w:sz w:val="20"/>
          <w:szCs w:val="20"/>
          <w:color w:val="363636"/>
        </w:rPr>
        <w:t>i</w:t>
      </w:r>
      <w:r>
        <w:rPr>
          <w:rFonts w:ascii="Arial" w:cs="Arial" w:eastAsia="Arial" w:hAnsi="Arial"/>
          <w:sz w:val="20"/>
          <w:szCs w:val="20"/>
          <w:color w:val="4F4F4F"/>
        </w:rPr>
        <w:t>on</w:t>
      </w:r>
      <w:r>
        <w:rPr>
          <w:rFonts w:ascii="Arial" w:cs="Arial" w:eastAsia="Arial" w:hAnsi="Arial"/>
          <w:sz w:val="20"/>
          <w:szCs w:val="20"/>
          <w:color w:val="363636"/>
        </w:rPr>
        <w:t xml:space="preserve"> b</w:t>
      </w:r>
      <w:r>
        <w:rPr>
          <w:rFonts w:ascii="Arial" w:cs="Arial" w:eastAsia="Arial" w:hAnsi="Arial"/>
          <w:sz w:val="20"/>
          <w:szCs w:val="20"/>
          <w:color w:val="4F4F4F"/>
        </w:rPr>
        <w:t>y a</w:t>
      </w:r>
      <w:r>
        <w:rPr>
          <w:rFonts w:ascii="Arial" w:cs="Arial" w:eastAsia="Arial" w:hAnsi="Arial"/>
          <w:sz w:val="20"/>
          <w:szCs w:val="20"/>
          <w:color w:val="363636"/>
        </w:rPr>
        <w:t xml:space="preserve">n </w:t>
      </w:r>
      <w:r>
        <w:rPr>
          <w:rFonts w:ascii="Arial" w:cs="Arial" w:eastAsia="Arial" w:hAnsi="Arial"/>
          <w:sz w:val="20"/>
          <w:szCs w:val="20"/>
          <w:color w:val="4F4F4F"/>
        </w:rPr>
        <w:t>e</w:t>
      </w:r>
      <w:r>
        <w:rPr>
          <w:rFonts w:ascii="Arial" w:cs="Arial" w:eastAsia="Arial" w:hAnsi="Arial"/>
          <w:sz w:val="20"/>
          <w:szCs w:val="20"/>
          <w:color w:val="363636"/>
        </w:rPr>
        <w:t>mpl</w:t>
      </w:r>
      <w:r>
        <w:rPr>
          <w:rFonts w:ascii="Arial" w:cs="Arial" w:eastAsia="Arial" w:hAnsi="Arial"/>
          <w:sz w:val="20"/>
          <w:szCs w:val="20"/>
          <w:color w:val="4F4F4F"/>
        </w:rPr>
        <w:t>oye</w:t>
      </w:r>
      <w:r>
        <w:rPr>
          <w:rFonts w:ascii="Arial" w:cs="Arial" w:eastAsia="Arial" w:hAnsi="Arial"/>
          <w:sz w:val="20"/>
          <w:szCs w:val="20"/>
          <w:color w:val="363636"/>
        </w:rPr>
        <w:t>r</w:t>
      </w:r>
      <w:r>
        <w:rPr>
          <w:rFonts w:ascii="Arial" w:cs="Arial" w:eastAsia="Arial" w:hAnsi="Arial"/>
          <w:sz w:val="20"/>
          <w:szCs w:val="20"/>
          <w:color w:val="4F4F4F"/>
        </w:rPr>
        <w:t xml:space="preserve"> for re</w:t>
      </w:r>
      <w:r>
        <w:rPr>
          <w:rFonts w:ascii="Arial" w:cs="Arial" w:eastAsia="Arial" w:hAnsi="Arial"/>
          <w:sz w:val="20"/>
          <w:szCs w:val="20"/>
          <w:color w:val="363636"/>
        </w:rPr>
        <w:t>p</w:t>
      </w:r>
      <w:r>
        <w:rPr>
          <w:rFonts w:ascii="Arial" w:cs="Arial" w:eastAsia="Arial" w:hAnsi="Arial"/>
          <w:sz w:val="20"/>
          <w:szCs w:val="20"/>
          <w:color w:val="4F4F4F"/>
        </w:rPr>
        <w:t>o</w:t>
      </w:r>
      <w:r>
        <w:rPr>
          <w:rFonts w:ascii="Arial" w:cs="Arial" w:eastAsia="Arial" w:hAnsi="Arial"/>
          <w:sz w:val="20"/>
          <w:szCs w:val="20"/>
          <w:color w:val="363636"/>
        </w:rPr>
        <w:t>rtin</w:t>
      </w:r>
      <w:r>
        <w:rPr>
          <w:rFonts w:ascii="Arial" w:cs="Arial" w:eastAsia="Arial" w:hAnsi="Arial"/>
          <w:sz w:val="20"/>
          <w:szCs w:val="20"/>
          <w:color w:val="4F4F4F"/>
        </w:rPr>
        <w:t>g a suspected v</w:t>
      </w:r>
      <w:r>
        <w:rPr>
          <w:rFonts w:ascii="Arial" w:cs="Arial" w:eastAsia="Arial" w:hAnsi="Arial"/>
          <w:sz w:val="20"/>
          <w:szCs w:val="20"/>
          <w:color w:val="363636"/>
        </w:rPr>
        <w:t>i</w:t>
      </w:r>
      <w:r>
        <w:rPr>
          <w:rFonts w:ascii="Arial" w:cs="Arial" w:eastAsia="Arial" w:hAnsi="Arial"/>
          <w:sz w:val="20"/>
          <w:szCs w:val="20"/>
          <w:color w:val="4F4F4F"/>
        </w:rPr>
        <w:t>o</w:t>
      </w:r>
      <w:r>
        <w:rPr>
          <w:rFonts w:ascii="Arial" w:cs="Arial" w:eastAsia="Arial" w:hAnsi="Arial"/>
          <w:sz w:val="20"/>
          <w:szCs w:val="20"/>
          <w:color w:val="363636"/>
        </w:rPr>
        <w:t>l</w:t>
      </w:r>
      <w:r>
        <w:rPr>
          <w:rFonts w:ascii="Arial" w:cs="Arial" w:eastAsia="Arial" w:hAnsi="Arial"/>
          <w:sz w:val="20"/>
          <w:szCs w:val="20"/>
          <w:color w:val="4F4F4F"/>
        </w:rPr>
        <w:t>a</w:t>
      </w:r>
      <w:r>
        <w:rPr>
          <w:rFonts w:ascii="Arial" w:cs="Arial" w:eastAsia="Arial" w:hAnsi="Arial"/>
          <w:sz w:val="20"/>
          <w:szCs w:val="20"/>
          <w:color w:val="363636"/>
        </w:rPr>
        <w:t>tion o</w:t>
      </w:r>
      <w:r>
        <w:rPr>
          <w:rFonts w:ascii="Arial" w:cs="Arial" w:eastAsia="Arial" w:hAnsi="Arial"/>
          <w:sz w:val="20"/>
          <w:szCs w:val="20"/>
          <w:color w:val="4F4F4F"/>
        </w:rPr>
        <w:t xml:space="preserve">f </w:t>
      </w:r>
      <w:r>
        <w:rPr>
          <w:rFonts w:ascii="Arial" w:cs="Arial" w:eastAsia="Arial" w:hAnsi="Arial"/>
          <w:sz w:val="20"/>
          <w:szCs w:val="20"/>
          <w:color w:val="363636"/>
        </w:rPr>
        <w:t>la</w:t>
      </w:r>
      <w:r>
        <w:rPr>
          <w:rFonts w:ascii="Arial" w:cs="Arial" w:eastAsia="Arial" w:hAnsi="Arial"/>
          <w:sz w:val="20"/>
          <w:szCs w:val="20"/>
          <w:color w:val="4F4F4F"/>
        </w:rPr>
        <w:t>w, Exec</w:t>
      </w:r>
      <w:r>
        <w:rPr>
          <w:rFonts w:ascii="Arial" w:cs="Arial" w:eastAsia="Arial" w:hAnsi="Arial"/>
          <w:sz w:val="20"/>
          <w:szCs w:val="20"/>
          <w:color w:val="363636"/>
        </w:rPr>
        <w:t>u</w:t>
      </w:r>
      <w:r>
        <w:rPr>
          <w:rFonts w:ascii="Arial" w:cs="Arial" w:eastAsia="Arial" w:hAnsi="Arial"/>
          <w:sz w:val="20"/>
          <w:szCs w:val="20"/>
          <w:color w:val="4F4F4F"/>
        </w:rPr>
        <w:t>t</w:t>
      </w:r>
      <w:r>
        <w:rPr>
          <w:rFonts w:ascii="Arial" w:cs="Arial" w:eastAsia="Arial" w:hAnsi="Arial"/>
          <w:sz w:val="20"/>
          <w:szCs w:val="20"/>
          <w:color w:val="363636"/>
        </w:rPr>
        <w:t>i</w:t>
      </w:r>
      <w:r>
        <w:rPr>
          <w:rFonts w:ascii="Arial" w:cs="Arial" w:eastAsia="Arial" w:hAnsi="Arial"/>
          <w:sz w:val="20"/>
          <w:szCs w:val="20"/>
          <w:color w:val="4F4F4F"/>
        </w:rPr>
        <w:t xml:space="preserve">ve may </w:t>
      </w:r>
      <w:r>
        <w:rPr>
          <w:rFonts w:ascii="Arial" w:cs="Arial" w:eastAsia="Arial" w:hAnsi="Arial"/>
          <w:sz w:val="20"/>
          <w:szCs w:val="20"/>
          <w:color w:val="363636"/>
        </w:rPr>
        <w:t>di</w:t>
      </w:r>
      <w:r>
        <w:rPr>
          <w:rFonts w:ascii="Arial" w:cs="Arial" w:eastAsia="Arial" w:hAnsi="Arial"/>
          <w:sz w:val="20"/>
          <w:szCs w:val="20"/>
          <w:color w:val="4F4F4F"/>
        </w:rPr>
        <w:t>sc</w:t>
      </w:r>
      <w:r>
        <w:rPr>
          <w:rFonts w:ascii="Arial" w:cs="Arial" w:eastAsia="Arial" w:hAnsi="Arial"/>
          <w:sz w:val="20"/>
          <w:szCs w:val="20"/>
          <w:color w:val="363636"/>
        </w:rPr>
        <w:t>l</w:t>
      </w:r>
      <w:r>
        <w:rPr>
          <w:rFonts w:ascii="Arial" w:cs="Arial" w:eastAsia="Arial" w:hAnsi="Arial"/>
          <w:sz w:val="20"/>
          <w:szCs w:val="20"/>
          <w:color w:val="4F4F4F"/>
        </w:rPr>
        <w:t xml:space="preserve">ose </w:t>
      </w:r>
      <w:r>
        <w:rPr>
          <w:rFonts w:ascii="Arial" w:cs="Arial" w:eastAsia="Arial" w:hAnsi="Arial"/>
          <w:sz w:val="20"/>
          <w:szCs w:val="20"/>
          <w:color w:val="363636"/>
        </w:rPr>
        <w:t>th</w:t>
      </w:r>
      <w:r>
        <w:rPr>
          <w:rFonts w:ascii="Arial" w:cs="Arial" w:eastAsia="Arial" w:hAnsi="Arial"/>
          <w:sz w:val="20"/>
          <w:szCs w:val="20"/>
          <w:color w:val="4F4F4F"/>
        </w:rPr>
        <w:t>e e</w:t>
      </w:r>
      <w:r>
        <w:rPr>
          <w:rFonts w:ascii="Arial" w:cs="Arial" w:eastAsia="Arial" w:hAnsi="Arial"/>
          <w:sz w:val="20"/>
          <w:szCs w:val="20"/>
          <w:color w:val="363636"/>
        </w:rPr>
        <w:t>mpl</w:t>
      </w:r>
      <w:r>
        <w:rPr>
          <w:rFonts w:ascii="Arial" w:cs="Arial" w:eastAsia="Arial" w:hAnsi="Arial"/>
          <w:sz w:val="20"/>
          <w:szCs w:val="20"/>
          <w:color w:val="4F4F4F"/>
        </w:rPr>
        <w:t>oye</w:t>
      </w:r>
      <w:r>
        <w:rPr>
          <w:rFonts w:ascii="Arial" w:cs="Arial" w:eastAsia="Arial" w:hAnsi="Arial"/>
          <w:sz w:val="20"/>
          <w:szCs w:val="20"/>
          <w:color w:val="363636"/>
        </w:rPr>
        <w:t>r'</w:t>
      </w:r>
      <w:r>
        <w:rPr>
          <w:rFonts w:ascii="Arial" w:cs="Arial" w:eastAsia="Arial" w:hAnsi="Arial"/>
          <w:sz w:val="20"/>
          <w:szCs w:val="20"/>
          <w:color w:val="4F4F4F"/>
        </w:rPr>
        <w:t xml:space="preserve">s </w:t>
      </w:r>
      <w:r>
        <w:rPr>
          <w:rFonts w:ascii="Arial" w:cs="Arial" w:eastAsia="Arial" w:hAnsi="Arial"/>
          <w:sz w:val="20"/>
          <w:szCs w:val="20"/>
          <w:color w:val="363636"/>
        </w:rPr>
        <w:t>tr</w:t>
      </w:r>
      <w:r>
        <w:rPr>
          <w:rFonts w:ascii="Arial" w:cs="Arial" w:eastAsia="Arial" w:hAnsi="Arial"/>
          <w:sz w:val="20"/>
          <w:szCs w:val="20"/>
          <w:color w:val="4F4F4F"/>
        </w:rPr>
        <w:t>a</w:t>
      </w:r>
      <w:r>
        <w:rPr>
          <w:rFonts w:ascii="Arial" w:cs="Arial" w:eastAsia="Arial" w:hAnsi="Arial"/>
          <w:sz w:val="20"/>
          <w:szCs w:val="20"/>
          <w:color w:val="363636"/>
        </w:rPr>
        <w:t>d</w:t>
      </w:r>
      <w:r>
        <w:rPr>
          <w:rFonts w:ascii="Arial" w:cs="Arial" w:eastAsia="Arial" w:hAnsi="Arial"/>
          <w:sz w:val="20"/>
          <w:szCs w:val="20"/>
          <w:color w:val="4F4F4F"/>
        </w:rPr>
        <w:t>e sec</w:t>
      </w:r>
      <w:r>
        <w:rPr>
          <w:rFonts w:ascii="Arial" w:cs="Arial" w:eastAsia="Arial" w:hAnsi="Arial"/>
          <w:sz w:val="20"/>
          <w:szCs w:val="20"/>
          <w:color w:val="363636"/>
        </w:rPr>
        <w:t>r</w:t>
      </w:r>
      <w:r>
        <w:rPr>
          <w:rFonts w:ascii="Arial" w:cs="Arial" w:eastAsia="Arial" w:hAnsi="Arial"/>
          <w:sz w:val="20"/>
          <w:szCs w:val="20"/>
          <w:color w:val="4F4F4F"/>
        </w:rPr>
        <w:t>e</w:t>
      </w:r>
      <w:r>
        <w:rPr>
          <w:rFonts w:ascii="Arial" w:cs="Arial" w:eastAsia="Arial" w:hAnsi="Arial"/>
          <w:sz w:val="20"/>
          <w:szCs w:val="20"/>
          <w:color w:val="363636"/>
        </w:rPr>
        <w:t>t</w:t>
      </w:r>
      <w:r>
        <w:rPr>
          <w:rFonts w:ascii="Arial" w:cs="Arial" w:eastAsia="Arial" w:hAnsi="Arial"/>
          <w:sz w:val="20"/>
          <w:szCs w:val="20"/>
          <w:color w:val="4F4F4F"/>
        </w:rPr>
        <w:t xml:space="preserve">s to </w:t>
      </w:r>
      <w:r>
        <w:rPr>
          <w:rFonts w:ascii="Arial" w:cs="Arial" w:eastAsia="Arial" w:hAnsi="Arial"/>
          <w:sz w:val="20"/>
          <w:szCs w:val="20"/>
          <w:color w:val="363636"/>
        </w:rPr>
        <w:t>E</w:t>
      </w:r>
      <w:r>
        <w:rPr>
          <w:rFonts w:ascii="Arial" w:cs="Arial" w:eastAsia="Arial" w:hAnsi="Arial"/>
          <w:sz w:val="20"/>
          <w:szCs w:val="20"/>
          <w:color w:val="4F4F4F"/>
        </w:rPr>
        <w:t>xec</w:t>
      </w:r>
      <w:r>
        <w:rPr>
          <w:rFonts w:ascii="Arial" w:cs="Arial" w:eastAsia="Arial" w:hAnsi="Arial"/>
          <w:sz w:val="20"/>
          <w:szCs w:val="20"/>
          <w:color w:val="363636"/>
        </w:rPr>
        <w:t>u</w:t>
      </w:r>
      <w:r>
        <w:rPr>
          <w:rFonts w:ascii="Arial" w:cs="Arial" w:eastAsia="Arial" w:hAnsi="Arial"/>
          <w:sz w:val="20"/>
          <w:szCs w:val="20"/>
          <w:color w:val="4F4F4F"/>
        </w:rPr>
        <w:t>t</w:t>
      </w:r>
      <w:r>
        <w:rPr>
          <w:rFonts w:ascii="Arial" w:cs="Arial" w:eastAsia="Arial" w:hAnsi="Arial"/>
          <w:sz w:val="20"/>
          <w:szCs w:val="20"/>
          <w:color w:val="363636"/>
        </w:rPr>
        <w:t>i</w:t>
      </w:r>
      <w:r>
        <w:rPr>
          <w:rFonts w:ascii="Arial" w:cs="Arial" w:eastAsia="Arial" w:hAnsi="Arial"/>
          <w:sz w:val="20"/>
          <w:szCs w:val="20"/>
          <w:color w:val="4F4F4F"/>
        </w:rPr>
        <w:t xml:space="preserve">ve' s </w:t>
      </w:r>
      <w:r>
        <w:rPr>
          <w:rFonts w:ascii="Arial" w:cs="Arial" w:eastAsia="Arial" w:hAnsi="Arial"/>
          <w:sz w:val="20"/>
          <w:szCs w:val="20"/>
          <w:color w:val="363636"/>
        </w:rPr>
        <w:t>a</w:t>
      </w:r>
      <w:r>
        <w:rPr>
          <w:rFonts w:ascii="Arial" w:cs="Arial" w:eastAsia="Arial" w:hAnsi="Arial"/>
          <w:sz w:val="20"/>
          <w:szCs w:val="20"/>
          <w:color w:val="707270"/>
        </w:rPr>
        <w:t>t</w:t>
      </w:r>
      <w:r>
        <w:rPr>
          <w:rFonts w:ascii="Arial" w:cs="Arial" w:eastAsia="Arial" w:hAnsi="Arial"/>
          <w:sz w:val="20"/>
          <w:szCs w:val="20"/>
          <w:color w:val="363636"/>
        </w:rPr>
        <w:t>t</w:t>
      </w:r>
      <w:r>
        <w:rPr>
          <w:rFonts w:ascii="Arial" w:cs="Arial" w:eastAsia="Arial" w:hAnsi="Arial"/>
          <w:sz w:val="20"/>
          <w:szCs w:val="20"/>
          <w:color w:val="4F4F4F"/>
        </w:rPr>
        <w:t>o</w:t>
      </w:r>
      <w:r>
        <w:rPr>
          <w:rFonts w:ascii="Arial" w:cs="Arial" w:eastAsia="Arial" w:hAnsi="Arial"/>
          <w:sz w:val="20"/>
          <w:szCs w:val="20"/>
          <w:color w:val="363636"/>
        </w:rPr>
        <w:t>rn</w:t>
      </w:r>
      <w:r>
        <w:rPr>
          <w:rFonts w:ascii="Arial" w:cs="Arial" w:eastAsia="Arial" w:hAnsi="Arial"/>
          <w:sz w:val="20"/>
          <w:szCs w:val="20"/>
          <w:color w:val="4F4F4F"/>
        </w:rPr>
        <w:t>ey</w:t>
      </w:r>
    </w:p>
    <w:p>
      <w:pPr>
        <w:spacing w:after="0" w:line="4" w:lineRule="exact"/>
        <w:rPr>
          <w:rFonts w:ascii="Arial" w:cs="Arial" w:eastAsia="Arial" w:hAnsi="Arial"/>
          <w:sz w:val="19"/>
          <w:szCs w:val="19"/>
          <w:color w:val="363636"/>
        </w:rPr>
      </w:pPr>
    </w:p>
    <w:p>
      <w:pPr>
        <w:ind w:left="20" w:right="100"/>
        <w:spacing w:after="0" w:line="239" w:lineRule="auto"/>
        <w:rPr>
          <w:rFonts w:ascii="Arial" w:cs="Arial" w:eastAsia="Arial" w:hAnsi="Arial"/>
          <w:sz w:val="19"/>
          <w:szCs w:val="19"/>
          <w:color w:val="363636"/>
        </w:rPr>
      </w:pPr>
      <w:r>
        <w:rPr>
          <w:rFonts w:ascii="Arial" w:cs="Arial" w:eastAsia="Arial" w:hAnsi="Arial"/>
          <w:sz w:val="20"/>
          <w:szCs w:val="20"/>
          <w:color w:val="4F4F4F"/>
        </w:rPr>
        <w:t>an</w:t>
      </w:r>
      <w:r>
        <w:rPr>
          <w:rFonts w:ascii="Arial" w:cs="Arial" w:eastAsia="Arial" w:hAnsi="Arial"/>
          <w:sz w:val="20"/>
          <w:szCs w:val="20"/>
          <w:color w:val="363636"/>
        </w:rPr>
        <w:t>d u</w:t>
      </w:r>
      <w:r>
        <w:rPr>
          <w:rFonts w:ascii="Arial" w:cs="Arial" w:eastAsia="Arial" w:hAnsi="Arial"/>
          <w:sz w:val="20"/>
          <w:szCs w:val="20"/>
          <w:color w:val="4F4F4F"/>
        </w:rPr>
        <w:t>se t</w:t>
      </w:r>
      <w:r>
        <w:rPr>
          <w:rFonts w:ascii="Arial" w:cs="Arial" w:eastAsia="Arial" w:hAnsi="Arial"/>
          <w:sz w:val="20"/>
          <w:szCs w:val="20"/>
          <w:color w:val="363636"/>
        </w:rPr>
        <w:t>h</w:t>
      </w:r>
      <w:r>
        <w:rPr>
          <w:rFonts w:ascii="Arial" w:cs="Arial" w:eastAsia="Arial" w:hAnsi="Arial"/>
          <w:sz w:val="20"/>
          <w:szCs w:val="20"/>
          <w:color w:val="4F4F4F"/>
        </w:rPr>
        <w:t>e tra</w:t>
      </w:r>
      <w:r>
        <w:rPr>
          <w:rFonts w:ascii="Arial" w:cs="Arial" w:eastAsia="Arial" w:hAnsi="Arial"/>
          <w:sz w:val="20"/>
          <w:szCs w:val="20"/>
          <w:color w:val="363636"/>
        </w:rPr>
        <w:t>d</w:t>
      </w:r>
      <w:r>
        <w:rPr>
          <w:rFonts w:ascii="Arial" w:cs="Arial" w:eastAsia="Arial" w:hAnsi="Arial"/>
          <w:sz w:val="20"/>
          <w:szCs w:val="20"/>
          <w:color w:val="4F4F4F"/>
        </w:rPr>
        <w:t>e secre</w:t>
      </w:r>
      <w:r>
        <w:rPr>
          <w:rFonts w:ascii="Arial" w:cs="Arial" w:eastAsia="Arial" w:hAnsi="Arial"/>
          <w:sz w:val="20"/>
          <w:szCs w:val="20"/>
          <w:color w:val="363636"/>
        </w:rPr>
        <w:t>t in</w:t>
      </w:r>
      <w:r>
        <w:rPr>
          <w:rFonts w:ascii="Arial" w:cs="Arial" w:eastAsia="Arial" w:hAnsi="Arial"/>
          <w:sz w:val="20"/>
          <w:szCs w:val="20"/>
          <w:color w:val="4F4F4F"/>
        </w:rPr>
        <w:t xml:space="preserve">formation </w:t>
      </w:r>
      <w:r>
        <w:rPr>
          <w:rFonts w:ascii="Arial" w:cs="Arial" w:eastAsia="Arial" w:hAnsi="Arial"/>
          <w:sz w:val="20"/>
          <w:szCs w:val="20"/>
          <w:color w:val="363636"/>
        </w:rPr>
        <w:t>i</w:t>
      </w:r>
      <w:r>
        <w:rPr>
          <w:rFonts w:ascii="Arial" w:cs="Arial" w:eastAsia="Arial" w:hAnsi="Arial"/>
          <w:sz w:val="20"/>
          <w:szCs w:val="20"/>
          <w:color w:val="4F4F4F"/>
        </w:rPr>
        <w:t xml:space="preserve">n </w:t>
      </w:r>
      <w:r>
        <w:rPr>
          <w:rFonts w:ascii="Arial" w:cs="Arial" w:eastAsia="Arial" w:hAnsi="Arial"/>
          <w:sz w:val="20"/>
          <w:szCs w:val="20"/>
          <w:color w:val="363636"/>
        </w:rPr>
        <w:t>th</w:t>
      </w:r>
      <w:r>
        <w:rPr>
          <w:rFonts w:ascii="Arial" w:cs="Arial" w:eastAsia="Arial" w:hAnsi="Arial"/>
          <w:sz w:val="20"/>
          <w:szCs w:val="20"/>
          <w:color w:val="4F4F4F"/>
        </w:rPr>
        <w:t>e co</w:t>
      </w:r>
      <w:r>
        <w:rPr>
          <w:rFonts w:ascii="Arial" w:cs="Arial" w:eastAsia="Arial" w:hAnsi="Arial"/>
          <w:sz w:val="20"/>
          <w:szCs w:val="20"/>
          <w:color w:val="363636"/>
        </w:rPr>
        <w:t>u</w:t>
      </w:r>
      <w:r>
        <w:rPr>
          <w:rFonts w:ascii="Arial" w:cs="Arial" w:eastAsia="Arial" w:hAnsi="Arial"/>
          <w:sz w:val="20"/>
          <w:szCs w:val="20"/>
          <w:color w:val="4F4F4F"/>
        </w:rPr>
        <w:t xml:space="preserve">rt </w:t>
      </w:r>
      <w:r>
        <w:rPr>
          <w:rFonts w:ascii="Arial" w:cs="Arial" w:eastAsia="Arial" w:hAnsi="Arial"/>
          <w:sz w:val="20"/>
          <w:szCs w:val="20"/>
          <w:color w:val="363636"/>
        </w:rPr>
        <w:t>p</w:t>
      </w:r>
      <w:r>
        <w:rPr>
          <w:rFonts w:ascii="Arial" w:cs="Arial" w:eastAsia="Arial" w:hAnsi="Arial"/>
          <w:sz w:val="20"/>
          <w:szCs w:val="20"/>
          <w:color w:val="4F4F4F"/>
        </w:rPr>
        <w:t>ro</w:t>
      </w:r>
      <w:r>
        <w:rPr>
          <w:rFonts w:ascii="Arial" w:cs="Arial" w:eastAsia="Arial" w:hAnsi="Arial"/>
          <w:sz w:val="20"/>
          <w:szCs w:val="20"/>
          <w:color w:val="363636"/>
        </w:rPr>
        <w:t>c</w:t>
      </w:r>
      <w:r>
        <w:rPr>
          <w:rFonts w:ascii="Arial" w:cs="Arial" w:eastAsia="Arial" w:hAnsi="Arial"/>
          <w:sz w:val="20"/>
          <w:szCs w:val="20"/>
          <w:color w:val="4F4F4F"/>
        </w:rPr>
        <w:t>ee</w:t>
      </w:r>
      <w:r>
        <w:rPr>
          <w:rFonts w:ascii="Arial" w:cs="Arial" w:eastAsia="Arial" w:hAnsi="Arial"/>
          <w:sz w:val="20"/>
          <w:szCs w:val="20"/>
          <w:color w:val="363636"/>
        </w:rPr>
        <w:t>din</w:t>
      </w:r>
      <w:r>
        <w:rPr>
          <w:rFonts w:ascii="Arial" w:cs="Arial" w:eastAsia="Arial" w:hAnsi="Arial"/>
          <w:sz w:val="20"/>
          <w:szCs w:val="20"/>
          <w:color w:val="4F4F4F"/>
        </w:rPr>
        <w:t xml:space="preserve">g </w:t>
      </w:r>
      <w:r>
        <w:rPr>
          <w:rFonts w:ascii="Arial" w:cs="Arial" w:eastAsia="Arial" w:hAnsi="Arial"/>
          <w:sz w:val="20"/>
          <w:szCs w:val="20"/>
          <w:color w:val="363636"/>
        </w:rPr>
        <w:t>i</w:t>
      </w:r>
      <w:r>
        <w:rPr>
          <w:rFonts w:ascii="Arial" w:cs="Arial" w:eastAsia="Arial" w:hAnsi="Arial"/>
          <w:sz w:val="20"/>
          <w:szCs w:val="20"/>
          <w:color w:val="4F4F4F"/>
        </w:rPr>
        <w:t>f Exec</w:t>
      </w:r>
      <w:r>
        <w:rPr>
          <w:rFonts w:ascii="Arial" w:cs="Arial" w:eastAsia="Arial" w:hAnsi="Arial"/>
          <w:sz w:val="20"/>
          <w:szCs w:val="20"/>
          <w:color w:val="363636"/>
        </w:rPr>
        <w:t>u</w:t>
      </w:r>
      <w:r>
        <w:rPr>
          <w:rFonts w:ascii="Arial" w:cs="Arial" w:eastAsia="Arial" w:hAnsi="Arial"/>
          <w:sz w:val="20"/>
          <w:szCs w:val="20"/>
          <w:color w:val="4F4F4F"/>
        </w:rPr>
        <w:t>t</w:t>
      </w:r>
      <w:r>
        <w:rPr>
          <w:rFonts w:ascii="Arial" w:cs="Arial" w:eastAsia="Arial" w:hAnsi="Arial"/>
          <w:sz w:val="20"/>
          <w:szCs w:val="20"/>
          <w:color w:val="363636"/>
        </w:rPr>
        <w:t>i</w:t>
      </w:r>
      <w:r>
        <w:rPr>
          <w:rFonts w:ascii="Arial" w:cs="Arial" w:eastAsia="Arial" w:hAnsi="Arial"/>
          <w:sz w:val="20"/>
          <w:szCs w:val="20"/>
          <w:color w:val="4F4F4F"/>
        </w:rPr>
        <w:t>ve: (</w:t>
      </w:r>
      <w:r>
        <w:rPr>
          <w:rFonts w:ascii="Arial" w:cs="Arial" w:eastAsia="Arial" w:hAnsi="Arial"/>
          <w:sz w:val="20"/>
          <w:szCs w:val="20"/>
          <w:color w:val="363636"/>
        </w:rPr>
        <w:t>i</w:t>
      </w:r>
      <w:r>
        <w:rPr>
          <w:rFonts w:ascii="Arial" w:cs="Arial" w:eastAsia="Arial" w:hAnsi="Arial"/>
          <w:sz w:val="20"/>
          <w:szCs w:val="20"/>
          <w:color w:val="4F4F4F"/>
        </w:rPr>
        <w:t xml:space="preserve">) </w:t>
      </w:r>
      <w:r>
        <w:rPr>
          <w:rFonts w:ascii="Arial" w:cs="Arial" w:eastAsia="Arial" w:hAnsi="Arial"/>
          <w:sz w:val="20"/>
          <w:szCs w:val="20"/>
          <w:color w:val="363636"/>
        </w:rPr>
        <w:t>fil</w:t>
      </w:r>
      <w:r>
        <w:rPr>
          <w:rFonts w:ascii="Arial" w:cs="Arial" w:eastAsia="Arial" w:hAnsi="Arial"/>
          <w:sz w:val="20"/>
          <w:szCs w:val="20"/>
          <w:color w:val="4F4F4F"/>
        </w:rPr>
        <w:t>es a</w:t>
      </w:r>
      <w:r>
        <w:rPr>
          <w:rFonts w:ascii="Arial" w:cs="Arial" w:eastAsia="Arial" w:hAnsi="Arial"/>
          <w:sz w:val="20"/>
          <w:szCs w:val="20"/>
          <w:color w:val="363636"/>
        </w:rPr>
        <w:t>n</w:t>
      </w:r>
      <w:r>
        <w:rPr>
          <w:rFonts w:ascii="Arial" w:cs="Arial" w:eastAsia="Arial" w:hAnsi="Arial"/>
          <w:sz w:val="20"/>
          <w:szCs w:val="20"/>
          <w:color w:val="4F4F4F"/>
        </w:rPr>
        <w:t>y do</w:t>
      </w:r>
      <w:r>
        <w:rPr>
          <w:rFonts w:ascii="Arial" w:cs="Arial" w:eastAsia="Arial" w:hAnsi="Arial"/>
          <w:sz w:val="20"/>
          <w:szCs w:val="20"/>
          <w:color w:val="363636"/>
        </w:rPr>
        <w:t>cum</w:t>
      </w:r>
      <w:r>
        <w:rPr>
          <w:rFonts w:ascii="Arial" w:cs="Arial" w:eastAsia="Arial" w:hAnsi="Arial"/>
          <w:sz w:val="20"/>
          <w:szCs w:val="20"/>
          <w:color w:val="4F4F4F"/>
        </w:rPr>
        <w:t>e</w:t>
      </w:r>
      <w:r>
        <w:rPr>
          <w:rFonts w:ascii="Arial" w:cs="Arial" w:eastAsia="Arial" w:hAnsi="Arial"/>
          <w:sz w:val="20"/>
          <w:szCs w:val="20"/>
          <w:color w:val="363636"/>
        </w:rPr>
        <w:t>n</w:t>
      </w:r>
      <w:r>
        <w:rPr>
          <w:rFonts w:ascii="Arial" w:cs="Arial" w:eastAsia="Arial" w:hAnsi="Arial"/>
          <w:sz w:val="20"/>
          <w:szCs w:val="20"/>
          <w:color w:val="4F4F4F"/>
        </w:rPr>
        <w:t>t c</w:t>
      </w:r>
      <w:r>
        <w:rPr>
          <w:rFonts w:ascii="Arial" w:cs="Arial" w:eastAsia="Arial" w:hAnsi="Arial"/>
          <w:sz w:val="20"/>
          <w:szCs w:val="20"/>
          <w:color w:val="363636"/>
        </w:rPr>
        <w:t>ont</w:t>
      </w:r>
      <w:r>
        <w:rPr>
          <w:rFonts w:ascii="Arial" w:cs="Arial" w:eastAsia="Arial" w:hAnsi="Arial"/>
          <w:sz w:val="20"/>
          <w:szCs w:val="20"/>
          <w:color w:val="4F4F4F"/>
        </w:rPr>
        <w:t>a</w:t>
      </w:r>
      <w:r>
        <w:rPr>
          <w:rFonts w:ascii="Arial" w:cs="Arial" w:eastAsia="Arial" w:hAnsi="Arial"/>
          <w:sz w:val="20"/>
          <w:szCs w:val="20"/>
          <w:color w:val="363636"/>
        </w:rPr>
        <w:t>inin</w:t>
      </w:r>
      <w:r>
        <w:rPr>
          <w:rFonts w:ascii="Arial" w:cs="Arial" w:eastAsia="Arial" w:hAnsi="Arial"/>
          <w:sz w:val="20"/>
          <w:szCs w:val="20"/>
          <w:color w:val="4F4F4F"/>
        </w:rPr>
        <w:t xml:space="preserve">g </w:t>
      </w:r>
      <w:r>
        <w:rPr>
          <w:rFonts w:ascii="Arial" w:cs="Arial" w:eastAsia="Arial" w:hAnsi="Arial"/>
          <w:sz w:val="20"/>
          <w:szCs w:val="20"/>
          <w:color w:val="363636"/>
        </w:rPr>
        <w:t>th</w:t>
      </w:r>
      <w:r>
        <w:rPr>
          <w:rFonts w:ascii="Arial" w:cs="Arial" w:eastAsia="Arial" w:hAnsi="Arial"/>
          <w:sz w:val="20"/>
          <w:szCs w:val="20"/>
          <w:color w:val="4F4F4F"/>
        </w:rPr>
        <w:t xml:space="preserve">e </w:t>
      </w:r>
      <w:r>
        <w:rPr>
          <w:rFonts w:ascii="Arial" w:cs="Arial" w:eastAsia="Arial" w:hAnsi="Arial"/>
          <w:sz w:val="20"/>
          <w:szCs w:val="20"/>
          <w:color w:val="363636"/>
        </w:rPr>
        <w:t>tr</w:t>
      </w:r>
      <w:r>
        <w:rPr>
          <w:rFonts w:ascii="Arial" w:cs="Arial" w:eastAsia="Arial" w:hAnsi="Arial"/>
          <w:sz w:val="20"/>
          <w:szCs w:val="20"/>
          <w:color w:val="4F4F4F"/>
        </w:rPr>
        <w:t>a</w:t>
      </w:r>
      <w:r>
        <w:rPr>
          <w:rFonts w:ascii="Arial" w:cs="Arial" w:eastAsia="Arial" w:hAnsi="Arial"/>
          <w:sz w:val="20"/>
          <w:szCs w:val="20"/>
          <w:color w:val="363636"/>
        </w:rPr>
        <w:t>de</w:t>
      </w:r>
      <w:r>
        <w:rPr>
          <w:rFonts w:ascii="Arial" w:cs="Arial" w:eastAsia="Arial" w:hAnsi="Arial"/>
          <w:sz w:val="20"/>
          <w:szCs w:val="20"/>
          <w:color w:val="4F4F4F"/>
        </w:rPr>
        <w:t xml:space="preserve"> sec</w:t>
      </w:r>
      <w:r>
        <w:rPr>
          <w:rFonts w:ascii="Arial" w:cs="Arial" w:eastAsia="Arial" w:hAnsi="Arial"/>
          <w:sz w:val="20"/>
          <w:szCs w:val="20"/>
          <w:color w:val="363636"/>
        </w:rPr>
        <w:t>r</w:t>
      </w:r>
      <w:r>
        <w:rPr>
          <w:rFonts w:ascii="Arial" w:cs="Arial" w:eastAsia="Arial" w:hAnsi="Arial"/>
          <w:sz w:val="20"/>
          <w:szCs w:val="20"/>
          <w:color w:val="4F4F4F"/>
        </w:rPr>
        <w:t>e</w:t>
      </w:r>
      <w:r>
        <w:rPr>
          <w:rFonts w:ascii="Arial" w:cs="Arial" w:eastAsia="Arial" w:hAnsi="Arial"/>
          <w:sz w:val="20"/>
          <w:szCs w:val="20"/>
          <w:color w:val="363636"/>
        </w:rPr>
        <w:t>t</w:t>
      </w:r>
      <w:r>
        <w:rPr>
          <w:rFonts w:ascii="Arial" w:cs="Arial" w:eastAsia="Arial" w:hAnsi="Arial"/>
          <w:sz w:val="20"/>
          <w:szCs w:val="20"/>
          <w:color w:val="4F4F4F"/>
        </w:rPr>
        <w:t xml:space="preserve"> </w:t>
      </w:r>
      <w:r>
        <w:rPr>
          <w:rFonts w:ascii="Arial" w:cs="Arial" w:eastAsia="Arial" w:hAnsi="Arial"/>
          <w:sz w:val="20"/>
          <w:szCs w:val="20"/>
          <w:color w:val="363636"/>
        </w:rPr>
        <w:t>u</w:t>
      </w:r>
      <w:r>
        <w:rPr>
          <w:rFonts w:ascii="Arial" w:cs="Arial" w:eastAsia="Arial" w:hAnsi="Arial"/>
          <w:sz w:val="20"/>
          <w:szCs w:val="20"/>
          <w:color w:val="4F4F4F"/>
        </w:rPr>
        <w:t>n</w:t>
      </w:r>
      <w:r>
        <w:rPr>
          <w:rFonts w:ascii="Arial" w:cs="Arial" w:eastAsia="Arial" w:hAnsi="Arial"/>
          <w:sz w:val="20"/>
          <w:szCs w:val="20"/>
          <w:color w:val="363636"/>
        </w:rPr>
        <w:t>der s</w:t>
      </w:r>
      <w:r>
        <w:rPr>
          <w:rFonts w:ascii="Arial" w:cs="Arial" w:eastAsia="Arial" w:hAnsi="Arial"/>
          <w:sz w:val="20"/>
          <w:szCs w:val="20"/>
          <w:color w:val="4F4F4F"/>
        </w:rPr>
        <w:t>ea</w:t>
      </w:r>
      <w:r>
        <w:rPr>
          <w:rFonts w:ascii="Arial" w:cs="Arial" w:eastAsia="Arial" w:hAnsi="Arial"/>
          <w:sz w:val="20"/>
          <w:szCs w:val="20"/>
          <w:color w:val="363636"/>
        </w:rPr>
        <w:t>l</w:t>
      </w:r>
      <w:r>
        <w:rPr>
          <w:rFonts w:ascii="Arial" w:cs="Arial" w:eastAsia="Arial" w:hAnsi="Arial"/>
          <w:sz w:val="20"/>
          <w:szCs w:val="20"/>
          <w:color w:val="4F4F4F"/>
        </w:rPr>
        <w:t>; a</w:t>
      </w:r>
      <w:r>
        <w:rPr>
          <w:rFonts w:ascii="Arial" w:cs="Arial" w:eastAsia="Arial" w:hAnsi="Arial"/>
          <w:sz w:val="20"/>
          <w:szCs w:val="20"/>
          <w:color w:val="363636"/>
        </w:rPr>
        <w:t xml:space="preserve">nd </w:t>
      </w:r>
      <w:r>
        <w:rPr>
          <w:rFonts w:ascii="Arial" w:cs="Arial" w:eastAsia="Arial" w:hAnsi="Arial"/>
          <w:sz w:val="20"/>
          <w:szCs w:val="20"/>
          <w:color w:val="4F4F4F"/>
        </w:rPr>
        <w:t>(i</w:t>
      </w:r>
      <w:r>
        <w:rPr>
          <w:rFonts w:ascii="Arial" w:cs="Arial" w:eastAsia="Arial" w:hAnsi="Arial"/>
          <w:sz w:val="20"/>
          <w:szCs w:val="20"/>
          <w:color w:val="363636"/>
        </w:rPr>
        <w:t>i</w:t>
      </w:r>
      <w:r>
        <w:rPr>
          <w:rFonts w:ascii="Arial" w:cs="Arial" w:eastAsia="Arial" w:hAnsi="Arial"/>
          <w:sz w:val="20"/>
          <w:szCs w:val="20"/>
          <w:color w:val="4F4F4F"/>
        </w:rPr>
        <w:t>)</w:t>
      </w:r>
      <w:r>
        <w:rPr>
          <w:rFonts w:ascii="Arial" w:cs="Arial" w:eastAsia="Arial" w:hAnsi="Arial"/>
          <w:sz w:val="20"/>
          <w:szCs w:val="20"/>
          <w:color w:val="363636"/>
        </w:rPr>
        <w:t xml:space="preserve"> do</w:t>
      </w:r>
      <w:r>
        <w:rPr>
          <w:rFonts w:ascii="Arial" w:cs="Arial" w:eastAsia="Arial" w:hAnsi="Arial"/>
          <w:sz w:val="20"/>
          <w:szCs w:val="20"/>
          <w:color w:val="4F4F4F"/>
        </w:rPr>
        <w:t>es</w:t>
      </w:r>
      <w:r>
        <w:rPr>
          <w:rFonts w:ascii="Arial" w:cs="Arial" w:eastAsia="Arial" w:hAnsi="Arial"/>
          <w:sz w:val="20"/>
          <w:szCs w:val="20"/>
          <w:color w:val="363636"/>
        </w:rPr>
        <w:t xml:space="preserve"> n</w:t>
      </w:r>
      <w:r>
        <w:rPr>
          <w:rFonts w:ascii="Arial" w:cs="Arial" w:eastAsia="Arial" w:hAnsi="Arial"/>
          <w:sz w:val="20"/>
          <w:szCs w:val="20"/>
          <w:color w:val="4F4F4F"/>
        </w:rPr>
        <w:t>ot</w:t>
      </w:r>
      <w:r>
        <w:rPr>
          <w:rFonts w:ascii="Arial" w:cs="Arial" w:eastAsia="Arial" w:hAnsi="Arial"/>
          <w:sz w:val="20"/>
          <w:szCs w:val="20"/>
          <w:color w:val="363636"/>
        </w:rPr>
        <w:t xml:space="preserve"> di</w:t>
      </w:r>
      <w:r>
        <w:rPr>
          <w:rFonts w:ascii="Arial" w:cs="Arial" w:eastAsia="Arial" w:hAnsi="Arial"/>
          <w:sz w:val="20"/>
          <w:szCs w:val="20"/>
          <w:color w:val="4F4F4F"/>
        </w:rPr>
        <w:t>s</w:t>
      </w:r>
      <w:r>
        <w:rPr>
          <w:rFonts w:ascii="Arial" w:cs="Arial" w:eastAsia="Arial" w:hAnsi="Arial"/>
          <w:sz w:val="20"/>
          <w:szCs w:val="20"/>
          <w:color w:val="363636"/>
        </w:rPr>
        <w:t>cl</w:t>
      </w:r>
      <w:r>
        <w:rPr>
          <w:rFonts w:ascii="Arial" w:cs="Arial" w:eastAsia="Arial" w:hAnsi="Arial"/>
          <w:sz w:val="20"/>
          <w:szCs w:val="20"/>
          <w:color w:val="4F4F4F"/>
        </w:rPr>
        <w:t>ose t</w:t>
      </w:r>
      <w:r>
        <w:rPr>
          <w:rFonts w:ascii="Arial" w:cs="Arial" w:eastAsia="Arial" w:hAnsi="Arial"/>
          <w:sz w:val="20"/>
          <w:szCs w:val="20"/>
          <w:color w:val="363636"/>
        </w:rPr>
        <w:t>h</w:t>
      </w:r>
      <w:r>
        <w:rPr>
          <w:rFonts w:ascii="Arial" w:cs="Arial" w:eastAsia="Arial" w:hAnsi="Arial"/>
          <w:sz w:val="20"/>
          <w:szCs w:val="20"/>
          <w:color w:val="4F4F4F"/>
        </w:rPr>
        <w:t>e</w:t>
      </w:r>
      <w:r>
        <w:rPr>
          <w:rFonts w:ascii="Arial" w:cs="Arial" w:eastAsia="Arial" w:hAnsi="Arial"/>
          <w:sz w:val="20"/>
          <w:szCs w:val="20"/>
          <w:color w:val="363636"/>
        </w:rPr>
        <w:t xml:space="preserve"> tr</w:t>
      </w:r>
      <w:r>
        <w:rPr>
          <w:rFonts w:ascii="Arial" w:cs="Arial" w:eastAsia="Arial" w:hAnsi="Arial"/>
          <w:sz w:val="20"/>
          <w:szCs w:val="20"/>
          <w:color w:val="4F4F4F"/>
        </w:rPr>
        <w:t>a</w:t>
      </w:r>
      <w:r>
        <w:rPr>
          <w:rFonts w:ascii="Arial" w:cs="Arial" w:eastAsia="Arial" w:hAnsi="Arial"/>
          <w:sz w:val="20"/>
          <w:szCs w:val="20"/>
          <w:color w:val="363636"/>
        </w:rPr>
        <w:t xml:space="preserve">de </w:t>
      </w:r>
      <w:r>
        <w:rPr>
          <w:rFonts w:ascii="Arial" w:cs="Arial" w:eastAsia="Arial" w:hAnsi="Arial"/>
          <w:sz w:val="20"/>
          <w:szCs w:val="20"/>
          <w:color w:val="4F4F4F"/>
        </w:rPr>
        <w:t>sec</w:t>
      </w:r>
      <w:r>
        <w:rPr>
          <w:rFonts w:ascii="Arial" w:cs="Arial" w:eastAsia="Arial" w:hAnsi="Arial"/>
          <w:sz w:val="20"/>
          <w:szCs w:val="20"/>
          <w:color w:val="363636"/>
        </w:rPr>
        <w:t>r</w:t>
      </w:r>
      <w:r>
        <w:rPr>
          <w:rFonts w:ascii="Arial" w:cs="Arial" w:eastAsia="Arial" w:hAnsi="Arial"/>
          <w:sz w:val="20"/>
          <w:szCs w:val="20"/>
          <w:color w:val="4F4F4F"/>
        </w:rPr>
        <w:t>e</w:t>
      </w:r>
      <w:r>
        <w:rPr>
          <w:rFonts w:ascii="Arial" w:cs="Arial" w:eastAsia="Arial" w:hAnsi="Arial"/>
          <w:sz w:val="20"/>
          <w:szCs w:val="20"/>
          <w:color w:val="363636"/>
        </w:rPr>
        <w:t>t</w:t>
      </w:r>
      <w:r>
        <w:rPr>
          <w:rFonts w:ascii="Arial" w:cs="Arial" w:eastAsia="Arial" w:hAnsi="Arial"/>
          <w:sz w:val="20"/>
          <w:szCs w:val="20"/>
          <w:color w:val="4F4F4F"/>
        </w:rPr>
        <w:t>, exce</w:t>
      </w:r>
      <w:r>
        <w:rPr>
          <w:rFonts w:ascii="Arial" w:cs="Arial" w:eastAsia="Arial" w:hAnsi="Arial"/>
          <w:sz w:val="20"/>
          <w:szCs w:val="20"/>
          <w:color w:val="363636"/>
        </w:rPr>
        <w:t>pt</w:t>
      </w:r>
    </w:p>
    <w:p>
      <w:pPr>
        <w:ind w:left="20"/>
        <w:spacing w:after="0"/>
        <w:rPr>
          <w:rFonts w:ascii="Arial" w:cs="Arial" w:eastAsia="Arial" w:hAnsi="Arial"/>
          <w:sz w:val="19"/>
          <w:szCs w:val="19"/>
          <w:color w:val="363636"/>
        </w:rPr>
      </w:pPr>
      <w:r>
        <w:rPr>
          <w:rFonts w:ascii="Arial" w:cs="Arial" w:eastAsia="Arial" w:hAnsi="Arial"/>
          <w:sz w:val="20"/>
          <w:szCs w:val="20"/>
          <w:color w:val="363636"/>
        </w:rPr>
        <w:t>pu</w:t>
      </w:r>
      <w:r>
        <w:rPr>
          <w:rFonts w:ascii="Arial" w:cs="Arial" w:eastAsia="Arial" w:hAnsi="Arial"/>
          <w:sz w:val="20"/>
          <w:szCs w:val="20"/>
          <w:color w:val="4F4F4F"/>
        </w:rPr>
        <w:t>rs</w:t>
      </w:r>
      <w:r>
        <w:rPr>
          <w:rFonts w:ascii="Arial" w:cs="Arial" w:eastAsia="Arial" w:hAnsi="Arial"/>
          <w:sz w:val="20"/>
          <w:szCs w:val="20"/>
          <w:color w:val="363636"/>
        </w:rPr>
        <w:t xml:space="preserve">uant to </w:t>
      </w:r>
      <w:r>
        <w:rPr>
          <w:rFonts w:ascii="Arial" w:cs="Arial" w:eastAsia="Arial" w:hAnsi="Arial"/>
          <w:sz w:val="20"/>
          <w:szCs w:val="20"/>
          <w:color w:val="4F4F4F"/>
        </w:rPr>
        <w:t>c</w:t>
      </w:r>
      <w:r>
        <w:rPr>
          <w:rFonts w:ascii="Arial" w:cs="Arial" w:eastAsia="Arial" w:hAnsi="Arial"/>
          <w:sz w:val="20"/>
          <w:szCs w:val="20"/>
          <w:color w:val="363636"/>
        </w:rPr>
        <w:t xml:space="preserve">ourt </w:t>
      </w:r>
      <w:r>
        <w:rPr>
          <w:rFonts w:ascii="Arial" w:cs="Arial" w:eastAsia="Arial" w:hAnsi="Arial"/>
          <w:sz w:val="20"/>
          <w:szCs w:val="20"/>
          <w:color w:val="4F4F4F"/>
        </w:rPr>
        <w:t>o</w:t>
      </w:r>
      <w:r>
        <w:rPr>
          <w:rFonts w:ascii="Arial" w:cs="Arial" w:eastAsia="Arial" w:hAnsi="Arial"/>
          <w:sz w:val="20"/>
          <w:szCs w:val="20"/>
          <w:color w:val="363636"/>
        </w:rPr>
        <w:t>rd</w:t>
      </w:r>
      <w:r>
        <w:rPr>
          <w:rFonts w:ascii="Arial" w:cs="Arial" w:eastAsia="Arial" w:hAnsi="Arial"/>
          <w:sz w:val="20"/>
          <w:szCs w:val="20"/>
          <w:color w:val="4F4F4F"/>
        </w:rPr>
        <w: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40"/>
          </w:cols>
          <w:pgMar w:left="660" w:top="649" w:right="1099" w:bottom="1440" w:gutter="0" w:footer="0" w:header="0"/>
        </w:sectPr>
      </w:pPr>
    </w:p>
    <w:bookmarkStart w:id="159" w:name="page160"/>
    <w:bookmarkEnd w:id="159"/>
    <w:p>
      <w:pPr>
        <w:ind w:left="7" w:firstLine="446"/>
        <w:spacing w:after="0" w:line="270" w:lineRule="auto"/>
        <w:rPr>
          <w:sz w:val="20"/>
          <w:szCs w:val="20"/>
          <w:color w:val="auto"/>
        </w:rPr>
      </w:pPr>
      <w:r>
        <w:rPr>
          <w:rFonts w:ascii="Arial" w:cs="Arial" w:eastAsia="Arial" w:hAnsi="Arial"/>
          <w:sz w:val="18"/>
          <w:szCs w:val="18"/>
          <w:color w:val="262626"/>
        </w:rPr>
        <w:t xml:space="preserve">4.2 </w:t>
      </w:r>
      <w:r>
        <w:rPr>
          <w:rFonts w:ascii="Arial" w:cs="Arial" w:eastAsia="Arial" w:hAnsi="Arial"/>
          <w:sz w:val="18"/>
          <w:szCs w:val="18"/>
          <w:u w:val="single" w:color="auto"/>
          <w:color w:val="262626"/>
        </w:rPr>
        <w:t>Duty of Loyalty</w:t>
      </w:r>
      <w:r>
        <w:rPr>
          <w:rFonts w:ascii="Arial" w:cs="Arial" w:eastAsia="Arial" w:hAnsi="Arial"/>
          <w:sz w:val="18"/>
          <w:szCs w:val="18"/>
          <w:color w:val="262626"/>
        </w:rPr>
        <w:t xml:space="preserve"> </w:t>
      </w:r>
      <w:r>
        <w:rPr>
          <w:rFonts w:ascii="Arial" w:cs="Arial" w:eastAsia="Arial" w:hAnsi="Arial"/>
          <w:sz w:val="18"/>
          <w:szCs w:val="18"/>
          <w:u w:val="single" w:color="auto"/>
          <w:color w:val="363636"/>
        </w:rPr>
        <w:t>and Non-Competition</w:t>
      </w:r>
      <w:r>
        <w:rPr>
          <w:rFonts w:ascii="Arial" w:cs="Arial" w:eastAsia="Arial" w:hAnsi="Arial"/>
          <w:sz w:val="18"/>
          <w:szCs w:val="18"/>
          <w:color w:val="363636"/>
        </w:rPr>
        <w:t>.</w:t>
      </w:r>
      <w:r>
        <w:rPr>
          <w:rFonts w:ascii="Arial" w:cs="Arial" w:eastAsia="Arial" w:hAnsi="Arial"/>
          <w:sz w:val="18"/>
          <w:szCs w:val="18"/>
          <w:color w:val="262626"/>
        </w:rPr>
        <w:t xml:space="preserve"> While </w:t>
      </w:r>
      <w:r>
        <w:rPr>
          <w:rFonts w:ascii="Arial" w:cs="Arial" w:eastAsia="Arial" w:hAnsi="Arial"/>
          <w:sz w:val="18"/>
          <w:szCs w:val="18"/>
          <w:color w:val="363636"/>
        </w:rPr>
        <w:t>employed</w:t>
      </w:r>
      <w:r>
        <w:rPr>
          <w:rFonts w:ascii="Arial" w:cs="Arial" w:eastAsia="Arial" w:hAnsi="Arial"/>
          <w:sz w:val="18"/>
          <w:szCs w:val="18"/>
          <w:color w:val="262626"/>
        </w:rPr>
        <w:t xml:space="preserve"> by the </w:t>
      </w:r>
      <w:r>
        <w:rPr>
          <w:rFonts w:ascii="Arial" w:cs="Arial" w:eastAsia="Arial" w:hAnsi="Arial"/>
          <w:sz w:val="18"/>
          <w:szCs w:val="18"/>
          <w:color w:val="363636"/>
        </w:rPr>
        <w:t>Company</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the Executive shall</w:t>
      </w:r>
      <w:r>
        <w:rPr>
          <w:rFonts w:ascii="Arial" w:cs="Arial" w:eastAsia="Arial" w:hAnsi="Arial"/>
          <w:sz w:val="18"/>
          <w:szCs w:val="18"/>
          <w:color w:val="262626"/>
        </w:rPr>
        <w:t xml:space="preserve"> not</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without</w:t>
      </w:r>
      <w:r>
        <w:rPr>
          <w:rFonts w:ascii="Arial" w:cs="Arial" w:eastAsia="Arial" w:hAnsi="Arial"/>
          <w:sz w:val="18"/>
          <w:szCs w:val="18"/>
          <w:color w:val="262626"/>
        </w:rPr>
        <w:t xml:space="preserve"> the prior </w:t>
      </w:r>
      <w:r>
        <w:rPr>
          <w:rFonts w:ascii="Arial" w:cs="Arial" w:eastAsia="Arial" w:hAnsi="Arial"/>
          <w:sz w:val="18"/>
          <w:szCs w:val="18"/>
          <w:color w:val="363636"/>
        </w:rPr>
        <w:t>written consent</w:t>
      </w:r>
      <w:r>
        <w:rPr>
          <w:rFonts w:ascii="Arial" w:cs="Arial" w:eastAsia="Arial" w:hAnsi="Arial"/>
          <w:sz w:val="18"/>
          <w:szCs w:val="18"/>
          <w:color w:val="262626"/>
        </w:rPr>
        <w:t xml:space="preserve"> of the </w:t>
      </w:r>
      <w:r>
        <w:rPr>
          <w:rFonts w:ascii="Arial" w:cs="Arial" w:eastAsia="Arial" w:hAnsi="Arial"/>
          <w:sz w:val="18"/>
          <w:szCs w:val="18"/>
          <w:color w:val="363636"/>
        </w:rPr>
        <w:t>Company,</w:t>
      </w:r>
      <w:r>
        <w:rPr>
          <w:rFonts w:ascii="Arial" w:cs="Arial" w:eastAsia="Arial" w:hAnsi="Arial"/>
          <w:sz w:val="18"/>
          <w:szCs w:val="18"/>
          <w:color w:val="262626"/>
        </w:rPr>
        <w:t xml:space="preserve"> participate</w:t>
      </w:r>
      <w:r>
        <w:rPr>
          <w:rFonts w:ascii="Arial" w:cs="Arial" w:eastAsia="Arial" w:hAnsi="Arial"/>
          <w:sz w:val="18"/>
          <w:szCs w:val="18"/>
          <w:color w:val="575757"/>
        </w:rPr>
        <w:t>,</w:t>
      </w:r>
      <w:r>
        <w:rPr>
          <w:rFonts w:ascii="Arial" w:cs="Arial" w:eastAsia="Arial" w:hAnsi="Arial"/>
          <w:sz w:val="18"/>
          <w:szCs w:val="18"/>
          <w:color w:val="262626"/>
        </w:rPr>
        <w:t xml:space="preserve"> directly </w:t>
      </w:r>
      <w:r>
        <w:rPr>
          <w:rFonts w:ascii="Arial" w:cs="Arial" w:eastAsia="Arial" w:hAnsi="Arial"/>
          <w:sz w:val="18"/>
          <w:szCs w:val="18"/>
          <w:color w:val="363636"/>
        </w:rPr>
        <w:t>or</w:t>
      </w:r>
      <w:r>
        <w:rPr>
          <w:rFonts w:ascii="Arial" w:cs="Arial" w:eastAsia="Arial" w:hAnsi="Arial"/>
          <w:sz w:val="18"/>
          <w:szCs w:val="18"/>
          <w:color w:val="262626"/>
        </w:rPr>
        <w:t xml:space="preserve"> indirectly, </w:t>
      </w:r>
      <w:r>
        <w:rPr>
          <w:rFonts w:ascii="Arial" w:cs="Arial" w:eastAsia="Arial" w:hAnsi="Arial"/>
          <w:sz w:val="18"/>
          <w:szCs w:val="18"/>
          <w:color w:val="363636"/>
        </w:rPr>
        <w:t>as an</w:t>
      </w:r>
      <w:r>
        <w:rPr>
          <w:rFonts w:ascii="Arial" w:cs="Arial" w:eastAsia="Arial" w:hAnsi="Arial"/>
          <w:sz w:val="18"/>
          <w:szCs w:val="18"/>
          <w:color w:val="262626"/>
        </w:rPr>
        <w:t xml:space="preserve"> individual proprietor, partner, </w:t>
      </w:r>
      <w:r>
        <w:rPr>
          <w:rFonts w:ascii="Arial" w:cs="Arial" w:eastAsia="Arial" w:hAnsi="Arial"/>
          <w:sz w:val="18"/>
          <w:szCs w:val="18"/>
          <w:color w:val="363636"/>
        </w:rPr>
        <w:t>stockholder,</w:t>
      </w:r>
      <w:r>
        <w:rPr>
          <w:rFonts w:ascii="Arial" w:cs="Arial" w:eastAsia="Arial" w:hAnsi="Arial"/>
          <w:sz w:val="18"/>
          <w:szCs w:val="18"/>
          <w:color w:val="262626"/>
        </w:rPr>
        <w:t xml:space="preserve"> </w:t>
      </w:r>
      <w:r>
        <w:rPr>
          <w:rFonts w:ascii="Arial" w:cs="Arial" w:eastAsia="Arial" w:hAnsi="Arial"/>
          <w:sz w:val="18"/>
          <w:szCs w:val="18"/>
          <w:color w:val="363636"/>
        </w:rPr>
        <w:t>officer, employee</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director, manager, joint</w:t>
      </w:r>
      <w:r>
        <w:rPr>
          <w:rFonts w:ascii="Arial" w:cs="Arial" w:eastAsia="Arial" w:hAnsi="Arial"/>
          <w:sz w:val="18"/>
          <w:szCs w:val="18"/>
          <w:color w:val="363636"/>
        </w:rPr>
        <w:t xml:space="preserve"> venture </w:t>
      </w:r>
      <w:r>
        <w:rPr>
          <w:rFonts w:ascii="Arial" w:cs="Arial" w:eastAsia="Arial" w:hAnsi="Arial"/>
          <w:sz w:val="18"/>
          <w:szCs w:val="18"/>
          <w:color w:val="262626"/>
        </w:rPr>
        <w:t>participant, investor</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lender,</w:t>
      </w:r>
      <w:r>
        <w:rPr>
          <w:rFonts w:ascii="Arial" w:cs="Arial" w:eastAsia="Arial" w:hAnsi="Arial"/>
          <w:sz w:val="18"/>
          <w:szCs w:val="18"/>
          <w:color w:val="363636"/>
        </w:rPr>
        <w:t xml:space="preserve"> consultant </w:t>
      </w:r>
      <w:r>
        <w:rPr>
          <w:rFonts w:ascii="Arial" w:cs="Arial" w:eastAsia="Arial" w:hAnsi="Arial"/>
          <w:sz w:val="18"/>
          <w:szCs w:val="18"/>
          <w:color w:val="262626"/>
        </w:rPr>
        <w:t>or</w:t>
      </w:r>
      <w:r>
        <w:rPr>
          <w:rFonts w:ascii="Arial" w:cs="Arial" w:eastAsia="Arial" w:hAnsi="Arial"/>
          <w:sz w:val="18"/>
          <w:szCs w:val="18"/>
          <w:color w:val="363636"/>
        </w:rPr>
        <w:t xml:space="preserve"> </w:t>
      </w:r>
      <w:r>
        <w:rPr>
          <w:rFonts w:ascii="Arial" w:cs="Arial" w:eastAsia="Arial" w:hAnsi="Arial"/>
          <w:sz w:val="19"/>
          <w:szCs w:val="19"/>
          <w:color w:val="262626"/>
        </w:rPr>
        <w:t>in</w:t>
      </w:r>
      <w:r>
        <w:rPr>
          <w:rFonts w:ascii="Arial" w:cs="Arial" w:eastAsia="Arial" w:hAnsi="Arial"/>
          <w:sz w:val="18"/>
          <w:szCs w:val="18"/>
          <w:color w:val="363636"/>
        </w:rPr>
        <w:t xml:space="preserve"> any </w:t>
      </w:r>
      <w:r>
        <w:rPr>
          <w:rFonts w:ascii="Arial" w:cs="Arial" w:eastAsia="Arial" w:hAnsi="Arial"/>
          <w:sz w:val="18"/>
          <w:szCs w:val="18"/>
          <w:color w:val="262626"/>
        </w:rPr>
        <w:t>capacity</w:t>
      </w:r>
      <w:r>
        <w:rPr>
          <w:rFonts w:ascii="Arial" w:cs="Arial" w:eastAsia="Arial" w:hAnsi="Arial"/>
          <w:sz w:val="18"/>
          <w:szCs w:val="18"/>
          <w:color w:val="363636"/>
        </w:rPr>
        <w:t xml:space="preserve"> whatsoever (within the United </w:t>
      </w:r>
      <w:r>
        <w:rPr>
          <w:rFonts w:ascii="Arial" w:cs="Arial" w:eastAsia="Arial" w:hAnsi="Arial"/>
          <w:sz w:val="18"/>
          <w:szCs w:val="18"/>
          <w:color w:val="262626"/>
        </w:rPr>
        <w:t>States</w:t>
      </w:r>
      <w:r>
        <w:rPr>
          <w:rFonts w:ascii="Arial" w:cs="Arial" w:eastAsia="Arial" w:hAnsi="Arial"/>
          <w:sz w:val="18"/>
          <w:szCs w:val="18"/>
          <w:color w:val="363636"/>
        </w:rPr>
        <w:t xml:space="preserve"> of </w:t>
      </w:r>
      <w:r>
        <w:rPr>
          <w:rFonts w:ascii="Arial" w:cs="Arial" w:eastAsia="Arial" w:hAnsi="Arial"/>
          <w:sz w:val="18"/>
          <w:szCs w:val="18"/>
          <w:color w:val="262626"/>
        </w:rPr>
        <w:t>America,</w:t>
      </w:r>
      <w:r>
        <w:rPr>
          <w:rFonts w:ascii="Arial" w:cs="Arial" w:eastAsia="Arial" w:hAnsi="Arial"/>
          <w:sz w:val="18"/>
          <w:szCs w:val="18"/>
          <w:color w:val="363636"/>
        </w:rPr>
        <w:t xml:space="preserve"> or in </w:t>
      </w:r>
      <w:r>
        <w:rPr>
          <w:rFonts w:ascii="Arial" w:cs="Arial" w:eastAsia="Arial" w:hAnsi="Arial"/>
          <w:sz w:val="18"/>
          <w:szCs w:val="18"/>
          <w:color w:val="262626"/>
        </w:rPr>
        <w:t>any</w:t>
      </w:r>
      <w:r>
        <w:rPr>
          <w:rFonts w:ascii="Arial" w:cs="Arial" w:eastAsia="Arial" w:hAnsi="Arial"/>
          <w:sz w:val="18"/>
          <w:szCs w:val="18"/>
          <w:color w:val="363636"/>
        </w:rPr>
        <w:t xml:space="preserve"> country where </w:t>
      </w:r>
      <w:r>
        <w:rPr>
          <w:rFonts w:ascii="Arial" w:cs="Arial" w:eastAsia="Arial" w:hAnsi="Arial"/>
          <w:sz w:val="18"/>
          <w:szCs w:val="18"/>
          <w:color w:val="262626"/>
        </w:rPr>
        <w:t>the</w:t>
      </w:r>
      <w:r>
        <w:rPr>
          <w:rFonts w:ascii="Arial" w:cs="Arial" w:eastAsia="Arial" w:hAnsi="Arial"/>
          <w:sz w:val="18"/>
          <w:szCs w:val="18"/>
          <w:color w:val="363636"/>
        </w:rPr>
        <w:t xml:space="preserve"> Company </w:t>
      </w:r>
      <w:r>
        <w:rPr>
          <w:rFonts w:ascii="Arial" w:cs="Arial" w:eastAsia="Arial" w:hAnsi="Arial"/>
          <w:sz w:val="18"/>
          <w:szCs w:val="18"/>
          <w:color w:val="262626"/>
        </w:rPr>
        <w:t>or</w:t>
      </w:r>
      <w:r>
        <w:rPr>
          <w:rFonts w:ascii="Arial" w:cs="Arial" w:eastAsia="Arial" w:hAnsi="Arial"/>
          <w:sz w:val="18"/>
          <w:szCs w:val="18"/>
          <w:color w:val="363636"/>
        </w:rPr>
        <w:t xml:space="preserve"> its subsidiariesor affiliates </w:t>
      </w:r>
      <w:r>
        <w:rPr>
          <w:rFonts w:ascii="Arial" w:cs="Arial" w:eastAsia="Arial" w:hAnsi="Arial"/>
          <w:sz w:val="18"/>
          <w:szCs w:val="18"/>
          <w:color w:val="262626"/>
        </w:rPr>
        <w:t>do business</w:t>
      </w:r>
      <w:r>
        <w:rPr>
          <w:rFonts w:ascii="Arial" w:cs="Arial" w:eastAsia="Arial" w:hAnsi="Arial"/>
          <w:sz w:val="18"/>
          <w:szCs w:val="18"/>
          <w:color w:val="363636"/>
        </w:rPr>
        <w:t xml:space="preserve"> or </w:t>
      </w:r>
      <w:r>
        <w:rPr>
          <w:rFonts w:ascii="Arial" w:cs="Arial" w:eastAsia="Arial" w:hAnsi="Arial"/>
          <w:sz w:val="18"/>
          <w:szCs w:val="18"/>
          <w:color w:val="262626"/>
        </w:rPr>
        <w:t>have</w:t>
      </w:r>
      <w:r>
        <w:rPr>
          <w:rFonts w:ascii="Arial" w:cs="Arial" w:eastAsia="Arial" w:hAnsi="Arial"/>
          <w:sz w:val="18"/>
          <w:szCs w:val="18"/>
          <w:color w:val="363636"/>
        </w:rPr>
        <w:t xml:space="preserve"> </w:t>
      </w:r>
      <w:r>
        <w:rPr>
          <w:rFonts w:ascii="Arial" w:cs="Arial" w:eastAsia="Arial" w:hAnsi="Arial"/>
          <w:sz w:val="18"/>
          <w:szCs w:val="18"/>
          <w:color w:val="262626"/>
        </w:rPr>
        <w:t xml:space="preserve">reasonable plans </w:t>
      </w:r>
      <w:r>
        <w:rPr>
          <w:rFonts w:ascii="Arial" w:cs="Arial" w:eastAsia="Arial" w:hAnsi="Arial"/>
          <w:sz w:val="18"/>
          <w:szCs w:val="18"/>
          <w:color w:val="363636"/>
        </w:rPr>
        <w:t>to</w:t>
      </w:r>
      <w:r>
        <w:rPr>
          <w:rFonts w:ascii="Arial" w:cs="Arial" w:eastAsia="Arial" w:hAnsi="Arial"/>
          <w:sz w:val="18"/>
          <w:szCs w:val="18"/>
          <w:color w:val="262626"/>
        </w:rPr>
        <w:t xml:space="preserve"> do business) in </w:t>
      </w:r>
      <w:r>
        <w:rPr>
          <w:rFonts w:ascii="Arial" w:cs="Arial" w:eastAsia="Arial" w:hAnsi="Arial"/>
          <w:sz w:val="18"/>
          <w:szCs w:val="18"/>
          <w:color w:val="363636"/>
        </w:rPr>
        <w:t>a</w:t>
      </w:r>
      <w:r>
        <w:rPr>
          <w:rFonts w:ascii="Arial" w:cs="Arial" w:eastAsia="Arial" w:hAnsi="Arial"/>
          <w:sz w:val="18"/>
          <w:szCs w:val="18"/>
          <w:color w:val="262626"/>
        </w:rPr>
        <w:t xml:space="preserve"> business </w:t>
      </w:r>
      <w:r>
        <w:rPr>
          <w:rFonts w:ascii="Arial" w:cs="Arial" w:eastAsia="Arial" w:hAnsi="Arial"/>
          <w:sz w:val="18"/>
          <w:szCs w:val="18"/>
          <w:color w:val="363636"/>
        </w:rPr>
        <w:t>engaged</w:t>
      </w:r>
      <w:r>
        <w:rPr>
          <w:rFonts w:ascii="Arial" w:cs="Arial" w:eastAsia="Arial" w:hAnsi="Arial"/>
          <w:sz w:val="18"/>
          <w:szCs w:val="18"/>
          <w:color w:val="262626"/>
        </w:rPr>
        <w:t xml:space="preserve"> in </w:t>
      </w:r>
      <w:r>
        <w:rPr>
          <w:rFonts w:ascii="Arial" w:cs="Arial" w:eastAsia="Arial" w:hAnsi="Arial"/>
          <w:sz w:val="18"/>
          <w:szCs w:val="18"/>
          <w:color w:val="363636"/>
        </w:rPr>
        <w:t>competition with</w:t>
      </w:r>
      <w:r>
        <w:rPr>
          <w:rFonts w:ascii="Arial" w:cs="Arial" w:eastAsia="Arial" w:hAnsi="Arial"/>
          <w:sz w:val="18"/>
          <w:szCs w:val="18"/>
          <w:color w:val="262626"/>
        </w:rPr>
        <w:t xml:space="preserve"> the </w:t>
      </w:r>
      <w:r>
        <w:rPr>
          <w:rFonts w:ascii="Arial" w:cs="Arial" w:eastAsia="Arial" w:hAnsi="Arial"/>
          <w:sz w:val="18"/>
          <w:szCs w:val="18"/>
          <w:color w:val="363636"/>
        </w:rPr>
        <w:t>Company</w:t>
      </w:r>
      <w:r>
        <w:rPr>
          <w:rFonts w:ascii="Arial" w:cs="Arial" w:eastAsia="Arial" w:hAnsi="Arial"/>
          <w:sz w:val="18"/>
          <w:szCs w:val="18"/>
          <w:color w:val="262626"/>
        </w:rPr>
        <w:t xml:space="preserve"> or </w:t>
      </w:r>
      <w:r>
        <w:rPr>
          <w:rFonts w:ascii="Arial" w:cs="Arial" w:eastAsia="Arial" w:hAnsi="Arial"/>
          <w:sz w:val="18"/>
          <w:szCs w:val="18"/>
          <w:color w:val="363636"/>
        </w:rPr>
        <w:t>any of</w:t>
      </w:r>
      <w:r>
        <w:rPr>
          <w:rFonts w:ascii="Arial" w:cs="Arial" w:eastAsia="Arial" w:hAnsi="Arial"/>
          <w:sz w:val="18"/>
          <w:szCs w:val="18"/>
          <w:color w:val="262626"/>
        </w:rPr>
        <w:t xml:space="preserve"> its </w:t>
      </w:r>
      <w:r>
        <w:rPr>
          <w:rFonts w:ascii="Arial" w:cs="Arial" w:eastAsia="Arial" w:hAnsi="Arial"/>
          <w:sz w:val="18"/>
          <w:szCs w:val="18"/>
          <w:color w:val="363636"/>
        </w:rPr>
        <w:t>subsidiaries or</w:t>
      </w:r>
      <w:r>
        <w:rPr>
          <w:rFonts w:ascii="Arial" w:cs="Arial" w:eastAsia="Arial" w:hAnsi="Arial"/>
          <w:sz w:val="18"/>
          <w:szCs w:val="18"/>
          <w:color w:val="262626"/>
        </w:rPr>
        <w:t xml:space="preserve"> </w:t>
      </w:r>
      <w:r>
        <w:rPr>
          <w:rFonts w:ascii="Arial" w:cs="Arial" w:eastAsia="Arial" w:hAnsi="Arial"/>
          <w:sz w:val="18"/>
          <w:szCs w:val="18"/>
          <w:color w:val="363636"/>
        </w:rPr>
        <w:t>affiliates</w:t>
      </w:r>
      <w:r>
        <w:rPr>
          <w:rFonts w:ascii="Arial" w:cs="Arial" w:eastAsia="Arial" w:hAnsi="Arial"/>
          <w:sz w:val="18"/>
          <w:szCs w:val="18"/>
          <w:color w:val="575757"/>
        </w:rPr>
        <w:t>,</w:t>
      </w:r>
      <w:r>
        <w:rPr>
          <w:rFonts w:ascii="Arial" w:cs="Arial" w:eastAsia="Arial" w:hAnsi="Arial"/>
          <w:sz w:val="18"/>
          <w:szCs w:val="18"/>
          <w:color w:val="363636"/>
        </w:rPr>
        <w:t xml:space="preserve"> or </w:t>
      </w:r>
      <w:r>
        <w:rPr>
          <w:rFonts w:ascii="Arial" w:cs="Arial" w:eastAsia="Arial" w:hAnsi="Arial"/>
          <w:sz w:val="18"/>
          <w:szCs w:val="18"/>
          <w:color w:val="262626"/>
        </w:rPr>
        <w:t>in a business</w:t>
      </w:r>
      <w:r>
        <w:rPr>
          <w:rFonts w:ascii="Arial" w:cs="Arial" w:eastAsia="Arial" w:hAnsi="Arial"/>
          <w:sz w:val="18"/>
          <w:szCs w:val="18"/>
          <w:color w:val="363636"/>
        </w:rPr>
        <w:t xml:space="preserve"> that </w:t>
      </w:r>
      <w:r>
        <w:rPr>
          <w:rFonts w:ascii="Arial" w:cs="Arial" w:eastAsia="Arial" w:hAnsi="Arial"/>
          <w:sz w:val="18"/>
          <w:szCs w:val="18"/>
          <w:color w:val="262626"/>
        </w:rPr>
        <w:t>the</w:t>
      </w:r>
      <w:r>
        <w:rPr>
          <w:rFonts w:ascii="Arial" w:cs="Arial" w:eastAsia="Arial" w:hAnsi="Arial"/>
          <w:sz w:val="18"/>
          <w:szCs w:val="18"/>
          <w:color w:val="363636"/>
        </w:rPr>
        <w:t xml:space="preserve"> Company </w:t>
      </w:r>
      <w:r>
        <w:rPr>
          <w:rFonts w:ascii="Arial" w:cs="Arial" w:eastAsia="Arial" w:hAnsi="Arial"/>
          <w:sz w:val="18"/>
          <w:szCs w:val="18"/>
          <w:color w:val="262626"/>
        </w:rPr>
        <w:t>or</w:t>
      </w:r>
      <w:r>
        <w:rPr>
          <w:rFonts w:ascii="Arial" w:cs="Arial" w:eastAsia="Arial" w:hAnsi="Arial"/>
          <w:sz w:val="18"/>
          <w:szCs w:val="18"/>
          <w:color w:val="363636"/>
        </w:rPr>
        <w:t xml:space="preserve"> any </w:t>
      </w:r>
      <w:r>
        <w:rPr>
          <w:rFonts w:ascii="Arial" w:cs="Arial" w:eastAsia="Arial" w:hAnsi="Arial"/>
          <w:sz w:val="18"/>
          <w:szCs w:val="18"/>
          <w:color w:val="262626"/>
        </w:rPr>
        <w:t>of its</w:t>
      </w:r>
      <w:r>
        <w:rPr>
          <w:rFonts w:ascii="Arial" w:cs="Arial" w:eastAsia="Arial" w:hAnsi="Arial"/>
          <w:sz w:val="18"/>
          <w:szCs w:val="18"/>
          <w:color w:val="363636"/>
        </w:rPr>
        <w:t xml:space="preserve"> subsidiaries or </w:t>
      </w:r>
      <w:r>
        <w:rPr>
          <w:rFonts w:ascii="Arial" w:cs="Arial" w:eastAsia="Arial" w:hAnsi="Arial"/>
          <w:sz w:val="18"/>
          <w:szCs w:val="18"/>
          <w:color w:val="262626"/>
        </w:rPr>
        <w:t>affiliates has taken</w:t>
      </w:r>
      <w:r>
        <w:rPr>
          <w:rFonts w:ascii="Arial" w:cs="Arial" w:eastAsia="Arial" w:hAnsi="Arial"/>
          <w:sz w:val="18"/>
          <w:szCs w:val="18"/>
          <w:color w:val="363636"/>
        </w:rPr>
        <w:t xml:space="preserve"> reasonable steps to engage </w:t>
      </w:r>
      <w:r>
        <w:rPr>
          <w:rFonts w:ascii="Arial" w:cs="Arial" w:eastAsia="Arial" w:hAnsi="Arial"/>
          <w:sz w:val="18"/>
          <w:szCs w:val="18"/>
          <w:color w:val="262626"/>
        </w:rPr>
        <w:t>in</w:t>
      </w:r>
      <w:r>
        <w:rPr>
          <w:rFonts w:ascii="Arial" w:cs="Arial" w:eastAsia="Arial" w:hAnsi="Arial"/>
          <w:sz w:val="18"/>
          <w:szCs w:val="18"/>
          <w:color w:val="363636"/>
        </w:rPr>
        <w:t xml:space="preserve"> (including</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but not limited to</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meeting</w:t>
      </w:r>
      <w:r>
        <w:rPr>
          <w:rFonts w:ascii="Arial" w:cs="Arial" w:eastAsia="Arial" w:hAnsi="Arial"/>
          <w:sz w:val="18"/>
          <w:szCs w:val="18"/>
          <w:color w:val="363636"/>
        </w:rPr>
        <w:t xml:space="preserve"> with </w:t>
      </w:r>
      <w:r>
        <w:rPr>
          <w:rFonts w:ascii="Arial" w:cs="Arial" w:eastAsia="Arial" w:hAnsi="Arial"/>
          <w:sz w:val="18"/>
          <w:szCs w:val="18"/>
          <w:color w:val="262626"/>
        </w:rPr>
        <w:t>management teams</w:t>
      </w:r>
      <w:r>
        <w:rPr>
          <w:rFonts w:ascii="Arial" w:cs="Arial" w:eastAsia="Arial" w:hAnsi="Arial"/>
          <w:sz w:val="18"/>
          <w:szCs w:val="18"/>
          <w:color w:val="363636"/>
        </w:rPr>
        <w:t xml:space="preserve"> or entering </w:t>
      </w:r>
      <w:r>
        <w:rPr>
          <w:rFonts w:ascii="Arial" w:cs="Arial" w:eastAsia="Arial" w:hAnsi="Arial"/>
          <w:sz w:val="18"/>
          <w:szCs w:val="18"/>
          <w:color w:val="262626"/>
        </w:rPr>
        <w:t>into</w:t>
      </w:r>
      <w:r>
        <w:rPr>
          <w:rFonts w:ascii="Arial" w:cs="Arial" w:eastAsia="Arial" w:hAnsi="Arial"/>
          <w:sz w:val="18"/>
          <w:szCs w:val="18"/>
          <w:color w:val="363636"/>
        </w:rPr>
        <w:t xml:space="preserve"> preliminary or </w:t>
      </w:r>
      <w:r>
        <w:rPr>
          <w:rFonts w:ascii="Arial" w:cs="Arial" w:eastAsia="Arial" w:hAnsi="Arial"/>
          <w:sz w:val="18"/>
          <w:szCs w:val="18"/>
          <w:color w:val="262626"/>
        </w:rPr>
        <w:t>definitive term</w:t>
      </w:r>
      <w:r>
        <w:rPr>
          <w:rFonts w:ascii="Arial" w:cs="Arial" w:eastAsia="Arial" w:hAnsi="Arial"/>
          <w:sz w:val="18"/>
          <w:szCs w:val="18"/>
          <w:color w:val="363636"/>
        </w:rPr>
        <w:t xml:space="preserve"> sheets, </w:t>
      </w:r>
      <w:r>
        <w:rPr>
          <w:rFonts w:ascii="Arial" w:cs="Arial" w:eastAsia="Arial" w:hAnsi="Arial"/>
          <w:sz w:val="18"/>
          <w:szCs w:val="18"/>
          <w:color w:val="262626"/>
        </w:rPr>
        <w:t>letters</w:t>
      </w:r>
      <w:r>
        <w:rPr>
          <w:rFonts w:ascii="Arial" w:cs="Arial" w:eastAsia="Arial" w:hAnsi="Arial"/>
          <w:sz w:val="18"/>
          <w:szCs w:val="18"/>
          <w:color w:val="363636"/>
        </w:rPr>
        <w:t xml:space="preserve"> of </w:t>
      </w:r>
      <w:r>
        <w:rPr>
          <w:rFonts w:ascii="Arial" w:cs="Arial" w:eastAsia="Arial" w:hAnsi="Arial"/>
          <w:sz w:val="18"/>
          <w:szCs w:val="18"/>
          <w:color w:val="262626"/>
        </w:rPr>
        <w:t xml:space="preserve">intent, purchase </w:t>
      </w:r>
      <w:r>
        <w:rPr>
          <w:rFonts w:ascii="Arial" w:cs="Arial" w:eastAsia="Arial" w:hAnsi="Arial"/>
          <w:sz w:val="18"/>
          <w:szCs w:val="18"/>
          <w:color w:val="363636"/>
        </w:rPr>
        <w:t>agreements</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or other</w:t>
      </w:r>
      <w:r>
        <w:rPr>
          <w:rFonts w:ascii="Arial" w:cs="Arial" w:eastAsia="Arial" w:hAnsi="Arial"/>
          <w:sz w:val="18"/>
          <w:szCs w:val="18"/>
          <w:color w:val="262626"/>
        </w:rPr>
        <w:t xml:space="preserve"> similar arrangements </w:t>
      </w:r>
      <w:r>
        <w:rPr>
          <w:rFonts w:ascii="Arial" w:cs="Arial" w:eastAsia="Arial" w:hAnsi="Arial"/>
          <w:sz w:val="18"/>
          <w:szCs w:val="18"/>
          <w:color w:val="363636"/>
        </w:rPr>
        <w:t>or agreements)</w:t>
      </w:r>
      <w:r>
        <w:rPr>
          <w:rFonts w:ascii="Arial" w:cs="Arial" w:eastAsia="Arial" w:hAnsi="Arial"/>
          <w:sz w:val="18"/>
          <w:szCs w:val="18"/>
          <w:color w:val="262626"/>
        </w:rPr>
        <w:t xml:space="preserve"> of which </w:t>
      </w:r>
      <w:r>
        <w:rPr>
          <w:rFonts w:ascii="Arial" w:cs="Arial" w:eastAsia="Arial" w:hAnsi="Arial"/>
          <w:sz w:val="18"/>
          <w:szCs w:val="18"/>
          <w:color w:val="363636"/>
        </w:rPr>
        <w:t>the Executive</w:t>
      </w:r>
      <w:r>
        <w:rPr>
          <w:rFonts w:ascii="Arial" w:cs="Arial" w:eastAsia="Arial" w:hAnsi="Arial"/>
          <w:sz w:val="18"/>
          <w:szCs w:val="18"/>
          <w:color w:val="262626"/>
        </w:rPr>
        <w:t xml:space="preserve"> has knowledge at the time </w:t>
      </w:r>
      <w:r>
        <w:rPr>
          <w:rFonts w:ascii="Arial" w:cs="Arial" w:eastAsia="Arial" w:hAnsi="Arial"/>
          <w:sz w:val="18"/>
          <w:szCs w:val="18"/>
          <w:color w:val="363636"/>
        </w:rPr>
        <w:t>of Executive's employment</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provided</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however</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that</w:t>
      </w:r>
      <w:r>
        <w:rPr>
          <w:rFonts w:ascii="Arial" w:cs="Arial" w:eastAsia="Arial" w:hAnsi="Arial"/>
          <w:sz w:val="18"/>
          <w:szCs w:val="18"/>
          <w:color w:val="363636"/>
        </w:rPr>
        <w:t xml:space="preserve"> such </w:t>
      </w:r>
      <w:r>
        <w:rPr>
          <w:rFonts w:ascii="Arial" w:cs="Arial" w:eastAsia="Arial" w:hAnsi="Arial"/>
          <w:sz w:val="18"/>
          <w:szCs w:val="18"/>
          <w:color w:val="262626"/>
        </w:rPr>
        <w:t>participation</w:t>
      </w:r>
      <w:r>
        <w:rPr>
          <w:rFonts w:ascii="Arial" w:cs="Arial" w:eastAsia="Arial" w:hAnsi="Arial"/>
          <w:sz w:val="18"/>
          <w:szCs w:val="18"/>
          <w:color w:val="363636"/>
        </w:rPr>
        <w:t xml:space="preserve"> shall </w:t>
      </w:r>
      <w:r>
        <w:rPr>
          <w:rFonts w:ascii="Arial" w:cs="Arial" w:eastAsia="Arial" w:hAnsi="Arial"/>
          <w:sz w:val="18"/>
          <w:szCs w:val="18"/>
          <w:color w:val="262626"/>
        </w:rPr>
        <w:t>not include</w:t>
      </w:r>
      <w:r>
        <w:rPr>
          <w:rFonts w:ascii="Arial" w:cs="Arial" w:eastAsia="Arial" w:hAnsi="Arial"/>
          <w:sz w:val="18"/>
          <w:szCs w:val="18"/>
          <w:color w:val="363636"/>
        </w:rPr>
        <w:t xml:space="preserve"> the </w:t>
      </w:r>
      <w:r>
        <w:rPr>
          <w:rFonts w:ascii="Arial" w:cs="Arial" w:eastAsia="Arial" w:hAnsi="Arial"/>
          <w:sz w:val="18"/>
          <w:szCs w:val="18"/>
          <w:color w:val="262626"/>
        </w:rPr>
        <w:t>mere ownership</w:t>
      </w:r>
      <w:r>
        <w:rPr>
          <w:rFonts w:ascii="Arial" w:cs="Arial" w:eastAsia="Arial" w:hAnsi="Arial"/>
          <w:sz w:val="18"/>
          <w:szCs w:val="18"/>
          <w:color w:val="363636"/>
        </w:rPr>
        <w:t xml:space="preserve"> of </w:t>
      </w:r>
      <w:r>
        <w:rPr>
          <w:rFonts w:ascii="Arial" w:cs="Arial" w:eastAsia="Arial" w:hAnsi="Arial"/>
          <w:sz w:val="18"/>
          <w:szCs w:val="18"/>
          <w:color w:val="262626"/>
        </w:rPr>
        <w:t>not more than</w:t>
      </w:r>
      <w:r>
        <w:rPr>
          <w:rFonts w:ascii="Arial" w:cs="Arial" w:eastAsia="Arial" w:hAnsi="Arial"/>
          <w:sz w:val="18"/>
          <w:szCs w:val="18"/>
          <w:color w:val="363636"/>
        </w:rPr>
        <w:t xml:space="preserve"> one </w:t>
      </w:r>
      <w:r>
        <w:rPr>
          <w:rFonts w:ascii="Arial" w:cs="Arial" w:eastAsia="Arial" w:hAnsi="Arial"/>
          <w:sz w:val="18"/>
          <w:szCs w:val="18"/>
          <w:color w:val="262626"/>
        </w:rPr>
        <w:t>percent</w:t>
      </w:r>
      <w:r>
        <w:rPr>
          <w:rFonts w:ascii="Arial" w:cs="Arial" w:eastAsia="Arial" w:hAnsi="Arial"/>
          <w:sz w:val="18"/>
          <w:szCs w:val="18"/>
          <w:color w:val="363636"/>
        </w:rPr>
        <w:t xml:space="preserve"> (1%) of the total </w:t>
      </w:r>
      <w:r>
        <w:rPr>
          <w:rFonts w:ascii="Arial" w:cs="Arial" w:eastAsia="Arial" w:hAnsi="Arial"/>
          <w:sz w:val="18"/>
          <w:szCs w:val="18"/>
          <w:color w:val="262626"/>
        </w:rPr>
        <w:t>outstanding</w:t>
      </w:r>
      <w:r>
        <w:rPr>
          <w:rFonts w:ascii="Arial" w:cs="Arial" w:eastAsia="Arial" w:hAnsi="Arial"/>
          <w:sz w:val="18"/>
          <w:szCs w:val="18"/>
          <w:color w:val="363636"/>
        </w:rPr>
        <w:t xml:space="preserve"> stock of </w:t>
      </w:r>
      <w:r>
        <w:rPr>
          <w:rFonts w:ascii="Arial" w:cs="Arial" w:eastAsia="Arial" w:hAnsi="Arial"/>
          <w:sz w:val="18"/>
          <w:szCs w:val="18"/>
          <w:color w:val="262626"/>
        </w:rPr>
        <w:t>a publicly he</w:t>
      </w:r>
      <w:r>
        <w:rPr>
          <w:rFonts w:ascii="Arial" w:cs="Arial" w:eastAsia="Arial" w:hAnsi="Arial"/>
          <w:sz w:val="18"/>
          <w:szCs w:val="18"/>
          <w:color w:val="0E0E0C"/>
        </w:rPr>
        <w:t>l</w:t>
      </w:r>
      <w:r>
        <w:rPr>
          <w:rFonts w:ascii="Arial" w:cs="Arial" w:eastAsia="Arial" w:hAnsi="Arial"/>
          <w:sz w:val="18"/>
          <w:szCs w:val="18"/>
          <w:color w:val="262626"/>
        </w:rPr>
        <w:t>d</w:t>
      </w:r>
      <w:r>
        <w:rPr>
          <w:rFonts w:ascii="Arial" w:cs="Arial" w:eastAsia="Arial" w:hAnsi="Arial"/>
          <w:sz w:val="18"/>
          <w:szCs w:val="18"/>
          <w:color w:val="363636"/>
        </w:rPr>
        <w:t xml:space="preserve"> company. </w:t>
      </w:r>
      <w:r>
        <w:rPr>
          <w:rFonts w:ascii="Arial" w:cs="Arial" w:eastAsia="Arial" w:hAnsi="Arial"/>
          <w:sz w:val="18"/>
          <w:szCs w:val="18"/>
          <w:color w:val="262626"/>
        </w:rPr>
        <w:t>At</w:t>
      </w:r>
      <w:r>
        <w:rPr>
          <w:rFonts w:ascii="Arial" w:cs="Arial" w:eastAsia="Arial" w:hAnsi="Arial"/>
          <w:sz w:val="18"/>
          <w:szCs w:val="18"/>
          <w:color w:val="363636"/>
        </w:rPr>
        <w:t xml:space="preserve"> all </w:t>
      </w:r>
      <w:r>
        <w:rPr>
          <w:rFonts w:ascii="Arial" w:cs="Arial" w:eastAsia="Arial" w:hAnsi="Arial"/>
          <w:sz w:val="18"/>
          <w:szCs w:val="18"/>
          <w:color w:val="262626"/>
        </w:rPr>
        <w:t>times</w:t>
      </w:r>
      <w:r>
        <w:rPr>
          <w:rFonts w:ascii="Arial" w:cs="Arial" w:eastAsia="Arial" w:hAnsi="Arial"/>
          <w:sz w:val="18"/>
          <w:szCs w:val="18"/>
          <w:color w:val="363636"/>
        </w:rPr>
        <w:t xml:space="preserve"> following </w:t>
      </w:r>
      <w:r>
        <w:rPr>
          <w:rFonts w:ascii="Arial" w:cs="Arial" w:eastAsia="Arial" w:hAnsi="Arial"/>
          <w:sz w:val="18"/>
          <w:szCs w:val="18"/>
          <w:color w:val="262626"/>
        </w:rPr>
        <w:t>the termination</w:t>
      </w:r>
      <w:r>
        <w:rPr>
          <w:rFonts w:ascii="Arial" w:cs="Arial" w:eastAsia="Arial" w:hAnsi="Arial"/>
          <w:sz w:val="18"/>
          <w:szCs w:val="18"/>
          <w:color w:val="363636"/>
        </w:rPr>
        <w:t xml:space="preserve"> of Executive's </w:t>
      </w:r>
      <w:r>
        <w:rPr>
          <w:rFonts w:ascii="Arial" w:cs="Arial" w:eastAsia="Arial" w:hAnsi="Arial"/>
          <w:sz w:val="18"/>
          <w:szCs w:val="18"/>
          <w:color w:val="262626"/>
        </w:rPr>
        <w:t>employment as</w:t>
      </w:r>
      <w:r>
        <w:rPr>
          <w:rFonts w:ascii="Arial" w:cs="Arial" w:eastAsia="Arial" w:hAnsi="Arial"/>
          <w:sz w:val="18"/>
          <w:szCs w:val="18"/>
          <w:color w:val="363636"/>
        </w:rPr>
        <w:t xml:space="preserve"> Chief Financial </w:t>
      </w:r>
      <w:r>
        <w:rPr>
          <w:rFonts w:ascii="Arial" w:cs="Arial" w:eastAsia="Arial" w:hAnsi="Arial"/>
          <w:sz w:val="18"/>
          <w:szCs w:val="18"/>
          <w:color w:val="262626"/>
        </w:rPr>
        <w:t>Officer</w:t>
      </w:r>
      <w:r>
        <w:rPr>
          <w:rFonts w:ascii="Arial" w:cs="Arial" w:eastAsia="Arial" w:hAnsi="Arial"/>
          <w:sz w:val="18"/>
          <w:szCs w:val="18"/>
          <w:color w:val="363636"/>
        </w:rPr>
        <w:t xml:space="preserve"> of the Company </w:t>
      </w:r>
      <w:r>
        <w:rPr>
          <w:rFonts w:ascii="Arial" w:cs="Arial" w:eastAsia="Arial" w:hAnsi="Arial"/>
          <w:sz w:val="18"/>
          <w:szCs w:val="18"/>
          <w:color w:val="262626"/>
        </w:rPr>
        <w:t>for</w:t>
      </w:r>
      <w:r>
        <w:rPr>
          <w:rFonts w:ascii="Arial" w:cs="Arial" w:eastAsia="Arial" w:hAnsi="Arial"/>
          <w:sz w:val="18"/>
          <w:szCs w:val="18"/>
          <w:color w:val="363636"/>
        </w:rPr>
        <w:t xml:space="preserve"> any reason, Executive shall </w:t>
      </w:r>
      <w:r>
        <w:rPr>
          <w:rFonts w:ascii="Arial" w:cs="Arial" w:eastAsia="Arial" w:hAnsi="Arial"/>
          <w:sz w:val="18"/>
          <w:szCs w:val="18"/>
          <w:color w:val="262626"/>
        </w:rPr>
        <w:t>not,</w:t>
      </w:r>
      <w:r>
        <w:rPr>
          <w:rFonts w:ascii="Arial" w:cs="Arial" w:eastAsia="Arial" w:hAnsi="Arial"/>
          <w:sz w:val="18"/>
          <w:szCs w:val="18"/>
          <w:color w:val="363636"/>
        </w:rPr>
        <w:t xml:space="preserve"> either </w:t>
      </w:r>
      <w:r>
        <w:rPr>
          <w:rFonts w:ascii="Arial" w:cs="Arial" w:eastAsia="Arial" w:hAnsi="Arial"/>
          <w:sz w:val="18"/>
          <w:szCs w:val="18"/>
          <w:color w:val="262626"/>
        </w:rPr>
        <w:t>directly</w:t>
      </w:r>
      <w:r>
        <w:rPr>
          <w:rFonts w:ascii="Arial" w:cs="Arial" w:eastAsia="Arial" w:hAnsi="Arial"/>
          <w:sz w:val="18"/>
          <w:szCs w:val="18"/>
          <w:color w:val="363636"/>
        </w:rPr>
        <w:t xml:space="preserve"> or </w:t>
      </w:r>
      <w:r>
        <w:rPr>
          <w:rFonts w:ascii="Arial" w:cs="Arial" w:eastAsia="Arial" w:hAnsi="Arial"/>
          <w:sz w:val="18"/>
          <w:szCs w:val="18"/>
          <w:color w:val="262626"/>
        </w:rPr>
        <w:t>indirectly</w:t>
      </w:r>
      <w:r>
        <w:rPr>
          <w:rFonts w:ascii="Arial" w:cs="Arial" w:eastAsia="Arial" w:hAnsi="Arial"/>
          <w:sz w:val="18"/>
          <w:szCs w:val="18"/>
          <w:color w:val="575757"/>
        </w:rPr>
        <w:t>,</w:t>
      </w:r>
      <w:r>
        <w:rPr>
          <w:rFonts w:ascii="Arial" w:cs="Arial" w:eastAsia="Arial" w:hAnsi="Arial"/>
          <w:sz w:val="18"/>
          <w:szCs w:val="18"/>
          <w:color w:val="262626"/>
        </w:rPr>
        <w:t xml:space="preserve"> engage </w:t>
      </w:r>
      <w:r>
        <w:rPr>
          <w:rFonts w:ascii="Arial" w:cs="Arial" w:eastAsia="Arial" w:hAnsi="Arial"/>
          <w:sz w:val="18"/>
          <w:szCs w:val="18"/>
          <w:color w:val="363636"/>
        </w:rPr>
        <w:t>in any</w:t>
      </w:r>
      <w:r>
        <w:rPr>
          <w:rFonts w:ascii="Arial" w:cs="Arial" w:eastAsia="Arial" w:hAnsi="Arial"/>
          <w:sz w:val="18"/>
          <w:szCs w:val="18"/>
          <w:color w:val="262626"/>
        </w:rPr>
        <w:t xml:space="preserve"> unlawful competitive activities </w:t>
      </w:r>
      <w:r>
        <w:rPr>
          <w:rFonts w:ascii="Arial" w:cs="Arial" w:eastAsia="Arial" w:hAnsi="Arial"/>
          <w:sz w:val="18"/>
          <w:szCs w:val="18"/>
          <w:color w:val="363636"/>
        </w:rPr>
        <w:t>or use confidential trade secret</w:t>
      </w:r>
      <w:r>
        <w:rPr>
          <w:rFonts w:ascii="Arial" w:cs="Arial" w:eastAsia="Arial" w:hAnsi="Arial"/>
          <w:sz w:val="18"/>
          <w:szCs w:val="18"/>
          <w:color w:val="262626"/>
        </w:rPr>
        <w:t xml:space="preserve"> information </w:t>
      </w:r>
      <w:r>
        <w:rPr>
          <w:rFonts w:ascii="Arial" w:cs="Arial" w:eastAsia="Arial" w:hAnsi="Arial"/>
          <w:sz w:val="18"/>
          <w:szCs w:val="18"/>
          <w:color w:val="363636"/>
        </w:rPr>
        <w:t>for any</w:t>
      </w:r>
      <w:r>
        <w:rPr>
          <w:rFonts w:ascii="Arial" w:cs="Arial" w:eastAsia="Arial" w:hAnsi="Arial"/>
          <w:sz w:val="18"/>
          <w:szCs w:val="18"/>
          <w:color w:val="262626"/>
        </w:rPr>
        <w:t xml:space="preserve"> purpose.</w:t>
      </w:r>
    </w:p>
    <w:p>
      <w:pPr>
        <w:spacing w:after="0" w:line="176" w:lineRule="exact"/>
        <w:rPr>
          <w:sz w:val="20"/>
          <w:szCs w:val="20"/>
          <w:color w:val="auto"/>
        </w:rPr>
      </w:pPr>
    </w:p>
    <w:p>
      <w:pPr>
        <w:ind w:left="487"/>
        <w:spacing w:after="0"/>
        <w:tabs>
          <w:tab w:leader="none" w:pos="1266" w:val="left"/>
        </w:tabs>
        <w:rPr>
          <w:sz w:val="20"/>
          <w:szCs w:val="20"/>
          <w:color w:val="auto"/>
        </w:rPr>
      </w:pPr>
      <w:r>
        <w:rPr>
          <w:rFonts w:ascii="Arial" w:cs="Arial" w:eastAsia="Arial" w:hAnsi="Arial"/>
          <w:sz w:val="20"/>
          <w:szCs w:val="20"/>
          <w:color w:val="262626"/>
        </w:rPr>
        <w:t>4.3</w:t>
      </w:r>
      <w:r>
        <w:rPr>
          <w:sz w:val="20"/>
          <w:szCs w:val="20"/>
          <w:color w:val="auto"/>
        </w:rPr>
        <w:tab/>
      </w:r>
      <w:r>
        <w:rPr>
          <w:rFonts w:ascii="Arial" w:cs="Arial" w:eastAsia="Arial" w:hAnsi="Arial"/>
          <w:sz w:val="18"/>
          <w:szCs w:val="18"/>
          <w:u w:val="single" w:color="auto"/>
          <w:color w:val="363636"/>
        </w:rPr>
        <w:t>Non</w:t>
      </w:r>
      <w:r>
        <w:rPr>
          <w:rFonts w:ascii="Arial" w:cs="Arial" w:eastAsia="Arial" w:hAnsi="Arial"/>
          <w:sz w:val="18"/>
          <w:szCs w:val="18"/>
          <w:u w:val="single" w:color="auto"/>
          <w:color w:val="0E0E0C"/>
        </w:rPr>
        <w:t>-</w:t>
      </w:r>
      <w:r>
        <w:rPr>
          <w:rFonts w:ascii="Arial" w:cs="Arial" w:eastAsia="Arial" w:hAnsi="Arial"/>
          <w:sz w:val="18"/>
          <w:szCs w:val="18"/>
          <w:u w:val="single" w:color="auto"/>
          <w:color w:val="363636"/>
        </w:rPr>
        <w:t xml:space="preserve">Solicitation. </w:t>
      </w:r>
      <w:r>
        <w:rPr>
          <w:rFonts w:ascii="Arial" w:cs="Arial" w:eastAsia="Arial" w:hAnsi="Arial"/>
          <w:sz w:val="18"/>
          <w:szCs w:val="18"/>
          <w:color w:val="363636"/>
        </w:rPr>
        <w:t>For a period</w:t>
      </w:r>
      <w:r>
        <w:rPr>
          <w:rFonts w:ascii="Arial" w:cs="Arial" w:eastAsia="Arial" w:hAnsi="Arial"/>
          <w:sz w:val="18"/>
          <w:szCs w:val="18"/>
          <w:u w:val="single" w:color="auto"/>
          <w:color w:val="363636"/>
        </w:rPr>
        <w:t xml:space="preserve"> </w:t>
      </w:r>
      <w:r>
        <w:rPr>
          <w:rFonts w:ascii="Arial" w:cs="Arial" w:eastAsia="Arial" w:hAnsi="Arial"/>
          <w:sz w:val="18"/>
          <w:szCs w:val="18"/>
          <w:color w:val="262626"/>
        </w:rPr>
        <w:t>beginning</w:t>
      </w:r>
      <w:r>
        <w:rPr>
          <w:rFonts w:ascii="Arial" w:cs="Arial" w:eastAsia="Arial" w:hAnsi="Arial"/>
          <w:sz w:val="18"/>
          <w:szCs w:val="18"/>
          <w:u w:val="single" w:color="auto"/>
          <w:color w:val="363636"/>
        </w:rPr>
        <w:t xml:space="preserve"> </w:t>
      </w:r>
      <w:r>
        <w:rPr>
          <w:rFonts w:ascii="Arial" w:cs="Arial" w:eastAsia="Arial" w:hAnsi="Arial"/>
          <w:sz w:val="18"/>
          <w:szCs w:val="18"/>
          <w:color w:val="363636"/>
        </w:rPr>
        <w:t>on</w:t>
      </w:r>
      <w:r>
        <w:rPr>
          <w:rFonts w:ascii="Arial" w:cs="Arial" w:eastAsia="Arial" w:hAnsi="Arial"/>
          <w:sz w:val="18"/>
          <w:szCs w:val="18"/>
          <w:u w:val="single" w:color="auto"/>
          <w:color w:val="363636"/>
        </w:rPr>
        <w:t xml:space="preserve"> </w:t>
      </w:r>
      <w:r>
        <w:rPr>
          <w:rFonts w:ascii="Arial" w:cs="Arial" w:eastAsia="Arial" w:hAnsi="Arial"/>
          <w:sz w:val="18"/>
          <w:szCs w:val="18"/>
          <w:color w:val="262626"/>
        </w:rPr>
        <w:t>the</w:t>
      </w:r>
      <w:r>
        <w:rPr>
          <w:rFonts w:ascii="Arial" w:cs="Arial" w:eastAsia="Arial" w:hAnsi="Arial"/>
          <w:sz w:val="18"/>
          <w:szCs w:val="18"/>
          <w:u w:val="single" w:color="auto"/>
          <w:color w:val="363636"/>
        </w:rPr>
        <w:t xml:space="preserve"> </w:t>
      </w:r>
      <w:r>
        <w:rPr>
          <w:rFonts w:ascii="Arial" w:cs="Arial" w:eastAsia="Arial" w:hAnsi="Arial"/>
          <w:sz w:val="18"/>
          <w:szCs w:val="18"/>
          <w:color w:val="363636"/>
        </w:rPr>
        <w:t>Effective</w:t>
      </w:r>
      <w:r>
        <w:rPr>
          <w:rFonts w:ascii="Arial" w:cs="Arial" w:eastAsia="Arial" w:hAnsi="Arial"/>
          <w:sz w:val="18"/>
          <w:szCs w:val="18"/>
          <w:u w:val="single" w:color="auto"/>
          <w:color w:val="363636"/>
        </w:rPr>
        <w:t xml:space="preserve"> </w:t>
      </w:r>
      <w:r>
        <w:rPr>
          <w:rFonts w:ascii="Arial" w:cs="Arial" w:eastAsia="Arial" w:hAnsi="Arial"/>
          <w:sz w:val="18"/>
          <w:szCs w:val="18"/>
          <w:color w:val="262626"/>
        </w:rPr>
        <w:t>Date</w:t>
      </w:r>
      <w:r>
        <w:rPr>
          <w:rFonts w:ascii="Arial" w:cs="Arial" w:eastAsia="Arial" w:hAnsi="Arial"/>
          <w:sz w:val="18"/>
          <w:szCs w:val="18"/>
          <w:u w:val="single" w:color="auto"/>
          <w:color w:val="363636"/>
        </w:rPr>
        <w:t xml:space="preserve"> </w:t>
      </w:r>
      <w:r>
        <w:rPr>
          <w:rFonts w:ascii="Arial" w:cs="Arial" w:eastAsia="Arial" w:hAnsi="Arial"/>
          <w:sz w:val="18"/>
          <w:szCs w:val="18"/>
          <w:color w:val="363636"/>
        </w:rPr>
        <w:t>and ending</w:t>
      </w:r>
      <w:r>
        <w:rPr>
          <w:rFonts w:ascii="Arial" w:cs="Arial" w:eastAsia="Arial" w:hAnsi="Arial"/>
          <w:sz w:val="18"/>
          <w:szCs w:val="18"/>
          <w:u w:val="single" w:color="auto"/>
          <w:color w:val="363636"/>
        </w:rPr>
        <w:t xml:space="preserve"> </w:t>
      </w:r>
      <w:r>
        <w:rPr>
          <w:rFonts w:ascii="Arial" w:cs="Arial" w:eastAsia="Arial" w:hAnsi="Arial"/>
          <w:sz w:val="18"/>
          <w:szCs w:val="18"/>
          <w:color w:val="262626"/>
        </w:rPr>
        <w:t>two</w:t>
      </w:r>
    </w:p>
    <w:p>
      <w:pPr>
        <w:spacing w:after="0" w:line="16" w:lineRule="exact"/>
        <w:rPr>
          <w:sz w:val="20"/>
          <w:szCs w:val="20"/>
          <w:color w:val="auto"/>
        </w:rPr>
      </w:pPr>
    </w:p>
    <w:p>
      <w:pPr>
        <w:ind w:left="7" w:right="160" w:hanging="7"/>
        <w:spacing w:after="0" w:line="254" w:lineRule="auto"/>
        <w:tabs>
          <w:tab w:leader="none" w:pos="298" w:val="left"/>
        </w:tabs>
        <w:numPr>
          <w:ilvl w:val="0"/>
          <w:numId w:val="180"/>
        </w:numPr>
        <w:rPr>
          <w:rFonts w:ascii="Arial" w:cs="Arial" w:eastAsia="Arial" w:hAnsi="Arial"/>
          <w:sz w:val="19"/>
          <w:szCs w:val="19"/>
          <w:color w:val="363636"/>
        </w:rPr>
      </w:pPr>
      <w:r>
        <w:rPr>
          <w:rFonts w:ascii="Arial" w:cs="Arial" w:eastAsia="Arial" w:hAnsi="Arial"/>
          <w:sz w:val="19"/>
          <w:szCs w:val="19"/>
          <w:color w:val="363636"/>
        </w:rPr>
        <w:t xml:space="preserve">years after </w:t>
      </w:r>
      <w:r>
        <w:rPr>
          <w:rFonts w:ascii="Arial" w:cs="Arial" w:eastAsia="Arial" w:hAnsi="Arial"/>
          <w:sz w:val="19"/>
          <w:szCs w:val="19"/>
          <w:color w:val="262626"/>
        </w:rPr>
        <w:t>the date</w:t>
      </w:r>
      <w:r>
        <w:rPr>
          <w:rFonts w:ascii="Arial" w:cs="Arial" w:eastAsia="Arial" w:hAnsi="Arial"/>
          <w:sz w:val="19"/>
          <w:szCs w:val="19"/>
          <w:color w:val="363636"/>
        </w:rPr>
        <w:t xml:space="preserve"> on </w:t>
      </w:r>
      <w:r>
        <w:rPr>
          <w:rFonts w:ascii="Arial" w:cs="Arial" w:eastAsia="Arial" w:hAnsi="Arial"/>
          <w:sz w:val="19"/>
          <w:szCs w:val="19"/>
          <w:color w:val="262626"/>
        </w:rPr>
        <w:t>which the</w:t>
      </w:r>
      <w:r>
        <w:rPr>
          <w:rFonts w:ascii="Arial" w:cs="Arial" w:eastAsia="Arial" w:hAnsi="Arial"/>
          <w:sz w:val="19"/>
          <w:szCs w:val="19"/>
          <w:color w:val="363636"/>
        </w:rPr>
        <w:t xml:space="preserve"> Executive is </w:t>
      </w:r>
      <w:r>
        <w:rPr>
          <w:rFonts w:ascii="Arial" w:cs="Arial" w:eastAsia="Arial" w:hAnsi="Arial"/>
          <w:sz w:val="19"/>
          <w:szCs w:val="19"/>
          <w:color w:val="262626"/>
        </w:rPr>
        <w:t>no longer</w:t>
      </w:r>
      <w:r>
        <w:rPr>
          <w:rFonts w:ascii="Arial" w:cs="Arial" w:eastAsia="Arial" w:hAnsi="Arial"/>
          <w:sz w:val="19"/>
          <w:szCs w:val="19"/>
          <w:color w:val="363636"/>
        </w:rPr>
        <w:t xml:space="preserve"> employed as Chief Financial </w:t>
      </w:r>
      <w:r>
        <w:rPr>
          <w:rFonts w:ascii="Arial" w:cs="Arial" w:eastAsia="Arial" w:hAnsi="Arial"/>
          <w:sz w:val="19"/>
          <w:szCs w:val="19"/>
          <w:color w:val="262626"/>
        </w:rPr>
        <w:t>Officer of the</w:t>
      </w:r>
      <w:r>
        <w:rPr>
          <w:rFonts w:ascii="Arial" w:cs="Arial" w:eastAsia="Arial" w:hAnsi="Arial"/>
          <w:sz w:val="19"/>
          <w:szCs w:val="19"/>
          <w:color w:val="363636"/>
        </w:rPr>
        <w:t xml:space="preserve"> Company (the "Non-Solicitation </w:t>
      </w:r>
      <w:r>
        <w:rPr>
          <w:rFonts w:ascii="Arial" w:cs="Arial" w:eastAsia="Arial" w:hAnsi="Arial"/>
          <w:sz w:val="19"/>
          <w:szCs w:val="19"/>
          <w:color w:val="262626"/>
        </w:rPr>
        <w:t>Period</w:t>
      </w:r>
      <w:r>
        <w:rPr>
          <w:rFonts w:ascii="Arial" w:cs="Arial" w:eastAsia="Arial" w:hAnsi="Arial"/>
          <w:sz w:val="19"/>
          <w:szCs w:val="19"/>
          <w:color w:val="575757"/>
        </w:rPr>
        <w:t>"</w:t>
      </w:r>
      <w:r>
        <w:rPr>
          <w:rFonts w:ascii="Arial" w:cs="Arial" w:eastAsia="Arial" w:hAnsi="Arial"/>
          <w:sz w:val="19"/>
          <w:szCs w:val="19"/>
          <w:color w:val="262626"/>
        </w:rPr>
        <w:t>), the</w:t>
      </w:r>
      <w:r>
        <w:rPr>
          <w:rFonts w:ascii="Arial" w:cs="Arial" w:eastAsia="Arial" w:hAnsi="Arial"/>
          <w:sz w:val="19"/>
          <w:szCs w:val="19"/>
          <w:color w:val="363636"/>
        </w:rPr>
        <w:t xml:space="preserve"> Executive shall </w:t>
      </w:r>
      <w:r>
        <w:rPr>
          <w:rFonts w:ascii="Arial" w:cs="Arial" w:eastAsia="Arial" w:hAnsi="Arial"/>
          <w:sz w:val="19"/>
          <w:szCs w:val="19"/>
          <w:color w:val="262626"/>
        </w:rPr>
        <w:t>not in</w:t>
      </w:r>
      <w:r>
        <w:rPr>
          <w:rFonts w:ascii="Arial" w:cs="Arial" w:eastAsia="Arial" w:hAnsi="Arial"/>
          <w:sz w:val="19"/>
          <w:szCs w:val="19"/>
          <w:color w:val="363636"/>
        </w:rPr>
        <w:t xml:space="preserve"> any </w:t>
      </w:r>
      <w:r>
        <w:rPr>
          <w:rFonts w:ascii="Arial" w:cs="Arial" w:eastAsia="Arial" w:hAnsi="Arial"/>
          <w:sz w:val="19"/>
          <w:szCs w:val="19"/>
          <w:color w:val="262626"/>
        </w:rPr>
        <w:t>capacity,</w:t>
      </w:r>
      <w:r>
        <w:rPr>
          <w:rFonts w:ascii="Arial" w:cs="Arial" w:eastAsia="Arial" w:hAnsi="Arial"/>
          <w:sz w:val="19"/>
          <w:szCs w:val="19"/>
          <w:color w:val="363636"/>
        </w:rPr>
        <w:t xml:space="preserve"> either separate</w:t>
      </w:r>
      <w:r>
        <w:rPr>
          <w:rFonts w:ascii="Arial" w:cs="Arial" w:eastAsia="Arial" w:hAnsi="Arial"/>
          <w:sz w:val="19"/>
          <w:szCs w:val="19"/>
          <w:color w:val="0E0E0C"/>
        </w:rPr>
        <w:t>l</w:t>
      </w:r>
      <w:r>
        <w:rPr>
          <w:rFonts w:ascii="Arial" w:cs="Arial" w:eastAsia="Arial" w:hAnsi="Arial"/>
          <w:sz w:val="19"/>
          <w:szCs w:val="19"/>
          <w:color w:val="363636"/>
        </w:rPr>
        <w:t xml:space="preserve">y </w:t>
      </w:r>
      <w:r>
        <w:rPr>
          <w:rFonts w:ascii="Arial" w:cs="Arial" w:eastAsia="Arial" w:hAnsi="Arial"/>
          <w:sz w:val="19"/>
          <w:szCs w:val="19"/>
          <w:color w:val="262626"/>
        </w:rPr>
        <w:t>or in association</w:t>
      </w:r>
      <w:r>
        <w:rPr>
          <w:rFonts w:ascii="Arial" w:cs="Arial" w:eastAsia="Arial" w:hAnsi="Arial"/>
          <w:sz w:val="19"/>
          <w:szCs w:val="19"/>
          <w:color w:val="363636"/>
        </w:rPr>
        <w:t xml:space="preserve"> with others: (i) </w:t>
      </w:r>
      <w:r>
        <w:rPr>
          <w:rFonts w:ascii="Arial" w:cs="Arial" w:eastAsia="Arial" w:hAnsi="Arial"/>
          <w:sz w:val="19"/>
          <w:szCs w:val="19"/>
          <w:color w:val="262626"/>
        </w:rPr>
        <w:t>unlawfully</w:t>
      </w:r>
      <w:r>
        <w:rPr>
          <w:rFonts w:ascii="Arial" w:cs="Arial" w:eastAsia="Arial" w:hAnsi="Arial"/>
          <w:sz w:val="19"/>
          <w:szCs w:val="19"/>
          <w:color w:val="363636"/>
        </w:rPr>
        <w:t xml:space="preserve"> solicit for employment or </w:t>
      </w:r>
      <w:r>
        <w:rPr>
          <w:rFonts w:ascii="Arial" w:cs="Arial" w:eastAsia="Arial" w:hAnsi="Arial"/>
          <w:sz w:val="19"/>
          <w:szCs w:val="19"/>
          <w:color w:val="262626"/>
        </w:rPr>
        <w:t>endeavor in</w:t>
      </w:r>
      <w:r>
        <w:rPr>
          <w:rFonts w:ascii="Arial" w:cs="Arial" w:eastAsia="Arial" w:hAnsi="Arial"/>
          <w:sz w:val="19"/>
          <w:szCs w:val="19"/>
          <w:color w:val="363636"/>
        </w:rPr>
        <w:t xml:space="preserve"> any way to </w:t>
      </w:r>
      <w:r>
        <w:rPr>
          <w:rFonts w:ascii="Arial" w:cs="Arial" w:eastAsia="Arial" w:hAnsi="Arial"/>
          <w:sz w:val="19"/>
          <w:szCs w:val="19"/>
          <w:color w:val="262626"/>
        </w:rPr>
        <w:t>unlawfully</w:t>
      </w:r>
      <w:r>
        <w:rPr>
          <w:rFonts w:ascii="Arial" w:cs="Arial" w:eastAsia="Arial" w:hAnsi="Arial"/>
          <w:sz w:val="19"/>
          <w:szCs w:val="19"/>
          <w:color w:val="363636"/>
        </w:rPr>
        <w:t xml:space="preserve"> entice away from </w:t>
      </w:r>
      <w:r>
        <w:rPr>
          <w:rFonts w:ascii="Arial" w:cs="Arial" w:eastAsia="Arial" w:hAnsi="Arial"/>
          <w:sz w:val="19"/>
          <w:szCs w:val="19"/>
          <w:color w:val="262626"/>
        </w:rPr>
        <w:t>employment</w:t>
      </w:r>
      <w:r>
        <w:rPr>
          <w:rFonts w:ascii="Arial" w:cs="Arial" w:eastAsia="Arial" w:hAnsi="Arial"/>
          <w:sz w:val="19"/>
          <w:szCs w:val="19"/>
          <w:color w:val="363636"/>
        </w:rPr>
        <w:t xml:space="preserve"> with </w:t>
      </w:r>
      <w:r>
        <w:rPr>
          <w:rFonts w:ascii="Arial" w:cs="Arial" w:eastAsia="Arial" w:hAnsi="Arial"/>
          <w:sz w:val="19"/>
          <w:szCs w:val="19"/>
          <w:color w:val="262626"/>
        </w:rPr>
        <w:t>the</w:t>
      </w:r>
      <w:r>
        <w:rPr>
          <w:rFonts w:ascii="Arial" w:cs="Arial" w:eastAsia="Arial" w:hAnsi="Arial"/>
          <w:sz w:val="19"/>
          <w:szCs w:val="19"/>
          <w:color w:val="363636"/>
        </w:rPr>
        <w:t xml:space="preserve"> Company, its subsidiaries </w:t>
      </w:r>
      <w:r>
        <w:rPr>
          <w:rFonts w:ascii="Arial" w:cs="Arial" w:eastAsia="Arial" w:hAnsi="Arial"/>
          <w:sz w:val="19"/>
          <w:szCs w:val="19"/>
          <w:color w:val="262626"/>
        </w:rPr>
        <w:t>or</w:t>
      </w:r>
      <w:r>
        <w:rPr>
          <w:rFonts w:ascii="Arial" w:cs="Arial" w:eastAsia="Arial" w:hAnsi="Arial"/>
          <w:sz w:val="19"/>
          <w:szCs w:val="19"/>
          <w:color w:val="363636"/>
        </w:rPr>
        <w:t xml:space="preserve"> affiliates </w:t>
      </w:r>
      <w:r>
        <w:rPr>
          <w:rFonts w:ascii="Arial" w:cs="Arial" w:eastAsia="Arial" w:hAnsi="Arial"/>
          <w:sz w:val="19"/>
          <w:szCs w:val="19"/>
          <w:color w:val="262626"/>
        </w:rPr>
        <w:t>any employee</w:t>
      </w:r>
      <w:r>
        <w:rPr>
          <w:rFonts w:ascii="Arial" w:cs="Arial" w:eastAsia="Arial" w:hAnsi="Arial"/>
          <w:sz w:val="19"/>
          <w:szCs w:val="19"/>
          <w:color w:val="363636"/>
        </w:rPr>
        <w:t xml:space="preserve"> of </w:t>
      </w:r>
      <w:r>
        <w:rPr>
          <w:rFonts w:ascii="Arial" w:cs="Arial" w:eastAsia="Arial" w:hAnsi="Arial"/>
          <w:sz w:val="19"/>
          <w:szCs w:val="19"/>
          <w:color w:val="262626"/>
        </w:rPr>
        <w:t>the</w:t>
      </w:r>
      <w:r>
        <w:rPr>
          <w:rFonts w:ascii="Arial" w:cs="Arial" w:eastAsia="Arial" w:hAnsi="Arial"/>
          <w:sz w:val="19"/>
          <w:szCs w:val="19"/>
          <w:color w:val="363636"/>
        </w:rPr>
        <w:t xml:space="preserve"> Company</w:t>
      </w:r>
      <w:r>
        <w:rPr>
          <w:rFonts w:ascii="Arial" w:cs="Arial" w:eastAsia="Arial" w:hAnsi="Arial"/>
          <w:sz w:val="19"/>
          <w:szCs w:val="19"/>
          <w:color w:val="575757"/>
        </w:rPr>
        <w:t>,</w:t>
      </w:r>
      <w:r>
        <w:rPr>
          <w:rFonts w:ascii="Arial" w:cs="Arial" w:eastAsia="Arial" w:hAnsi="Arial"/>
          <w:sz w:val="19"/>
          <w:szCs w:val="19"/>
          <w:color w:val="363636"/>
        </w:rPr>
        <w:t xml:space="preserve"> </w:t>
      </w:r>
      <w:r>
        <w:rPr>
          <w:rFonts w:ascii="Arial" w:cs="Arial" w:eastAsia="Arial" w:hAnsi="Arial"/>
          <w:sz w:val="19"/>
          <w:szCs w:val="19"/>
          <w:color w:val="262626"/>
        </w:rPr>
        <w:t>its</w:t>
      </w:r>
      <w:r>
        <w:rPr>
          <w:rFonts w:ascii="Arial" w:cs="Arial" w:eastAsia="Arial" w:hAnsi="Arial"/>
          <w:sz w:val="19"/>
          <w:szCs w:val="19"/>
          <w:color w:val="363636"/>
        </w:rPr>
        <w:t xml:space="preserve"> subsidiaries or its </w:t>
      </w:r>
      <w:r>
        <w:rPr>
          <w:rFonts w:ascii="Arial" w:cs="Arial" w:eastAsia="Arial" w:hAnsi="Arial"/>
          <w:sz w:val="19"/>
          <w:szCs w:val="19"/>
          <w:color w:val="262626"/>
        </w:rPr>
        <w:t>affiliates</w:t>
      </w:r>
      <w:r>
        <w:rPr>
          <w:rFonts w:ascii="Arial" w:cs="Arial" w:eastAsia="Arial" w:hAnsi="Arial"/>
          <w:sz w:val="19"/>
          <w:szCs w:val="19"/>
          <w:color w:val="575757"/>
        </w:rPr>
        <w:t>,</w:t>
      </w:r>
      <w:r>
        <w:rPr>
          <w:rFonts w:ascii="Arial" w:cs="Arial" w:eastAsia="Arial" w:hAnsi="Arial"/>
          <w:sz w:val="19"/>
          <w:szCs w:val="19"/>
          <w:color w:val="363636"/>
        </w:rPr>
        <w:t xml:space="preserve"> or any </w:t>
      </w:r>
      <w:r>
        <w:rPr>
          <w:rFonts w:ascii="Arial" w:cs="Arial" w:eastAsia="Arial" w:hAnsi="Arial"/>
          <w:sz w:val="19"/>
          <w:szCs w:val="19"/>
          <w:color w:val="262626"/>
        </w:rPr>
        <w:t>person</w:t>
      </w:r>
      <w:r>
        <w:rPr>
          <w:rFonts w:ascii="Arial" w:cs="Arial" w:eastAsia="Arial" w:hAnsi="Arial"/>
          <w:sz w:val="19"/>
          <w:szCs w:val="19"/>
          <w:color w:val="363636"/>
        </w:rPr>
        <w:t xml:space="preserve"> or entity that </w:t>
      </w:r>
      <w:r>
        <w:rPr>
          <w:rFonts w:ascii="Arial" w:cs="Arial" w:eastAsia="Arial" w:hAnsi="Arial"/>
          <w:sz w:val="19"/>
          <w:szCs w:val="19"/>
          <w:color w:val="262626"/>
        </w:rPr>
        <w:t>had been</w:t>
      </w:r>
      <w:r>
        <w:rPr>
          <w:rFonts w:ascii="Arial" w:cs="Arial" w:eastAsia="Arial" w:hAnsi="Arial"/>
          <w:sz w:val="19"/>
          <w:szCs w:val="19"/>
          <w:color w:val="363636"/>
        </w:rPr>
        <w:t xml:space="preserve"> </w:t>
      </w:r>
      <w:r>
        <w:rPr>
          <w:rFonts w:ascii="Arial" w:cs="Arial" w:eastAsia="Arial" w:hAnsi="Arial"/>
          <w:sz w:val="19"/>
          <w:szCs w:val="19"/>
          <w:color w:val="262626"/>
        </w:rPr>
        <w:t xml:space="preserve">an employee of </w:t>
      </w:r>
      <w:r>
        <w:rPr>
          <w:rFonts w:ascii="Arial" w:cs="Arial" w:eastAsia="Arial" w:hAnsi="Arial"/>
          <w:sz w:val="19"/>
          <w:szCs w:val="19"/>
          <w:color w:val="363636"/>
        </w:rPr>
        <w:t>the Company or its subsidiaries or affiliates</w:t>
      </w:r>
      <w:r>
        <w:rPr>
          <w:rFonts w:ascii="Arial" w:cs="Arial" w:eastAsia="Arial" w:hAnsi="Arial"/>
          <w:sz w:val="19"/>
          <w:szCs w:val="19"/>
          <w:color w:val="262626"/>
        </w:rPr>
        <w:t xml:space="preserve"> within the </w:t>
      </w:r>
      <w:r>
        <w:rPr>
          <w:rFonts w:ascii="Arial" w:cs="Arial" w:eastAsia="Arial" w:hAnsi="Arial"/>
          <w:sz w:val="19"/>
          <w:szCs w:val="19"/>
          <w:color w:val="363636"/>
        </w:rPr>
        <w:t>six (6)</w:t>
      </w:r>
      <w:r>
        <w:rPr>
          <w:rFonts w:ascii="Arial" w:cs="Arial" w:eastAsia="Arial" w:hAnsi="Arial"/>
          <w:sz w:val="19"/>
          <w:szCs w:val="19"/>
          <w:color w:val="262626"/>
        </w:rPr>
        <w:t xml:space="preserve"> month period preceding the commencement </w:t>
      </w:r>
      <w:r>
        <w:rPr>
          <w:rFonts w:ascii="Arial" w:cs="Arial" w:eastAsia="Arial" w:hAnsi="Arial"/>
          <w:sz w:val="19"/>
          <w:szCs w:val="19"/>
          <w:color w:val="363636"/>
        </w:rPr>
        <w:t>of</w:t>
      </w:r>
      <w:r>
        <w:rPr>
          <w:rFonts w:ascii="Arial" w:cs="Arial" w:eastAsia="Arial" w:hAnsi="Arial"/>
          <w:sz w:val="19"/>
          <w:szCs w:val="19"/>
          <w:color w:val="262626"/>
        </w:rPr>
        <w:t xml:space="preserve"> </w:t>
      </w:r>
      <w:r>
        <w:rPr>
          <w:rFonts w:ascii="Arial" w:cs="Arial" w:eastAsia="Arial" w:hAnsi="Arial"/>
          <w:sz w:val="19"/>
          <w:szCs w:val="19"/>
          <w:color w:val="363636"/>
        </w:rPr>
        <w:t xml:space="preserve">such </w:t>
      </w:r>
      <w:r>
        <w:rPr>
          <w:rFonts w:ascii="Arial" w:cs="Arial" w:eastAsia="Arial" w:hAnsi="Arial"/>
          <w:sz w:val="19"/>
          <w:szCs w:val="19"/>
          <w:color w:val="262626"/>
        </w:rPr>
        <w:t>activity; nor</w:t>
      </w:r>
      <w:r>
        <w:rPr>
          <w:rFonts w:ascii="Arial" w:cs="Arial" w:eastAsia="Arial" w:hAnsi="Arial"/>
          <w:sz w:val="19"/>
          <w:szCs w:val="19"/>
          <w:color w:val="363636"/>
        </w:rPr>
        <w:t xml:space="preserve"> (ii) </w:t>
      </w:r>
      <w:r>
        <w:rPr>
          <w:rFonts w:ascii="Arial" w:cs="Arial" w:eastAsia="Arial" w:hAnsi="Arial"/>
          <w:sz w:val="19"/>
          <w:szCs w:val="19"/>
          <w:color w:val="262626"/>
        </w:rPr>
        <w:t>use confidential trade</w:t>
      </w:r>
      <w:r>
        <w:rPr>
          <w:rFonts w:ascii="Arial" w:cs="Arial" w:eastAsia="Arial" w:hAnsi="Arial"/>
          <w:sz w:val="19"/>
          <w:szCs w:val="19"/>
          <w:color w:val="363636"/>
        </w:rPr>
        <w:t xml:space="preserve"> secret information </w:t>
      </w:r>
      <w:r>
        <w:rPr>
          <w:rFonts w:ascii="Arial" w:cs="Arial" w:eastAsia="Arial" w:hAnsi="Arial"/>
          <w:sz w:val="19"/>
          <w:szCs w:val="19"/>
          <w:color w:val="262626"/>
        </w:rPr>
        <w:t>to</w:t>
      </w:r>
      <w:r>
        <w:rPr>
          <w:rFonts w:ascii="Arial" w:cs="Arial" w:eastAsia="Arial" w:hAnsi="Arial"/>
          <w:sz w:val="19"/>
          <w:szCs w:val="19"/>
          <w:color w:val="363636"/>
        </w:rPr>
        <w:t xml:space="preserve"> solicit or use any </w:t>
      </w:r>
      <w:r>
        <w:rPr>
          <w:rFonts w:ascii="Arial" w:cs="Arial" w:eastAsia="Arial" w:hAnsi="Arial"/>
          <w:sz w:val="19"/>
          <w:szCs w:val="19"/>
          <w:color w:val="262626"/>
        </w:rPr>
        <w:t>other unlawful</w:t>
      </w:r>
      <w:r>
        <w:rPr>
          <w:rFonts w:ascii="Arial" w:cs="Arial" w:eastAsia="Arial" w:hAnsi="Arial"/>
          <w:sz w:val="19"/>
          <w:szCs w:val="19"/>
          <w:color w:val="363636"/>
        </w:rPr>
        <w:t xml:space="preserve"> means to </w:t>
      </w:r>
      <w:r>
        <w:rPr>
          <w:rFonts w:ascii="Arial" w:cs="Arial" w:eastAsia="Arial" w:hAnsi="Arial"/>
          <w:sz w:val="19"/>
          <w:szCs w:val="19"/>
          <w:color w:val="262626"/>
        </w:rPr>
        <w:t>induce</w:t>
      </w:r>
      <w:r>
        <w:rPr>
          <w:rFonts w:ascii="Arial" w:cs="Arial" w:eastAsia="Arial" w:hAnsi="Arial"/>
          <w:sz w:val="19"/>
          <w:szCs w:val="19"/>
          <w:color w:val="363636"/>
        </w:rPr>
        <w:t xml:space="preserve"> or influence any supplier, customer, agent, consultant or other </w:t>
      </w:r>
      <w:r>
        <w:rPr>
          <w:rFonts w:ascii="Arial" w:cs="Arial" w:eastAsia="Arial" w:hAnsi="Arial"/>
          <w:sz w:val="19"/>
          <w:szCs w:val="19"/>
          <w:color w:val="262626"/>
        </w:rPr>
        <w:t>person</w:t>
      </w:r>
      <w:r>
        <w:rPr>
          <w:rFonts w:ascii="Arial" w:cs="Arial" w:eastAsia="Arial" w:hAnsi="Arial"/>
          <w:sz w:val="19"/>
          <w:szCs w:val="19"/>
          <w:color w:val="363636"/>
        </w:rPr>
        <w:t xml:space="preserve"> or </w:t>
      </w:r>
      <w:r>
        <w:rPr>
          <w:rFonts w:ascii="Arial" w:cs="Arial" w:eastAsia="Arial" w:hAnsi="Arial"/>
          <w:sz w:val="19"/>
          <w:szCs w:val="19"/>
          <w:color w:val="262626"/>
        </w:rPr>
        <w:t>entity that has</w:t>
      </w:r>
      <w:r>
        <w:rPr>
          <w:rFonts w:ascii="Arial" w:cs="Arial" w:eastAsia="Arial" w:hAnsi="Arial"/>
          <w:sz w:val="19"/>
          <w:szCs w:val="19"/>
          <w:color w:val="363636"/>
        </w:rPr>
        <w:t xml:space="preserve"> a </w:t>
      </w:r>
      <w:r>
        <w:rPr>
          <w:rFonts w:ascii="Arial" w:cs="Arial" w:eastAsia="Arial" w:hAnsi="Arial"/>
          <w:sz w:val="19"/>
          <w:szCs w:val="19"/>
          <w:color w:val="262626"/>
        </w:rPr>
        <w:t>business relationship</w:t>
      </w:r>
      <w:r>
        <w:rPr>
          <w:rFonts w:ascii="Arial" w:cs="Arial" w:eastAsia="Arial" w:hAnsi="Arial"/>
          <w:sz w:val="19"/>
          <w:szCs w:val="19"/>
          <w:color w:val="363636"/>
        </w:rPr>
        <w:t xml:space="preserve"> with </w:t>
      </w:r>
      <w:r>
        <w:rPr>
          <w:rFonts w:ascii="Arial" w:cs="Arial" w:eastAsia="Arial" w:hAnsi="Arial"/>
          <w:sz w:val="19"/>
          <w:szCs w:val="19"/>
          <w:color w:val="262626"/>
        </w:rPr>
        <w:t>the</w:t>
      </w:r>
      <w:r>
        <w:rPr>
          <w:rFonts w:ascii="Arial" w:cs="Arial" w:eastAsia="Arial" w:hAnsi="Arial"/>
          <w:sz w:val="19"/>
          <w:szCs w:val="19"/>
          <w:color w:val="363636"/>
        </w:rPr>
        <w:t xml:space="preserve"> Company, or its subsidiaries or affiliates to </w:t>
      </w:r>
      <w:r>
        <w:rPr>
          <w:rFonts w:ascii="Arial" w:cs="Arial" w:eastAsia="Arial" w:hAnsi="Arial"/>
          <w:sz w:val="19"/>
          <w:szCs w:val="19"/>
          <w:color w:val="262626"/>
        </w:rPr>
        <w:t>discontinue</w:t>
      </w:r>
      <w:r>
        <w:rPr>
          <w:rFonts w:ascii="Arial" w:cs="Arial" w:eastAsia="Arial" w:hAnsi="Arial"/>
          <w:sz w:val="19"/>
          <w:szCs w:val="19"/>
          <w:color w:val="363636"/>
        </w:rPr>
        <w:t xml:space="preserve"> </w:t>
      </w:r>
      <w:r>
        <w:rPr>
          <w:rFonts w:ascii="Arial" w:cs="Arial" w:eastAsia="Arial" w:hAnsi="Arial"/>
          <w:sz w:val="19"/>
          <w:szCs w:val="19"/>
          <w:color w:val="575757"/>
        </w:rPr>
        <w:t>,</w:t>
      </w:r>
      <w:r>
        <w:rPr>
          <w:rFonts w:ascii="Arial" w:cs="Arial" w:eastAsia="Arial" w:hAnsi="Arial"/>
          <w:sz w:val="19"/>
          <w:szCs w:val="19"/>
          <w:color w:val="363636"/>
        </w:rPr>
        <w:t xml:space="preserve"> reduce or </w:t>
      </w:r>
      <w:r>
        <w:rPr>
          <w:rFonts w:ascii="Arial" w:cs="Arial" w:eastAsia="Arial" w:hAnsi="Arial"/>
          <w:sz w:val="19"/>
          <w:szCs w:val="19"/>
          <w:color w:val="262626"/>
        </w:rPr>
        <w:t>modify</w:t>
      </w:r>
      <w:r>
        <w:rPr>
          <w:rFonts w:ascii="Arial" w:cs="Arial" w:eastAsia="Arial" w:hAnsi="Arial"/>
          <w:sz w:val="19"/>
          <w:szCs w:val="19"/>
          <w:color w:val="363636"/>
        </w:rPr>
        <w:t xml:space="preserve"> such relationship with </w:t>
      </w:r>
      <w:r>
        <w:rPr>
          <w:rFonts w:ascii="Arial" w:cs="Arial" w:eastAsia="Arial" w:hAnsi="Arial"/>
          <w:sz w:val="19"/>
          <w:szCs w:val="19"/>
          <w:color w:val="262626"/>
        </w:rPr>
        <w:t>the</w:t>
      </w:r>
      <w:r>
        <w:rPr>
          <w:rFonts w:ascii="Arial" w:cs="Arial" w:eastAsia="Arial" w:hAnsi="Arial"/>
          <w:sz w:val="19"/>
          <w:szCs w:val="19"/>
          <w:color w:val="363636"/>
        </w:rPr>
        <w:t xml:space="preserve"> Company or </w:t>
      </w:r>
      <w:r>
        <w:rPr>
          <w:rFonts w:ascii="Arial" w:cs="Arial" w:eastAsia="Arial" w:hAnsi="Arial"/>
          <w:sz w:val="19"/>
          <w:szCs w:val="19"/>
          <w:color w:val="262626"/>
        </w:rPr>
        <w:t>its</w:t>
      </w:r>
      <w:r>
        <w:rPr>
          <w:rFonts w:ascii="Arial" w:cs="Arial" w:eastAsia="Arial" w:hAnsi="Arial"/>
          <w:sz w:val="19"/>
          <w:szCs w:val="19"/>
          <w:color w:val="363636"/>
        </w:rPr>
        <w:t xml:space="preserve"> subsidiaries </w:t>
      </w:r>
      <w:r>
        <w:rPr>
          <w:rFonts w:ascii="Arial" w:cs="Arial" w:eastAsia="Arial" w:hAnsi="Arial"/>
          <w:sz w:val="19"/>
          <w:szCs w:val="19"/>
          <w:color w:val="262626"/>
        </w:rPr>
        <w:t>or</w:t>
      </w:r>
      <w:r>
        <w:rPr>
          <w:rFonts w:ascii="Arial" w:cs="Arial" w:eastAsia="Arial" w:hAnsi="Arial"/>
          <w:sz w:val="19"/>
          <w:szCs w:val="19"/>
          <w:color w:val="363636"/>
        </w:rPr>
        <w:t xml:space="preserve"> affiliates.</w:t>
      </w:r>
    </w:p>
    <w:p>
      <w:pPr>
        <w:spacing w:after="0" w:line="171" w:lineRule="exact"/>
        <w:rPr>
          <w:sz w:val="20"/>
          <w:szCs w:val="20"/>
          <w:color w:val="auto"/>
        </w:rPr>
      </w:pPr>
    </w:p>
    <w:p>
      <w:pPr>
        <w:ind w:left="7" w:right="60" w:firstLine="450"/>
        <w:spacing w:after="0" w:line="270" w:lineRule="auto"/>
        <w:rPr>
          <w:sz w:val="20"/>
          <w:szCs w:val="20"/>
          <w:color w:val="auto"/>
        </w:rPr>
      </w:pPr>
      <w:r>
        <w:rPr>
          <w:rFonts w:ascii="Arial" w:cs="Arial" w:eastAsia="Arial" w:hAnsi="Arial"/>
          <w:sz w:val="18"/>
          <w:szCs w:val="18"/>
          <w:color w:val="262626"/>
        </w:rPr>
        <w:t xml:space="preserve">4.4 </w:t>
      </w:r>
      <w:r>
        <w:rPr>
          <w:rFonts w:ascii="Arial" w:cs="Arial" w:eastAsia="Arial" w:hAnsi="Arial"/>
          <w:sz w:val="18"/>
          <w:szCs w:val="18"/>
          <w:u w:val="single" w:color="auto"/>
          <w:color w:val="363636"/>
        </w:rPr>
        <w:t>Non</w:t>
      </w:r>
      <w:r>
        <w:rPr>
          <w:rFonts w:ascii="Arial" w:cs="Arial" w:eastAsia="Arial" w:hAnsi="Arial"/>
          <w:sz w:val="18"/>
          <w:szCs w:val="18"/>
          <w:u w:val="single" w:color="auto"/>
          <w:color w:val="0E0E0C"/>
        </w:rPr>
        <w:t>-</w:t>
      </w:r>
      <w:r>
        <w:rPr>
          <w:rFonts w:ascii="Arial" w:cs="Arial" w:eastAsia="Arial" w:hAnsi="Arial"/>
          <w:sz w:val="18"/>
          <w:szCs w:val="18"/>
          <w:u w:val="single" w:color="auto"/>
          <w:color w:val="262626"/>
        </w:rPr>
        <w:t>disparagement</w:t>
      </w:r>
      <w:r>
        <w:rPr>
          <w:rFonts w:ascii="Arial" w:cs="Arial" w:eastAsia="Arial" w:hAnsi="Arial"/>
          <w:sz w:val="18"/>
          <w:szCs w:val="18"/>
          <w:color w:val="262626"/>
        </w:rPr>
        <w:t xml:space="preserve">. The </w:t>
      </w:r>
      <w:r>
        <w:rPr>
          <w:rFonts w:ascii="Arial" w:cs="Arial" w:eastAsia="Arial" w:hAnsi="Arial"/>
          <w:sz w:val="18"/>
          <w:szCs w:val="18"/>
          <w:color w:val="363636"/>
        </w:rPr>
        <w:t>Executive agrees (whether</w:t>
      </w:r>
      <w:r>
        <w:rPr>
          <w:rFonts w:ascii="Arial" w:cs="Arial" w:eastAsia="Arial" w:hAnsi="Arial"/>
          <w:sz w:val="18"/>
          <w:szCs w:val="18"/>
          <w:color w:val="262626"/>
        </w:rPr>
        <w:t xml:space="preserve"> during or </w:t>
      </w:r>
      <w:r>
        <w:rPr>
          <w:rFonts w:ascii="Arial" w:cs="Arial" w:eastAsia="Arial" w:hAnsi="Arial"/>
          <w:sz w:val="18"/>
          <w:szCs w:val="18"/>
          <w:color w:val="363636"/>
        </w:rPr>
        <w:t>after</w:t>
      </w:r>
      <w:r>
        <w:rPr>
          <w:rFonts w:ascii="Arial" w:cs="Arial" w:eastAsia="Arial" w:hAnsi="Arial"/>
          <w:sz w:val="18"/>
          <w:szCs w:val="18"/>
          <w:color w:val="262626"/>
        </w:rPr>
        <w:t xml:space="preserve"> Executive's </w:t>
      </w:r>
      <w:r>
        <w:rPr>
          <w:rFonts w:ascii="Arial" w:cs="Arial" w:eastAsia="Arial" w:hAnsi="Arial"/>
          <w:sz w:val="18"/>
          <w:szCs w:val="18"/>
          <w:color w:val="363636"/>
        </w:rPr>
        <w:t>employment as Chief</w:t>
      </w:r>
      <w:r>
        <w:rPr>
          <w:rFonts w:ascii="Arial" w:cs="Arial" w:eastAsia="Arial" w:hAnsi="Arial"/>
          <w:sz w:val="18"/>
          <w:szCs w:val="18"/>
          <w:color w:val="262626"/>
        </w:rPr>
        <w:t xml:space="preserve"> Financial Officer of the </w:t>
      </w:r>
      <w:r>
        <w:rPr>
          <w:rFonts w:ascii="Arial" w:cs="Arial" w:eastAsia="Arial" w:hAnsi="Arial"/>
          <w:sz w:val="18"/>
          <w:szCs w:val="18"/>
          <w:color w:val="363636"/>
        </w:rPr>
        <w:t>Company)</w:t>
      </w:r>
      <w:r>
        <w:rPr>
          <w:rFonts w:ascii="Arial" w:cs="Arial" w:eastAsia="Arial" w:hAnsi="Arial"/>
          <w:sz w:val="18"/>
          <w:szCs w:val="18"/>
          <w:color w:val="262626"/>
        </w:rPr>
        <w:t xml:space="preserve"> not </w:t>
      </w:r>
      <w:r>
        <w:rPr>
          <w:rFonts w:ascii="Arial" w:cs="Arial" w:eastAsia="Arial" w:hAnsi="Arial"/>
          <w:sz w:val="18"/>
          <w:szCs w:val="18"/>
          <w:color w:val="363636"/>
        </w:rPr>
        <w:t>to</w:t>
      </w:r>
      <w:r>
        <w:rPr>
          <w:rFonts w:ascii="Arial" w:cs="Arial" w:eastAsia="Arial" w:hAnsi="Arial"/>
          <w:sz w:val="18"/>
          <w:szCs w:val="18"/>
          <w:color w:val="262626"/>
        </w:rPr>
        <w:t xml:space="preserve"> issue</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circulate</w:t>
      </w:r>
      <w:r>
        <w:rPr>
          <w:rFonts w:ascii="Arial" w:cs="Arial" w:eastAsia="Arial" w:hAnsi="Arial"/>
          <w:sz w:val="18"/>
          <w:szCs w:val="18"/>
          <w:color w:val="575757"/>
        </w:rPr>
        <w:t>,</w:t>
      </w:r>
      <w:r>
        <w:rPr>
          <w:rFonts w:ascii="Arial" w:cs="Arial" w:eastAsia="Arial" w:hAnsi="Arial"/>
          <w:sz w:val="18"/>
          <w:szCs w:val="18"/>
          <w:color w:val="262626"/>
        </w:rPr>
        <w:t xml:space="preserve"> publish </w:t>
      </w:r>
      <w:r>
        <w:rPr>
          <w:rFonts w:ascii="Arial" w:cs="Arial" w:eastAsia="Arial" w:hAnsi="Arial"/>
          <w:sz w:val="18"/>
          <w:szCs w:val="18"/>
          <w:color w:val="363636"/>
        </w:rPr>
        <w:t>or</w:t>
      </w:r>
      <w:r>
        <w:rPr>
          <w:rFonts w:ascii="Arial" w:cs="Arial" w:eastAsia="Arial" w:hAnsi="Arial"/>
          <w:sz w:val="18"/>
          <w:szCs w:val="18"/>
          <w:color w:val="262626"/>
        </w:rPr>
        <w:t xml:space="preserve"> utter any comments or statements to the press </w:t>
      </w:r>
      <w:r>
        <w:rPr>
          <w:rFonts w:ascii="Arial" w:cs="Arial" w:eastAsia="Arial" w:hAnsi="Arial"/>
          <w:sz w:val="18"/>
          <w:szCs w:val="18"/>
          <w:color w:val="363636"/>
        </w:rPr>
        <w:t>or other</w:t>
      </w:r>
      <w:r>
        <w:rPr>
          <w:rFonts w:ascii="Arial" w:cs="Arial" w:eastAsia="Arial" w:hAnsi="Arial"/>
          <w:sz w:val="18"/>
          <w:szCs w:val="18"/>
          <w:color w:val="262626"/>
        </w:rPr>
        <w:t xml:space="preserve"> media</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or</w:t>
      </w:r>
      <w:r>
        <w:rPr>
          <w:rFonts w:ascii="Arial" w:cs="Arial" w:eastAsia="Arial" w:hAnsi="Arial"/>
          <w:sz w:val="18"/>
          <w:szCs w:val="18"/>
          <w:color w:val="262626"/>
        </w:rPr>
        <w:t xml:space="preserve"> to </w:t>
      </w:r>
      <w:r>
        <w:rPr>
          <w:rFonts w:ascii="Arial" w:cs="Arial" w:eastAsia="Arial" w:hAnsi="Arial"/>
          <w:sz w:val="18"/>
          <w:szCs w:val="18"/>
          <w:color w:val="363636"/>
        </w:rPr>
        <w:t>any</w:t>
      </w:r>
      <w:r>
        <w:rPr>
          <w:rFonts w:ascii="Arial" w:cs="Arial" w:eastAsia="Arial" w:hAnsi="Arial"/>
          <w:sz w:val="18"/>
          <w:szCs w:val="18"/>
          <w:color w:val="262626"/>
        </w:rPr>
        <w:t xml:space="preserve"> third parties, </w:t>
      </w:r>
      <w:r>
        <w:rPr>
          <w:rFonts w:ascii="Arial" w:cs="Arial" w:eastAsia="Arial" w:hAnsi="Arial"/>
          <w:sz w:val="18"/>
          <w:szCs w:val="18"/>
          <w:color w:val="363636"/>
        </w:rPr>
        <w:t>or</w:t>
      </w:r>
      <w:r>
        <w:rPr>
          <w:rFonts w:ascii="Arial" w:cs="Arial" w:eastAsia="Arial" w:hAnsi="Arial"/>
          <w:sz w:val="18"/>
          <w:szCs w:val="18"/>
          <w:color w:val="262626"/>
        </w:rPr>
        <w:t xml:space="preserve"> to </w:t>
      </w:r>
      <w:r>
        <w:rPr>
          <w:rFonts w:ascii="Arial" w:cs="Arial" w:eastAsia="Arial" w:hAnsi="Arial"/>
          <w:sz w:val="18"/>
          <w:szCs w:val="18"/>
          <w:color w:val="363636"/>
        </w:rPr>
        <w:t>anyemployees of</w:t>
      </w:r>
      <w:r>
        <w:rPr>
          <w:rFonts w:ascii="Arial" w:cs="Arial" w:eastAsia="Arial" w:hAnsi="Arial"/>
          <w:sz w:val="18"/>
          <w:szCs w:val="18"/>
          <w:color w:val="262626"/>
        </w:rPr>
        <w:t xml:space="preserve"> the </w:t>
      </w:r>
      <w:r>
        <w:rPr>
          <w:rFonts w:ascii="Arial" w:cs="Arial" w:eastAsia="Arial" w:hAnsi="Arial"/>
          <w:sz w:val="18"/>
          <w:szCs w:val="18"/>
          <w:color w:val="363636"/>
        </w:rPr>
        <w:t>Company,</w:t>
      </w:r>
      <w:r>
        <w:rPr>
          <w:rFonts w:ascii="Arial" w:cs="Arial" w:eastAsia="Arial" w:hAnsi="Arial"/>
          <w:sz w:val="18"/>
          <w:szCs w:val="18"/>
          <w:color w:val="262626"/>
        </w:rPr>
        <w:t xml:space="preserve"> and </w:t>
      </w:r>
      <w:r>
        <w:rPr>
          <w:rFonts w:ascii="Arial" w:cs="Arial" w:eastAsia="Arial" w:hAnsi="Arial"/>
          <w:sz w:val="18"/>
          <w:szCs w:val="18"/>
          <w:color w:val="363636"/>
        </w:rPr>
        <w:t>its subsidiaries and affiliates, or any consultants or</w:t>
      </w:r>
      <w:r>
        <w:rPr>
          <w:rFonts w:ascii="Arial" w:cs="Arial" w:eastAsia="Arial" w:hAnsi="Arial"/>
          <w:sz w:val="18"/>
          <w:szCs w:val="18"/>
          <w:color w:val="262626"/>
        </w:rPr>
        <w:t xml:space="preserve"> any individual or entity </w:t>
      </w:r>
      <w:r>
        <w:rPr>
          <w:rFonts w:ascii="Arial" w:cs="Arial" w:eastAsia="Arial" w:hAnsi="Arial"/>
          <w:sz w:val="18"/>
          <w:szCs w:val="18"/>
          <w:color w:val="363636"/>
        </w:rPr>
        <w:t>with whom</w:t>
      </w:r>
      <w:r>
        <w:rPr>
          <w:rFonts w:ascii="Arial" w:cs="Arial" w:eastAsia="Arial" w:hAnsi="Arial"/>
          <w:sz w:val="18"/>
          <w:szCs w:val="18"/>
          <w:color w:val="262626"/>
        </w:rPr>
        <w:t xml:space="preserve"> the </w:t>
      </w:r>
      <w:r>
        <w:rPr>
          <w:rFonts w:ascii="Arial" w:cs="Arial" w:eastAsia="Arial" w:hAnsi="Arial"/>
          <w:sz w:val="18"/>
          <w:szCs w:val="18"/>
          <w:color w:val="363636"/>
        </w:rPr>
        <w:t>Company or</w:t>
      </w:r>
      <w:r>
        <w:rPr>
          <w:rFonts w:ascii="Arial" w:cs="Arial" w:eastAsia="Arial" w:hAnsi="Arial"/>
          <w:sz w:val="18"/>
          <w:szCs w:val="18"/>
          <w:color w:val="262626"/>
        </w:rPr>
        <w:t xml:space="preserve"> its </w:t>
      </w:r>
      <w:r>
        <w:rPr>
          <w:rFonts w:ascii="Arial" w:cs="Arial" w:eastAsia="Arial" w:hAnsi="Arial"/>
          <w:sz w:val="18"/>
          <w:szCs w:val="18"/>
          <w:color w:val="363636"/>
        </w:rPr>
        <w:t>subsidiaries or affiliates</w:t>
      </w:r>
      <w:r>
        <w:rPr>
          <w:rFonts w:ascii="Arial" w:cs="Arial" w:eastAsia="Arial" w:hAnsi="Arial"/>
          <w:sz w:val="18"/>
          <w:szCs w:val="18"/>
          <w:color w:val="262626"/>
        </w:rPr>
        <w:t xml:space="preserve"> has </w:t>
      </w:r>
      <w:r>
        <w:rPr>
          <w:rFonts w:ascii="Arial" w:cs="Arial" w:eastAsia="Arial" w:hAnsi="Arial"/>
          <w:sz w:val="18"/>
          <w:szCs w:val="18"/>
          <w:color w:val="363636"/>
        </w:rPr>
        <w:t>a</w:t>
      </w:r>
      <w:r>
        <w:rPr>
          <w:rFonts w:ascii="Arial" w:cs="Arial" w:eastAsia="Arial" w:hAnsi="Arial"/>
          <w:sz w:val="18"/>
          <w:szCs w:val="18"/>
          <w:color w:val="262626"/>
        </w:rPr>
        <w:t xml:space="preserve"> business </w:t>
      </w:r>
      <w:r>
        <w:rPr>
          <w:rFonts w:ascii="Arial" w:cs="Arial" w:eastAsia="Arial" w:hAnsi="Arial"/>
          <w:sz w:val="18"/>
          <w:szCs w:val="18"/>
          <w:color w:val="363636"/>
        </w:rPr>
        <w:t>relationship,</w:t>
      </w:r>
      <w:r>
        <w:rPr>
          <w:rFonts w:ascii="Arial" w:cs="Arial" w:eastAsia="Arial" w:hAnsi="Arial"/>
          <w:sz w:val="18"/>
          <w:szCs w:val="18"/>
          <w:color w:val="262626"/>
        </w:rPr>
        <w:t xml:space="preserve"> which </w:t>
      </w:r>
      <w:r>
        <w:rPr>
          <w:rFonts w:ascii="Arial" w:cs="Arial" w:eastAsia="Arial" w:hAnsi="Arial"/>
          <w:sz w:val="18"/>
          <w:szCs w:val="18"/>
          <w:color w:val="363636"/>
        </w:rPr>
        <w:t>could</w:t>
      </w:r>
      <w:r>
        <w:rPr>
          <w:rFonts w:ascii="Arial" w:cs="Arial" w:eastAsia="Arial" w:hAnsi="Arial"/>
          <w:sz w:val="18"/>
          <w:szCs w:val="18"/>
          <w:color w:val="262626"/>
        </w:rPr>
        <w:t xml:space="preserve"> reasonably be expected to </w:t>
      </w:r>
      <w:r>
        <w:rPr>
          <w:rFonts w:ascii="Arial" w:cs="Arial" w:eastAsia="Arial" w:hAnsi="Arial"/>
          <w:sz w:val="18"/>
          <w:szCs w:val="18"/>
          <w:color w:val="363636"/>
        </w:rPr>
        <w:t>adversely affect in any</w:t>
      </w:r>
      <w:r>
        <w:rPr>
          <w:rFonts w:ascii="Arial" w:cs="Arial" w:eastAsia="Arial" w:hAnsi="Arial"/>
          <w:sz w:val="18"/>
          <w:szCs w:val="18"/>
          <w:color w:val="262626"/>
        </w:rPr>
        <w:t xml:space="preserve"> manner: </w:t>
      </w:r>
      <w:r>
        <w:rPr>
          <w:rFonts w:ascii="Arial" w:cs="Arial" w:eastAsia="Arial" w:hAnsi="Arial"/>
          <w:sz w:val="18"/>
          <w:szCs w:val="18"/>
          <w:color w:val="363636"/>
        </w:rPr>
        <w:t>(i) the</w:t>
      </w:r>
      <w:r>
        <w:rPr>
          <w:rFonts w:ascii="Arial" w:cs="Arial" w:eastAsia="Arial" w:hAnsi="Arial"/>
          <w:sz w:val="18"/>
          <w:szCs w:val="18"/>
          <w:color w:val="262626"/>
        </w:rPr>
        <w:t xml:space="preserve"> conduct of the business </w:t>
      </w:r>
      <w:r>
        <w:rPr>
          <w:rFonts w:ascii="Arial" w:cs="Arial" w:eastAsia="Arial" w:hAnsi="Arial"/>
          <w:sz w:val="18"/>
          <w:szCs w:val="18"/>
          <w:color w:val="363636"/>
        </w:rPr>
        <w:t>of</w:t>
      </w:r>
      <w:r>
        <w:rPr>
          <w:rFonts w:ascii="Arial" w:cs="Arial" w:eastAsia="Arial" w:hAnsi="Arial"/>
          <w:sz w:val="18"/>
          <w:szCs w:val="18"/>
          <w:color w:val="262626"/>
        </w:rPr>
        <w:t xml:space="preserve"> the </w:t>
      </w:r>
      <w:r>
        <w:rPr>
          <w:rFonts w:ascii="Arial" w:cs="Arial" w:eastAsia="Arial" w:hAnsi="Arial"/>
          <w:sz w:val="18"/>
          <w:szCs w:val="18"/>
          <w:color w:val="363636"/>
        </w:rPr>
        <w:t>Company</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or its subsidiaries</w:t>
      </w:r>
      <w:r>
        <w:rPr>
          <w:rFonts w:ascii="Arial" w:cs="Arial" w:eastAsia="Arial" w:hAnsi="Arial"/>
          <w:sz w:val="18"/>
          <w:szCs w:val="18"/>
          <w:color w:val="262626"/>
        </w:rPr>
        <w:t xml:space="preserve"> </w:t>
      </w:r>
      <w:r>
        <w:rPr>
          <w:rFonts w:ascii="Arial" w:cs="Arial" w:eastAsia="Arial" w:hAnsi="Arial"/>
          <w:sz w:val="18"/>
          <w:szCs w:val="18"/>
          <w:color w:val="363636"/>
        </w:rPr>
        <w:t>or affiliates (including</w:t>
      </w:r>
      <w:r>
        <w:rPr>
          <w:rFonts w:ascii="Arial" w:cs="Arial" w:eastAsia="Arial" w:hAnsi="Arial"/>
          <w:sz w:val="18"/>
          <w:szCs w:val="18"/>
          <w:color w:val="575757"/>
        </w:rPr>
        <w:t>,</w:t>
      </w:r>
      <w:r>
        <w:rPr>
          <w:rFonts w:ascii="Arial" w:cs="Arial" w:eastAsia="Arial" w:hAnsi="Arial"/>
          <w:sz w:val="18"/>
          <w:szCs w:val="18"/>
          <w:color w:val="363636"/>
        </w:rPr>
        <w:t xml:space="preserve"> without </w:t>
      </w:r>
      <w:r>
        <w:rPr>
          <w:rFonts w:ascii="Arial" w:cs="Arial" w:eastAsia="Arial" w:hAnsi="Arial"/>
          <w:sz w:val="18"/>
          <w:szCs w:val="18"/>
          <w:color w:val="262626"/>
        </w:rPr>
        <w:t>limitation</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any products,</w:t>
      </w:r>
      <w:r>
        <w:rPr>
          <w:rFonts w:ascii="Arial" w:cs="Arial" w:eastAsia="Arial" w:hAnsi="Arial"/>
          <w:sz w:val="18"/>
          <w:szCs w:val="18"/>
          <w:color w:val="363636"/>
        </w:rPr>
        <w:t xml:space="preserve"> services, or </w:t>
      </w:r>
      <w:r>
        <w:rPr>
          <w:rFonts w:ascii="Arial" w:cs="Arial" w:eastAsia="Arial" w:hAnsi="Arial"/>
          <w:sz w:val="18"/>
          <w:szCs w:val="18"/>
          <w:color w:val="262626"/>
        </w:rPr>
        <w:t>business plans</w:t>
      </w:r>
      <w:r>
        <w:rPr>
          <w:rFonts w:ascii="Arial" w:cs="Arial" w:eastAsia="Arial" w:hAnsi="Arial"/>
          <w:sz w:val="18"/>
          <w:szCs w:val="18"/>
          <w:color w:val="363636"/>
        </w:rPr>
        <w:t xml:space="preserve"> or </w:t>
      </w:r>
      <w:r>
        <w:rPr>
          <w:rFonts w:ascii="Arial" w:cs="Arial" w:eastAsia="Arial" w:hAnsi="Arial"/>
          <w:sz w:val="18"/>
          <w:szCs w:val="18"/>
          <w:color w:val="262626"/>
        </w:rPr>
        <w:t>prospects)</w:t>
      </w:r>
      <w:r>
        <w:rPr>
          <w:rFonts w:ascii="Arial" w:cs="Arial" w:eastAsia="Arial" w:hAnsi="Arial"/>
          <w:sz w:val="18"/>
          <w:szCs w:val="18"/>
          <w:color w:val="575757"/>
        </w:rPr>
        <w:t>;</w:t>
      </w:r>
      <w:r>
        <w:rPr>
          <w:rFonts w:ascii="Arial" w:cs="Arial" w:eastAsia="Arial" w:hAnsi="Arial"/>
          <w:sz w:val="18"/>
          <w:szCs w:val="18"/>
          <w:color w:val="363636"/>
        </w:rPr>
        <w:t xml:space="preserve"> or (ii) </w:t>
      </w:r>
      <w:r>
        <w:rPr>
          <w:rFonts w:ascii="Arial" w:cs="Arial" w:eastAsia="Arial" w:hAnsi="Arial"/>
          <w:sz w:val="18"/>
          <w:szCs w:val="18"/>
          <w:color w:val="262626"/>
        </w:rPr>
        <w:t>the business</w:t>
      </w:r>
      <w:r>
        <w:rPr>
          <w:rFonts w:ascii="Arial" w:cs="Arial" w:eastAsia="Arial" w:hAnsi="Arial"/>
          <w:sz w:val="18"/>
          <w:szCs w:val="18"/>
          <w:color w:val="363636"/>
        </w:rPr>
        <w:t xml:space="preserve"> reputation of </w:t>
      </w:r>
      <w:r>
        <w:rPr>
          <w:rFonts w:ascii="Arial" w:cs="Arial" w:eastAsia="Arial" w:hAnsi="Arial"/>
          <w:sz w:val="18"/>
          <w:szCs w:val="18"/>
          <w:color w:val="262626"/>
        </w:rPr>
        <w:t>the Company</w:t>
      </w:r>
      <w:r>
        <w:rPr>
          <w:rFonts w:ascii="Arial" w:cs="Arial" w:eastAsia="Arial" w:hAnsi="Arial"/>
          <w:sz w:val="18"/>
          <w:szCs w:val="18"/>
          <w:color w:val="363636"/>
        </w:rPr>
        <w:t xml:space="preserve"> or </w:t>
      </w:r>
      <w:r>
        <w:rPr>
          <w:rFonts w:ascii="Arial" w:cs="Arial" w:eastAsia="Arial" w:hAnsi="Arial"/>
          <w:sz w:val="18"/>
          <w:szCs w:val="18"/>
          <w:color w:val="262626"/>
        </w:rPr>
        <w:t>its</w:t>
      </w:r>
      <w:r>
        <w:rPr>
          <w:rFonts w:ascii="Arial" w:cs="Arial" w:eastAsia="Arial" w:hAnsi="Arial"/>
          <w:sz w:val="18"/>
          <w:szCs w:val="18"/>
          <w:color w:val="363636"/>
        </w:rPr>
        <w:t xml:space="preserve"> subsidiaries or affiliates (including </w:t>
      </w:r>
      <w:r>
        <w:rPr>
          <w:rFonts w:ascii="Arial" w:cs="Arial" w:eastAsia="Arial" w:hAnsi="Arial"/>
          <w:sz w:val="18"/>
          <w:szCs w:val="18"/>
          <w:color w:val="262626"/>
        </w:rPr>
        <w:t>its financial</w:t>
      </w:r>
      <w:r>
        <w:rPr>
          <w:rFonts w:ascii="Arial" w:cs="Arial" w:eastAsia="Arial" w:hAnsi="Arial"/>
          <w:sz w:val="18"/>
          <w:szCs w:val="18"/>
          <w:color w:val="363636"/>
        </w:rPr>
        <w:t xml:space="preserve"> condition or </w:t>
      </w:r>
      <w:r>
        <w:rPr>
          <w:rFonts w:ascii="Arial" w:cs="Arial" w:eastAsia="Arial" w:hAnsi="Arial"/>
          <w:sz w:val="18"/>
          <w:szCs w:val="18"/>
          <w:color w:val="262626"/>
        </w:rPr>
        <w:t>the direction</w:t>
      </w:r>
      <w:r>
        <w:rPr>
          <w:rFonts w:ascii="Arial" w:cs="Arial" w:eastAsia="Arial" w:hAnsi="Arial"/>
          <w:sz w:val="18"/>
          <w:szCs w:val="18"/>
          <w:color w:val="363636"/>
        </w:rPr>
        <w:t xml:space="preserve"> of </w:t>
      </w:r>
      <w:r>
        <w:rPr>
          <w:rFonts w:ascii="Arial" w:cs="Arial" w:eastAsia="Arial" w:hAnsi="Arial"/>
          <w:sz w:val="18"/>
          <w:szCs w:val="18"/>
          <w:color w:val="262626"/>
        </w:rPr>
        <w:t>the business),</w:t>
      </w:r>
      <w:r>
        <w:rPr>
          <w:rFonts w:ascii="Arial" w:cs="Arial" w:eastAsia="Arial" w:hAnsi="Arial"/>
          <w:sz w:val="18"/>
          <w:szCs w:val="18"/>
          <w:color w:val="363636"/>
        </w:rPr>
        <w:t xml:space="preserve"> or any of </w:t>
      </w:r>
      <w:r>
        <w:rPr>
          <w:rFonts w:ascii="Arial" w:cs="Arial" w:eastAsia="Arial" w:hAnsi="Arial"/>
          <w:sz w:val="18"/>
          <w:szCs w:val="18"/>
          <w:color w:val="262626"/>
        </w:rPr>
        <w:t>their respective products</w:t>
      </w:r>
      <w:r>
        <w:rPr>
          <w:rFonts w:ascii="Arial" w:cs="Arial" w:eastAsia="Arial" w:hAnsi="Arial"/>
          <w:sz w:val="18"/>
          <w:szCs w:val="18"/>
          <w:color w:val="363636"/>
        </w:rPr>
        <w:t xml:space="preserve"> or services</w:t>
      </w:r>
      <w:r>
        <w:rPr>
          <w:rFonts w:ascii="Arial" w:cs="Arial" w:eastAsia="Arial" w:hAnsi="Arial"/>
          <w:sz w:val="18"/>
          <w:szCs w:val="18"/>
          <w:color w:val="575757"/>
        </w:rPr>
        <w:t>,</w:t>
      </w:r>
      <w:r>
        <w:rPr>
          <w:rFonts w:ascii="Arial" w:cs="Arial" w:eastAsia="Arial" w:hAnsi="Arial"/>
          <w:sz w:val="18"/>
          <w:szCs w:val="18"/>
          <w:color w:val="363636"/>
        </w:rPr>
        <w:t xml:space="preserve"> or </w:t>
      </w:r>
      <w:r>
        <w:rPr>
          <w:rFonts w:ascii="Arial" w:cs="Arial" w:eastAsia="Arial" w:hAnsi="Arial"/>
          <w:sz w:val="18"/>
          <w:szCs w:val="18"/>
          <w:color w:val="262626"/>
        </w:rPr>
        <w:t>their past</w:t>
      </w:r>
      <w:r>
        <w:rPr>
          <w:rFonts w:ascii="Arial" w:cs="Arial" w:eastAsia="Arial" w:hAnsi="Arial"/>
          <w:sz w:val="18"/>
          <w:szCs w:val="18"/>
          <w:color w:val="363636"/>
        </w:rPr>
        <w:t xml:space="preserve"> or present officers, </w:t>
      </w:r>
      <w:r>
        <w:rPr>
          <w:rFonts w:ascii="Arial" w:cs="Arial" w:eastAsia="Arial" w:hAnsi="Arial"/>
          <w:sz w:val="18"/>
          <w:szCs w:val="18"/>
          <w:color w:val="262626"/>
        </w:rPr>
        <w:t>directors,</w:t>
      </w:r>
      <w:r>
        <w:rPr>
          <w:rFonts w:ascii="Arial" w:cs="Arial" w:eastAsia="Arial" w:hAnsi="Arial"/>
          <w:sz w:val="18"/>
          <w:szCs w:val="18"/>
          <w:color w:val="363636"/>
        </w:rPr>
        <w:t xml:space="preserve"> executives or employees. Notwithstanding </w:t>
      </w:r>
      <w:r>
        <w:rPr>
          <w:rFonts w:ascii="Arial" w:cs="Arial" w:eastAsia="Arial" w:hAnsi="Arial"/>
          <w:sz w:val="18"/>
          <w:szCs w:val="18"/>
          <w:color w:val="262626"/>
        </w:rPr>
        <w:t>the</w:t>
      </w:r>
      <w:r>
        <w:rPr>
          <w:rFonts w:ascii="Arial" w:cs="Arial" w:eastAsia="Arial" w:hAnsi="Arial"/>
          <w:sz w:val="18"/>
          <w:szCs w:val="18"/>
          <w:color w:val="363636"/>
        </w:rPr>
        <w:t xml:space="preserve"> foregoing</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nothing contained in</w:t>
      </w:r>
      <w:r>
        <w:rPr>
          <w:rFonts w:ascii="Arial" w:cs="Arial" w:eastAsia="Arial" w:hAnsi="Arial"/>
          <w:sz w:val="18"/>
          <w:szCs w:val="18"/>
          <w:color w:val="363636"/>
        </w:rPr>
        <w:t xml:space="preserve"> this </w:t>
      </w:r>
      <w:r>
        <w:rPr>
          <w:rFonts w:ascii="Arial" w:cs="Arial" w:eastAsia="Arial" w:hAnsi="Arial"/>
          <w:sz w:val="18"/>
          <w:szCs w:val="18"/>
          <w:color w:val="262626"/>
        </w:rPr>
        <w:t>Agreement</w:t>
      </w:r>
      <w:r>
        <w:rPr>
          <w:rFonts w:ascii="Arial" w:cs="Arial" w:eastAsia="Arial" w:hAnsi="Arial"/>
          <w:sz w:val="18"/>
          <w:szCs w:val="18"/>
          <w:color w:val="363636"/>
        </w:rPr>
        <w:t xml:space="preserve"> will </w:t>
      </w:r>
      <w:r>
        <w:rPr>
          <w:rFonts w:ascii="Arial" w:cs="Arial" w:eastAsia="Arial" w:hAnsi="Arial"/>
          <w:sz w:val="18"/>
          <w:szCs w:val="18"/>
          <w:color w:val="262626"/>
        </w:rPr>
        <w:t>be deemed to restrict</w:t>
      </w:r>
      <w:r>
        <w:rPr>
          <w:rFonts w:ascii="Arial" w:cs="Arial" w:eastAsia="Arial" w:hAnsi="Arial"/>
          <w:sz w:val="18"/>
          <w:szCs w:val="18"/>
          <w:color w:val="363636"/>
        </w:rPr>
        <w:t xml:space="preserve"> Executive from </w:t>
      </w:r>
      <w:r>
        <w:rPr>
          <w:rFonts w:ascii="Arial" w:cs="Arial" w:eastAsia="Arial" w:hAnsi="Arial"/>
          <w:sz w:val="18"/>
          <w:szCs w:val="18"/>
          <w:color w:val="262626"/>
        </w:rPr>
        <w:t>providing</w:t>
      </w:r>
      <w:r>
        <w:rPr>
          <w:rFonts w:ascii="Arial" w:cs="Arial" w:eastAsia="Arial" w:hAnsi="Arial"/>
          <w:sz w:val="18"/>
          <w:szCs w:val="18"/>
          <w:color w:val="363636"/>
        </w:rPr>
        <w:t xml:space="preserve"> </w:t>
      </w:r>
      <w:r>
        <w:rPr>
          <w:rFonts w:ascii="Arial" w:cs="Arial" w:eastAsia="Arial" w:hAnsi="Arial"/>
          <w:sz w:val="18"/>
          <w:szCs w:val="18"/>
          <w:color w:val="262626"/>
        </w:rPr>
        <w:t xml:space="preserve">truthful information to </w:t>
      </w:r>
      <w:r>
        <w:rPr>
          <w:rFonts w:ascii="Arial" w:cs="Arial" w:eastAsia="Arial" w:hAnsi="Arial"/>
          <w:sz w:val="18"/>
          <w:szCs w:val="18"/>
          <w:color w:val="363636"/>
        </w:rPr>
        <w:t>any governmental or</w:t>
      </w:r>
      <w:r>
        <w:rPr>
          <w:rFonts w:ascii="Arial" w:cs="Arial" w:eastAsia="Arial" w:hAnsi="Arial"/>
          <w:sz w:val="18"/>
          <w:szCs w:val="18"/>
          <w:color w:val="262626"/>
        </w:rPr>
        <w:t xml:space="preserve"> regulatory </w:t>
      </w:r>
      <w:r>
        <w:rPr>
          <w:rFonts w:ascii="Arial" w:cs="Arial" w:eastAsia="Arial" w:hAnsi="Arial"/>
          <w:sz w:val="18"/>
          <w:szCs w:val="18"/>
          <w:color w:val="363636"/>
        </w:rPr>
        <w:t>agency (or in any way limit the content of anysuch information)</w:t>
      </w:r>
      <w:r>
        <w:rPr>
          <w:rFonts w:ascii="Arial" w:cs="Arial" w:eastAsia="Arial" w:hAnsi="Arial"/>
          <w:sz w:val="18"/>
          <w:szCs w:val="18"/>
          <w:color w:val="262626"/>
        </w:rPr>
        <w:t xml:space="preserve"> to the </w:t>
      </w:r>
      <w:r>
        <w:rPr>
          <w:rFonts w:ascii="Arial" w:cs="Arial" w:eastAsia="Arial" w:hAnsi="Arial"/>
          <w:sz w:val="18"/>
          <w:szCs w:val="18"/>
          <w:color w:val="363636"/>
        </w:rPr>
        <w:t xml:space="preserve">extent </w:t>
      </w:r>
      <w:r>
        <w:rPr>
          <w:rFonts w:ascii="Arial" w:cs="Arial" w:eastAsia="Arial" w:hAnsi="Arial"/>
          <w:sz w:val="18"/>
          <w:szCs w:val="18"/>
          <w:color w:val="262626"/>
        </w:rPr>
        <w:t>requested</w:t>
      </w:r>
      <w:r>
        <w:rPr>
          <w:rFonts w:ascii="Arial" w:cs="Arial" w:eastAsia="Arial" w:hAnsi="Arial"/>
          <w:sz w:val="18"/>
          <w:szCs w:val="18"/>
          <w:color w:val="363636"/>
        </w:rPr>
        <w:t xml:space="preserve"> or required </w:t>
      </w:r>
      <w:r>
        <w:rPr>
          <w:rFonts w:ascii="Arial" w:cs="Arial" w:eastAsia="Arial" w:hAnsi="Arial"/>
          <w:sz w:val="18"/>
          <w:szCs w:val="18"/>
          <w:color w:val="262626"/>
        </w:rPr>
        <w:t>to provide</w:t>
      </w:r>
      <w:r>
        <w:rPr>
          <w:rFonts w:ascii="Arial" w:cs="Arial" w:eastAsia="Arial" w:hAnsi="Arial"/>
          <w:sz w:val="18"/>
          <w:szCs w:val="18"/>
          <w:color w:val="363636"/>
        </w:rPr>
        <w:t xml:space="preserve"> such </w:t>
      </w:r>
      <w:r>
        <w:rPr>
          <w:rFonts w:ascii="Arial" w:cs="Arial" w:eastAsia="Arial" w:hAnsi="Arial"/>
          <w:sz w:val="18"/>
          <w:szCs w:val="18"/>
          <w:color w:val="262626"/>
        </w:rPr>
        <w:t>information pursuant</w:t>
      </w:r>
      <w:r>
        <w:rPr>
          <w:rFonts w:ascii="Arial" w:cs="Arial" w:eastAsia="Arial" w:hAnsi="Arial"/>
          <w:sz w:val="18"/>
          <w:szCs w:val="18"/>
          <w:color w:val="363636"/>
        </w:rPr>
        <w:t xml:space="preserve"> to app</w:t>
      </w:r>
      <w:r>
        <w:rPr>
          <w:rFonts w:ascii="Arial" w:cs="Arial" w:eastAsia="Arial" w:hAnsi="Arial"/>
          <w:sz w:val="18"/>
          <w:szCs w:val="18"/>
          <w:color w:val="0E0E0C"/>
        </w:rPr>
        <w:t>l</w:t>
      </w:r>
      <w:r>
        <w:rPr>
          <w:rFonts w:ascii="Arial" w:cs="Arial" w:eastAsia="Arial" w:hAnsi="Arial"/>
          <w:sz w:val="18"/>
          <w:szCs w:val="18"/>
          <w:color w:val="363636"/>
        </w:rPr>
        <w:t xml:space="preserve">icable </w:t>
      </w:r>
      <w:r>
        <w:rPr>
          <w:rFonts w:ascii="Arial" w:cs="Arial" w:eastAsia="Arial" w:hAnsi="Arial"/>
          <w:sz w:val="18"/>
          <w:szCs w:val="18"/>
          <w:color w:val="262626"/>
        </w:rPr>
        <w:t>law</w:t>
      </w:r>
      <w:r>
        <w:rPr>
          <w:rFonts w:ascii="Arial" w:cs="Arial" w:eastAsia="Arial" w:hAnsi="Arial"/>
          <w:sz w:val="18"/>
          <w:szCs w:val="18"/>
          <w:color w:val="363636"/>
        </w:rPr>
        <w:t xml:space="preserve"> or </w:t>
      </w:r>
      <w:r>
        <w:rPr>
          <w:rFonts w:ascii="Arial" w:cs="Arial" w:eastAsia="Arial" w:hAnsi="Arial"/>
          <w:sz w:val="18"/>
          <w:szCs w:val="18"/>
          <w:color w:val="262626"/>
        </w:rPr>
        <w:t>regulation. Nothing</w:t>
      </w:r>
      <w:r>
        <w:rPr>
          <w:rFonts w:ascii="Arial" w:cs="Arial" w:eastAsia="Arial" w:hAnsi="Arial"/>
          <w:sz w:val="18"/>
          <w:szCs w:val="18"/>
          <w:color w:val="363636"/>
        </w:rPr>
        <w:t xml:space="preserve"> </w:t>
      </w:r>
      <w:r>
        <w:rPr>
          <w:rFonts w:ascii="Arial" w:cs="Arial" w:eastAsia="Arial" w:hAnsi="Arial"/>
          <w:sz w:val="16"/>
          <w:szCs w:val="16"/>
          <w:color w:val="262626"/>
        </w:rPr>
        <w:t>in</w:t>
      </w:r>
      <w:r>
        <w:rPr>
          <w:rFonts w:ascii="Arial" w:cs="Arial" w:eastAsia="Arial" w:hAnsi="Arial"/>
          <w:sz w:val="18"/>
          <w:szCs w:val="18"/>
          <w:color w:val="363636"/>
        </w:rPr>
        <w:t xml:space="preserve"> </w:t>
      </w:r>
      <w:r>
        <w:rPr>
          <w:rFonts w:ascii="Arial" w:cs="Arial" w:eastAsia="Arial" w:hAnsi="Arial"/>
          <w:sz w:val="18"/>
          <w:szCs w:val="18"/>
          <w:color w:val="262626"/>
        </w:rPr>
        <w:t>this</w:t>
      </w:r>
      <w:r>
        <w:rPr>
          <w:rFonts w:ascii="Arial" w:cs="Arial" w:eastAsia="Arial" w:hAnsi="Arial"/>
          <w:sz w:val="18"/>
          <w:szCs w:val="18"/>
          <w:color w:val="363636"/>
        </w:rPr>
        <w:t xml:space="preserve"> section </w:t>
      </w:r>
      <w:r>
        <w:rPr>
          <w:rFonts w:ascii="Arial" w:cs="Arial" w:eastAsia="Arial" w:hAnsi="Arial"/>
          <w:sz w:val="18"/>
          <w:szCs w:val="18"/>
          <w:color w:val="262626"/>
        </w:rPr>
        <w:t>is</w:t>
      </w:r>
      <w:r>
        <w:rPr>
          <w:rFonts w:ascii="Arial" w:cs="Arial" w:eastAsia="Arial" w:hAnsi="Arial"/>
          <w:sz w:val="18"/>
          <w:szCs w:val="18"/>
          <w:color w:val="363636"/>
        </w:rPr>
        <w:t xml:space="preserve"> </w:t>
      </w:r>
      <w:r>
        <w:rPr>
          <w:rFonts w:ascii="Arial" w:cs="Arial" w:eastAsia="Arial" w:hAnsi="Arial"/>
          <w:sz w:val="18"/>
          <w:szCs w:val="18"/>
          <w:color w:val="262626"/>
        </w:rPr>
        <w:t xml:space="preserve">intended to limit </w:t>
      </w:r>
      <w:r>
        <w:rPr>
          <w:rFonts w:ascii="Arial" w:cs="Arial" w:eastAsia="Arial" w:hAnsi="Arial"/>
          <w:sz w:val="18"/>
          <w:szCs w:val="18"/>
          <w:color w:val="363636"/>
        </w:rPr>
        <w:t>Executive</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s</w:t>
      </w:r>
      <w:r>
        <w:rPr>
          <w:rFonts w:ascii="Arial" w:cs="Arial" w:eastAsia="Arial" w:hAnsi="Arial"/>
          <w:sz w:val="18"/>
          <w:szCs w:val="18"/>
          <w:color w:val="262626"/>
        </w:rPr>
        <w:t xml:space="preserve"> rights under Section </w:t>
      </w:r>
      <w:r>
        <w:rPr>
          <w:rFonts w:ascii="Arial" w:cs="Arial" w:eastAsia="Arial" w:hAnsi="Arial"/>
          <w:sz w:val="18"/>
          <w:szCs w:val="18"/>
          <w:color w:val="363636"/>
        </w:rPr>
        <w:t>7</w:t>
      </w:r>
      <w:r>
        <w:rPr>
          <w:rFonts w:ascii="Arial" w:cs="Arial" w:eastAsia="Arial" w:hAnsi="Arial"/>
          <w:sz w:val="18"/>
          <w:szCs w:val="18"/>
          <w:color w:val="262626"/>
        </w:rPr>
        <w:t xml:space="preserve"> of the </w:t>
      </w:r>
      <w:r>
        <w:rPr>
          <w:rFonts w:ascii="Arial" w:cs="Arial" w:eastAsia="Arial" w:hAnsi="Arial"/>
          <w:sz w:val="18"/>
          <w:szCs w:val="18"/>
          <w:color w:val="363636"/>
        </w:rPr>
        <w:t>National Labor Relations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469900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47"/>
          </w:cols>
          <w:pgMar w:left="773" w:top="649" w:right="1079" w:bottom="1440" w:gutter="0" w:footer="0" w:header="0"/>
        </w:sectPr>
      </w:pPr>
    </w:p>
    <w:bookmarkStart w:id="160" w:name="page161"/>
    <w:bookmarkEnd w:id="160"/>
    <w:p>
      <w:pPr>
        <w:ind w:left="7" w:right="200" w:firstLine="456"/>
        <w:spacing w:after="0" w:line="243" w:lineRule="auto"/>
        <w:rPr>
          <w:sz w:val="20"/>
          <w:szCs w:val="20"/>
          <w:color w:val="auto"/>
        </w:rPr>
      </w:pPr>
      <w:r>
        <w:rPr>
          <w:rFonts w:ascii="Arial" w:cs="Arial" w:eastAsia="Arial" w:hAnsi="Arial"/>
          <w:sz w:val="20"/>
          <w:szCs w:val="20"/>
          <w:color w:val="282828"/>
        </w:rPr>
        <w:t xml:space="preserve">4.5 </w:t>
      </w:r>
      <w:r>
        <w:rPr>
          <w:rFonts w:ascii="Arial" w:cs="Arial" w:eastAsia="Arial" w:hAnsi="Arial"/>
          <w:sz w:val="20"/>
          <w:szCs w:val="20"/>
          <w:u w:val="single" w:color="auto"/>
          <w:color w:val="282828"/>
        </w:rPr>
        <w:t>Return of Property.</w:t>
      </w:r>
      <w:r>
        <w:rPr>
          <w:rFonts w:ascii="Arial" w:cs="Arial" w:eastAsia="Arial" w:hAnsi="Arial"/>
          <w:sz w:val="20"/>
          <w:szCs w:val="20"/>
          <w:color w:val="282828"/>
        </w:rPr>
        <w:t xml:space="preserve"> </w:t>
      </w:r>
      <w:r>
        <w:rPr>
          <w:rFonts w:ascii="Arial" w:cs="Arial" w:eastAsia="Arial" w:hAnsi="Arial"/>
          <w:sz w:val="20"/>
          <w:szCs w:val="20"/>
          <w:color w:val="383838"/>
        </w:rPr>
        <w:t>Upon</w:t>
      </w:r>
      <w:r>
        <w:rPr>
          <w:rFonts w:ascii="Arial" w:cs="Arial" w:eastAsia="Arial" w:hAnsi="Arial"/>
          <w:sz w:val="20"/>
          <w:szCs w:val="20"/>
          <w:color w:val="282828"/>
        </w:rPr>
        <w:t xml:space="preserve"> termination </w:t>
      </w:r>
      <w:r>
        <w:rPr>
          <w:rFonts w:ascii="Arial" w:cs="Arial" w:eastAsia="Arial" w:hAnsi="Arial"/>
          <w:sz w:val="20"/>
          <w:szCs w:val="20"/>
          <w:color w:val="383838"/>
        </w:rPr>
        <w:t>of</w:t>
      </w:r>
      <w:r>
        <w:rPr>
          <w:rFonts w:ascii="Arial" w:cs="Arial" w:eastAsia="Arial" w:hAnsi="Arial"/>
          <w:sz w:val="20"/>
          <w:szCs w:val="20"/>
          <w:color w:val="282828"/>
        </w:rPr>
        <w:t xml:space="preserve"> his </w:t>
      </w:r>
      <w:r>
        <w:rPr>
          <w:rFonts w:ascii="Arial" w:cs="Arial" w:eastAsia="Arial" w:hAnsi="Arial"/>
          <w:sz w:val="20"/>
          <w:szCs w:val="20"/>
          <w:color w:val="383838"/>
        </w:rPr>
        <w:t>employment as Chief</w:t>
      </w:r>
      <w:r>
        <w:rPr>
          <w:rFonts w:ascii="Arial" w:cs="Arial" w:eastAsia="Arial" w:hAnsi="Arial"/>
          <w:sz w:val="20"/>
          <w:szCs w:val="20"/>
          <w:color w:val="282828"/>
        </w:rPr>
        <w:t xml:space="preserve"> Financial Officer </w:t>
      </w:r>
      <w:r>
        <w:rPr>
          <w:rFonts w:ascii="Arial" w:cs="Arial" w:eastAsia="Arial" w:hAnsi="Arial"/>
          <w:sz w:val="20"/>
          <w:szCs w:val="20"/>
          <w:color w:val="383838"/>
        </w:rPr>
        <w:t>of</w:t>
      </w:r>
      <w:r>
        <w:rPr>
          <w:rFonts w:ascii="Arial" w:cs="Arial" w:eastAsia="Arial" w:hAnsi="Arial"/>
          <w:sz w:val="20"/>
          <w:szCs w:val="20"/>
          <w:color w:val="282828"/>
        </w:rPr>
        <w:t xml:space="preserve"> the </w:t>
      </w:r>
      <w:r>
        <w:rPr>
          <w:rFonts w:ascii="Arial" w:cs="Arial" w:eastAsia="Arial" w:hAnsi="Arial"/>
          <w:sz w:val="20"/>
          <w:szCs w:val="20"/>
          <w:color w:val="383838"/>
        </w:rPr>
        <w:t>Company</w:t>
      </w:r>
      <w:r>
        <w:rPr>
          <w:rFonts w:ascii="Arial" w:cs="Arial" w:eastAsia="Arial" w:hAnsi="Arial"/>
          <w:sz w:val="20"/>
          <w:szCs w:val="20"/>
          <w:color w:val="282828"/>
        </w:rPr>
        <w:t xml:space="preserve"> or </w:t>
      </w:r>
      <w:r>
        <w:rPr>
          <w:rFonts w:ascii="Arial" w:cs="Arial" w:eastAsia="Arial" w:hAnsi="Arial"/>
          <w:sz w:val="20"/>
          <w:szCs w:val="20"/>
          <w:color w:val="383838"/>
        </w:rPr>
        <w:t>at</w:t>
      </w:r>
      <w:r>
        <w:rPr>
          <w:rFonts w:ascii="Arial" w:cs="Arial" w:eastAsia="Arial" w:hAnsi="Arial"/>
          <w:sz w:val="20"/>
          <w:szCs w:val="20"/>
          <w:color w:val="282828"/>
        </w:rPr>
        <w:t xml:space="preserve"> any time as </w:t>
      </w:r>
      <w:r>
        <w:rPr>
          <w:rFonts w:ascii="Arial" w:cs="Arial" w:eastAsia="Arial" w:hAnsi="Arial"/>
          <w:sz w:val="20"/>
          <w:szCs w:val="20"/>
          <w:color w:val="383838"/>
        </w:rPr>
        <w:t>the Company requests, the Executive will</w:t>
      </w:r>
      <w:r>
        <w:rPr>
          <w:rFonts w:ascii="Arial" w:cs="Arial" w:eastAsia="Arial" w:hAnsi="Arial"/>
          <w:sz w:val="20"/>
          <w:szCs w:val="20"/>
          <w:color w:val="282828"/>
        </w:rPr>
        <w:t xml:space="preserve"> promptly deliver to the Company </w:t>
      </w:r>
      <w:r>
        <w:rPr>
          <w:rFonts w:ascii="Arial" w:cs="Arial" w:eastAsia="Arial" w:hAnsi="Arial"/>
          <w:sz w:val="20"/>
          <w:szCs w:val="20"/>
          <w:color w:val="383838"/>
        </w:rPr>
        <w:t>all</w:t>
      </w:r>
      <w:r>
        <w:rPr>
          <w:rFonts w:ascii="Arial" w:cs="Arial" w:eastAsia="Arial" w:hAnsi="Arial"/>
          <w:sz w:val="20"/>
          <w:szCs w:val="20"/>
          <w:color w:val="282828"/>
        </w:rPr>
        <w:t xml:space="preserve"> documents </w:t>
      </w:r>
      <w:r>
        <w:rPr>
          <w:rFonts w:ascii="Arial" w:cs="Arial" w:eastAsia="Arial" w:hAnsi="Arial"/>
          <w:sz w:val="20"/>
          <w:szCs w:val="20"/>
          <w:color w:val="383838"/>
        </w:rPr>
        <w:t>(whether</w:t>
      </w:r>
      <w:r>
        <w:rPr>
          <w:rFonts w:ascii="Arial" w:cs="Arial" w:eastAsia="Arial" w:hAnsi="Arial"/>
          <w:sz w:val="20"/>
          <w:szCs w:val="20"/>
          <w:color w:val="282828"/>
        </w:rPr>
        <w:t xml:space="preserve"> prepared by the </w:t>
      </w:r>
      <w:r>
        <w:rPr>
          <w:rFonts w:ascii="Arial" w:cs="Arial" w:eastAsia="Arial" w:hAnsi="Arial"/>
          <w:sz w:val="20"/>
          <w:szCs w:val="20"/>
          <w:color w:val="383838"/>
        </w:rPr>
        <w:t>Company,</w:t>
      </w:r>
      <w:r>
        <w:rPr>
          <w:rFonts w:ascii="Arial" w:cs="Arial" w:eastAsia="Arial" w:hAnsi="Arial"/>
          <w:sz w:val="20"/>
          <w:szCs w:val="20"/>
          <w:color w:val="282828"/>
        </w:rPr>
        <w:t xml:space="preserve"> a </w:t>
      </w:r>
      <w:r>
        <w:rPr>
          <w:rFonts w:ascii="Arial" w:cs="Arial" w:eastAsia="Arial" w:hAnsi="Arial"/>
          <w:sz w:val="20"/>
          <w:szCs w:val="20"/>
          <w:color w:val="383838"/>
        </w:rPr>
        <w:t>subsidiary, an affiliate,</w:t>
      </w:r>
      <w:r>
        <w:rPr>
          <w:rFonts w:ascii="Arial" w:cs="Arial" w:eastAsia="Arial" w:hAnsi="Arial"/>
          <w:sz w:val="20"/>
          <w:szCs w:val="20"/>
          <w:color w:val="282828"/>
        </w:rPr>
        <w:t xml:space="preserve"> the Executive or a third party) relating </w:t>
      </w:r>
      <w:r>
        <w:rPr>
          <w:rFonts w:ascii="Arial" w:cs="Arial" w:eastAsia="Arial" w:hAnsi="Arial"/>
          <w:sz w:val="20"/>
          <w:szCs w:val="20"/>
          <w:color w:val="383838"/>
        </w:rPr>
        <w:t>to the Company, any of</w:t>
      </w:r>
      <w:r>
        <w:rPr>
          <w:rFonts w:ascii="Arial" w:cs="Arial" w:eastAsia="Arial" w:hAnsi="Arial"/>
          <w:sz w:val="20"/>
          <w:szCs w:val="20"/>
          <w:color w:val="282828"/>
        </w:rPr>
        <w:t xml:space="preserve"> its </w:t>
      </w:r>
      <w:r>
        <w:rPr>
          <w:rFonts w:ascii="Arial" w:cs="Arial" w:eastAsia="Arial" w:hAnsi="Arial"/>
          <w:sz w:val="20"/>
          <w:szCs w:val="20"/>
          <w:color w:val="383838"/>
        </w:rPr>
        <w:t>subsidiaries or</w:t>
      </w:r>
      <w:r>
        <w:rPr>
          <w:rFonts w:ascii="Arial" w:cs="Arial" w:eastAsia="Arial" w:hAnsi="Arial"/>
          <w:sz w:val="20"/>
          <w:szCs w:val="20"/>
          <w:color w:val="282828"/>
        </w:rPr>
        <w:t xml:space="preserve"> </w:t>
      </w:r>
      <w:r>
        <w:rPr>
          <w:rFonts w:ascii="Arial" w:cs="Arial" w:eastAsia="Arial" w:hAnsi="Arial"/>
          <w:sz w:val="20"/>
          <w:szCs w:val="20"/>
          <w:color w:val="383838"/>
        </w:rPr>
        <w:t xml:space="preserve">affiliates </w:t>
      </w:r>
      <w:r>
        <w:rPr>
          <w:rFonts w:ascii="Arial" w:cs="Arial" w:eastAsia="Arial" w:hAnsi="Arial"/>
          <w:sz w:val="20"/>
          <w:szCs w:val="20"/>
          <w:color w:val="282828"/>
        </w:rPr>
        <w:t>or any of their businesses or property that the Executive may possess or have under the Executive's direction or</w:t>
      </w:r>
      <w:r>
        <w:rPr>
          <w:rFonts w:ascii="Arial" w:cs="Arial" w:eastAsia="Arial" w:hAnsi="Arial"/>
          <w:sz w:val="20"/>
          <w:szCs w:val="20"/>
          <w:color w:val="383838"/>
        </w:rPr>
        <w:t xml:space="preserve"> </w:t>
      </w:r>
      <w:r>
        <w:rPr>
          <w:rFonts w:ascii="Arial" w:cs="Arial" w:eastAsia="Arial" w:hAnsi="Arial"/>
          <w:sz w:val="20"/>
          <w:szCs w:val="20"/>
          <w:color w:val="282828"/>
        </w:rPr>
        <w:t xml:space="preserve">control other than documents provided to the Executive </w:t>
      </w:r>
      <w:r>
        <w:rPr>
          <w:rFonts w:ascii="Arial" w:cs="Arial" w:eastAsia="Arial" w:hAnsi="Arial"/>
          <w:sz w:val="20"/>
          <w:szCs w:val="20"/>
          <w:color w:val="383838"/>
        </w:rPr>
        <w:t>in</w:t>
      </w:r>
      <w:r>
        <w:rPr>
          <w:rFonts w:ascii="Arial" w:cs="Arial" w:eastAsia="Arial" w:hAnsi="Arial"/>
          <w:sz w:val="20"/>
          <w:szCs w:val="20"/>
          <w:color w:val="282828"/>
        </w:rPr>
        <w:t xml:space="preserve"> the </w:t>
      </w:r>
      <w:r>
        <w:rPr>
          <w:rFonts w:ascii="Arial" w:cs="Arial" w:eastAsia="Arial" w:hAnsi="Arial"/>
          <w:sz w:val="20"/>
          <w:szCs w:val="20"/>
          <w:color w:val="383838"/>
        </w:rPr>
        <w:t>Executive's capacity</w:t>
      </w:r>
      <w:r>
        <w:rPr>
          <w:rFonts w:ascii="Arial" w:cs="Arial" w:eastAsia="Arial" w:hAnsi="Arial"/>
          <w:sz w:val="20"/>
          <w:szCs w:val="20"/>
          <w:color w:val="282828"/>
        </w:rPr>
        <w:t xml:space="preserve"> as </w:t>
      </w:r>
      <w:r>
        <w:rPr>
          <w:rFonts w:ascii="Arial" w:cs="Arial" w:eastAsia="Arial" w:hAnsi="Arial"/>
          <w:sz w:val="20"/>
          <w:szCs w:val="20"/>
          <w:color w:val="383838"/>
        </w:rPr>
        <w:t>a</w:t>
      </w:r>
      <w:r>
        <w:rPr>
          <w:rFonts w:ascii="Arial" w:cs="Arial" w:eastAsia="Arial" w:hAnsi="Arial"/>
          <w:sz w:val="20"/>
          <w:szCs w:val="20"/>
          <w:color w:val="282828"/>
        </w:rPr>
        <w:t xml:space="preserve"> participant in </w:t>
      </w:r>
      <w:r>
        <w:rPr>
          <w:rFonts w:ascii="Arial" w:cs="Arial" w:eastAsia="Arial" w:hAnsi="Arial"/>
          <w:sz w:val="20"/>
          <w:szCs w:val="20"/>
          <w:color w:val="383838"/>
        </w:rPr>
        <w:t>any employee</w:t>
      </w:r>
      <w:r>
        <w:rPr>
          <w:rFonts w:ascii="Arial" w:cs="Arial" w:eastAsia="Arial" w:hAnsi="Arial"/>
          <w:sz w:val="20"/>
          <w:szCs w:val="20"/>
          <w:color w:val="282828"/>
        </w:rPr>
        <w:t xml:space="preserve"> benefit plan, policy </w:t>
      </w:r>
      <w:r>
        <w:rPr>
          <w:rFonts w:ascii="Arial" w:cs="Arial" w:eastAsia="Arial" w:hAnsi="Arial"/>
          <w:sz w:val="20"/>
          <w:szCs w:val="20"/>
          <w:color w:val="383838"/>
        </w:rPr>
        <w:t>or</w:t>
      </w:r>
      <w:r>
        <w:rPr>
          <w:rFonts w:ascii="Arial" w:cs="Arial" w:eastAsia="Arial" w:hAnsi="Arial"/>
          <w:sz w:val="20"/>
          <w:szCs w:val="20"/>
          <w:color w:val="282828"/>
        </w:rPr>
        <w:t xml:space="preserve"> program </w:t>
      </w:r>
      <w:r>
        <w:rPr>
          <w:rFonts w:ascii="Arial" w:cs="Arial" w:eastAsia="Arial" w:hAnsi="Arial"/>
          <w:sz w:val="20"/>
          <w:szCs w:val="20"/>
          <w:color w:val="383838"/>
        </w:rPr>
        <w:t>of</w:t>
      </w:r>
      <w:r>
        <w:rPr>
          <w:rFonts w:ascii="Arial" w:cs="Arial" w:eastAsia="Arial" w:hAnsi="Arial"/>
          <w:sz w:val="20"/>
          <w:szCs w:val="20"/>
          <w:color w:val="282828"/>
        </w:rPr>
        <w:t xml:space="preserve"> the </w:t>
      </w:r>
      <w:r>
        <w:rPr>
          <w:rFonts w:ascii="Arial" w:cs="Arial" w:eastAsia="Arial" w:hAnsi="Arial"/>
          <w:sz w:val="20"/>
          <w:szCs w:val="20"/>
          <w:color w:val="383838"/>
        </w:rPr>
        <w:t>Company.</w:t>
      </w:r>
    </w:p>
    <w:p>
      <w:pPr>
        <w:spacing w:after="0" w:line="169" w:lineRule="exact"/>
        <w:rPr>
          <w:sz w:val="20"/>
          <w:szCs w:val="20"/>
          <w:color w:val="auto"/>
        </w:rPr>
      </w:pPr>
    </w:p>
    <w:p>
      <w:pPr>
        <w:ind w:left="7" w:firstLine="457"/>
        <w:spacing w:after="0" w:line="242" w:lineRule="auto"/>
        <w:rPr>
          <w:sz w:val="20"/>
          <w:szCs w:val="20"/>
          <w:color w:val="auto"/>
        </w:rPr>
      </w:pPr>
      <w:r>
        <w:rPr>
          <w:rFonts w:ascii="Arial" w:cs="Arial" w:eastAsia="Arial" w:hAnsi="Arial"/>
          <w:sz w:val="20"/>
          <w:szCs w:val="20"/>
          <w:color w:val="282828"/>
        </w:rPr>
        <w:t xml:space="preserve">4.6 </w:t>
      </w:r>
      <w:r>
        <w:rPr>
          <w:rFonts w:ascii="Arial" w:cs="Arial" w:eastAsia="Arial" w:hAnsi="Arial"/>
          <w:sz w:val="20"/>
          <w:szCs w:val="20"/>
          <w:u w:val="single" w:color="auto"/>
          <w:color w:val="282828"/>
        </w:rPr>
        <w:t>Remedies.</w:t>
      </w:r>
      <w:r>
        <w:rPr>
          <w:rFonts w:ascii="Arial" w:cs="Arial" w:eastAsia="Arial" w:hAnsi="Arial"/>
          <w:sz w:val="20"/>
          <w:szCs w:val="20"/>
          <w:color w:val="282828"/>
        </w:rPr>
        <w:t xml:space="preserve"> The </w:t>
      </w:r>
      <w:r>
        <w:rPr>
          <w:rFonts w:ascii="Arial" w:cs="Arial" w:eastAsia="Arial" w:hAnsi="Arial"/>
          <w:sz w:val="20"/>
          <w:szCs w:val="20"/>
          <w:color w:val="383838"/>
        </w:rPr>
        <w:t>Executive acknowledges</w:t>
      </w:r>
      <w:r>
        <w:rPr>
          <w:rFonts w:ascii="Arial" w:cs="Arial" w:eastAsia="Arial" w:hAnsi="Arial"/>
          <w:sz w:val="20"/>
          <w:szCs w:val="20"/>
          <w:color w:val="282828"/>
        </w:rPr>
        <w:t xml:space="preserve"> that </w:t>
      </w:r>
      <w:r>
        <w:rPr>
          <w:rFonts w:ascii="Arial" w:cs="Arial" w:eastAsia="Arial" w:hAnsi="Arial"/>
          <w:sz w:val="20"/>
          <w:szCs w:val="20"/>
          <w:color w:val="383838"/>
        </w:rPr>
        <w:t>(i)</w:t>
      </w:r>
      <w:r>
        <w:rPr>
          <w:rFonts w:ascii="Arial" w:cs="Arial" w:eastAsia="Arial" w:hAnsi="Arial"/>
          <w:sz w:val="20"/>
          <w:szCs w:val="20"/>
          <w:color w:val="282828"/>
        </w:rPr>
        <w:t xml:space="preserve"> the </w:t>
      </w:r>
      <w:r>
        <w:rPr>
          <w:rFonts w:ascii="Arial" w:cs="Arial" w:eastAsia="Arial" w:hAnsi="Arial"/>
          <w:sz w:val="20"/>
          <w:szCs w:val="20"/>
          <w:color w:val="383838"/>
        </w:rPr>
        <w:t>Executive</w:t>
      </w:r>
      <w:r>
        <w:rPr>
          <w:rFonts w:ascii="Arial" w:cs="Arial" w:eastAsia="Arial" w:hAnsi="Arial"/>
          <w:sz w:val="20"/>
          <w:szCs w:val="20"/>
          <w:color w:val="282828"/>
        </w:rPr>
        <w:t xml:space="preserve"> has had </w:t>
      </w:r>
      <w:r>
        <w:rPr>
          <w:rFonts w:ascii="Arial" w:cs="Arial" w:eastAsia="Arial" w:hAnsi="Arial"/>
          <w:sz w:val="20"/>
          <w:szCs w:val="20"/>
          <w:color w:val="383838"/>
        </w:rPr>
        <w:t>an opportunity</w:t>
      </w:r>
      <w:r>
        <w:rPr>
          <w:rFonts w:ascii="Arial" w:cs="Arial" w:eastAsia="Arial" w:hAnsi="Arial"/>
          <w:sz w:val="20"/>
          <w:szCs w:val="20"/>
          <w:color w:val="282828"/>
        </w:rPr>
        <w:t xml:space="preserve"> to seek </w:t>
      </w:r>
      <w:r>
        <w:rPr>
          <w:rFonts w:ascii="Arial" w:cs="Arial" w:eastAsia="Arial" w:hAnsi="Arial"/>
          <w:sz w:val="20"/>
          <w:szCs w:val="20"/>
          <w:color w:val="383838"/>
        </w:rPr>
        <w:t>the</w:t>
      </w:r>
      <w:r>
        <w:rPr>
          <w:rFonts w:ascii="Arial" w:cs="Arial" w:eastAsia="Arial" w:hAnsi="Arial"/>
          <w:sz w:val="20"/>
          <w:szCs w:val="20"/>
          <w:color w:val="282828"/>
        </w:rPr>
        <w:t xml:space="preserve"> advice of counsel in connection with this </w:t>
      </w:r>
      <w:r>
        <w:rPr>
          <w:rFonts w:ascii="Arial" w:cs="Arial" w:eastAsia="Arial" w:hAnsi="Arial"/>
          <w:sz w:val="20"/>
          <w:szCs w:val="20"/>
          <w:color w:val="383838"/>
        </w:rPr>
        <w:t>Agreement; (ii)</w:t>
      </w:r>
      <w:r>
        <w:rPr>
          <w:rFonts w:ascii="Arial" w:cs="Arial" w:eastAsia="Arial" w:hAnsi="Arial"/>
          <w:sz w:val="20"/>
          <w:szCs w:val="20"/>
          <w:color w:val="282828"/>
        </w:rPr>
        <w:t xml:space="preserve"> the provisions of this Section </w:t>
      </w:r>
      <w:r>
        <w:rPr>
          <w:rFonts w:ascii="Arial" w:cs="Arial" w:eastAsia="Arial" w:hAnsi="Arial"/>
          <w:sz w:val="17"/>
          <w:szCs w:val="17"/>
          <w:color w:val="282828"/>
        </w:rPr>
        <w:t>4</w:t>
      </w:r>
      <w:r>
        <w:rPr>
          <w:rFonts w:ascii="Arial" w:cs="Arial" w:eastAsia="Arial" w:hAnsi="Arial"/>
          <w:sz w:val="20"/>
          <w:szCs w:val="20"/>
          <w:color w:val="282828"/>
        </w:rPr>
        <w:t xml:space="preserve"> are reasonable in </w:t>
      </w:r>
      <w:r>
        <w:rPr>
          <w:rFonts w:ascii="Arial" w:cs="Arial" w:eastAsia="Arial" w:hAnsi="Arial"/>
          <w:sz w:val="20"/>
          <w:szCs w:val="20"/>
          <w:color w:val="383838"/>
        </w:rPr>
        <w:t>scope and</w:t>
      </w:r>
      <w:r>
        <w:rPr>
          <w:rFonts w:ascii="Arial" w:cs="Arial" w:eastAsia="Arial" w:hAnsi="Arial"/>
          <w:sz w:val="20"/>
          <w:szCs w:val="20"/>
          <w:color w:val="282828"/>
        </w:rPr>
        <w:t xml:space="preserve"> in all other respects</w:t>
      </w:r>
      <w:r>
        <w:rPr>
          <w:rFonts w:ascii="Arial" w:cs="Arial" w:eastAsia="Arial" w:hAnsi="Arial"/>
          <w:sz w:val="20"/>
          <w:szCs w:val="20"/>
          <w:color w:val="565656"/>
        </w:rPr>
        <w:t>;</w:t>
      </w:r>
      <w:r>
        <w:rPr>
          <w:rFonts w:ascii="Arial" w:cs="Arial" w:eastAsia="Arial" w:hAnsi="Arial"/>
          <w:sz w:val="20"/>
          <w:szCs w:val="20"/>
          <w:color w:val="282828"/>
        </w:rPr>
        <w:t xml:space="preserve"> </w:t>
      </w:r>
      <w:r>
        <w:rPr>
          <w:rFonts w:ascii="Arial" w:cs="Arial" w:eastAsia="Arial" w:hAnsi="Arial"/>
          <w:sz w:val="20"/>
          <w:szCs w:val="20"/>
          <w:color w:val="383838"/>
        </w:rPr>
        <w:t>(iii)</w:t>
      </w:r>
      <w:r>
        <w:rPr>
          <w:rFonts w:ascii="Arial" w:cs="Arial" w:eastAsia="Arial" w:hAnsi="Arial"/>
          <w:sz w:val="20"/>
          <w:szCs w:val="20"/>
          <w:color w:val="282828"/>
        </w:rPr>
        <w:t xml:space="preserve"> any </w:t>
      </w:r>
      <w:r>
        <w:rPr>
          <w:rFonts w:ascii="Arial" w:cs="Arial" w:eastAsia="Arial" w:hAnsi="Arial"/>
          <w:sz w:val="20"/>
          <w:szCs w:val="20"/>
          <w:color w:val="383838"/>
        </w:rPr>
        <w:t>violationof</w:t>
      </w:r>
      <w:r>
        <w:rPr>
          <w:rFonts w:ascii="Arial" w:cs="Arial" w:eastAsia="Arial" w:hAnsi="Arial"/>
          <w:sz w:val="20"/>
          <w:szCs w:val="20"/>
          <w:color w:val="282828"/>
        </w:rPr>
        <w:t xml:space="preserve"> these provisions </w:t>
      </w:r>
      <w:r>
        <w:rPr>
          <w:rFonts w:ascii="Arial" w:cs="Arial" w:eastAsia="Arial" w:hAnsi="Arial"/>
          <w:sz w:val="20"/>
          <w:szCs w:val="20"/>
          <w:color w:val="383838"/>
        </w:rPr>
        <w:t>will</w:t>
      </w:r>
      <w:r>
        <w:rPr>
          <w:rFonts w:ascii="Arial" w:cs="Arial" w:eastAsia="Arial" w:hAnsi="Arial"/>
          <w:sz w:val="20"/>
          <w:szCs w:val="20"/>
          <w:color w:val="282828"/>
        </w:rPr>
        <w:t xml:space="preserve"> result in irreparable injury to the Company; </w:t>
      </w:r>
      <w:r>
        <w:rPr>
          <w:rFonts w:ascii="Arial" w:cs="Arial" w:eastAsia="Arial" w:hAnsi="Arial"/>
          <w:sz w:val="20"/>
          <w:szCs w:val="20"/>
          <w:color w:val="383838"/>
        </w:rPr>
        <w:t>(iv)</w:t>
      </w:r>
      <w:r>
        <w:rPr>
          <w:rFonts w:ascii="Arial" w:cs="Arial" w:eastAsia="Arial" w:hAnsi="Arial"/>
          <w:sz w:val="20"/>
          <w:szCs w:val="20"/>
          <w:color w:val="282828"/>
        </w:rPr>
        <w:t xml:space="preserve"> money damages </w:t>
      </w:r>
      <w:r>
        <w:rPr>
          <w:rFonts w:ascii="Arial" w:cs="Arial" w:eastAsia="Arial" w:hAnsi="Arial"/>
          <w:sz w:val="20"/>
          <w:szCs w:val="20"/>
          <w:color w:val="383838"/>
        </w:rPr>
        <w:t>may</w:t>
      </w:r>
      <w:r>
        <w:rPr>
          <w:rFonts w:ascii="Arial" w:cs="Arial" w:eastAsia="Arial" w:hAnsi="Arial"/>
          <w:sz w:val="20"/>
          <w:szCs w:val="20"/>
          <w:color w:val="282828"/>
        </w:rPr>
        <w:t xml:space="preserve"> not be </w:t>
      </w:r>
      <w:r>
        <w:rPr>
          <w:rFonts w:ascii="Arial" w:cs="Arial" w:eastAsia="Arial" w:hAnsi="Arial"/>
          <w:sz w:val="20"/>
          <w:szCs w:val="20"/>
          <w:color w:val="383838"/>
        </w:rPr>
        <w:t>an adequate</w:t>
      </w:r>
      <w:r>
        <w:rPr>
          <w:rFonts w:ascii="Arial" w:cs="Arial" w:eastAsia="Arial" w:hAnsi="Arial"/>
          <w:sz w:val="20"/>
          <w:szCs w:val="20"/>
          <w:color w:val="282828"/>
        </w:rPr>
        <w:t xml:space="preserve"> remedy for the </w:t>
      </w:r>
      <w:r>
        <w:rPr>
          <w:rFonts w:ascii="Arial" w:cs="Arial" w:eastAsia="Arial" w:hAnsi="Arial"/>
          <w:sz w:val="20"/>
          <w:szCs w:val="20"/>
          <w:color w:val="383838"/>
        </w:rPr>
        <w:t>Company</w:t>
      </w:r>
      <w:r>
        <w:rPr>
          <w:rFonts w:ascii="Arial" w:cs="Arial" w:eastAsia="Arial" w:hAnsi="Arial"/>
          <w:sz w:val="20"/>
          <w:szCs w:val="20"/>
          <w:color w:val="282828"/>
        </w:rPr>
        <w:t xml:space="preserve"> in the </w:t>
      </w:r>
      <w:r>
        <w:rPr>
          <w:rFonts w:ascii="Arial" w:cs="Arial" w:eastAsia="Arial" w:hAnsi="Arial"/>
          <w:sz w:val="20"/>
          <w:szCs w:val="20"/>
          <w:color w:val="383838"/>
        </w:rPr>
        <w:t>event</w:t>
      </w:r>
      <w:r>
        <w:rPr>
          <w:rFonts w:ascii="Arial" w:cs="Arial" w:eastAsia="Arial" w:hAnsi="Arial"/>
          <w:sz w:val="20"/>
          <w:szCs w:val="20"/>
          <w:color w:val="282828"/>
        </w:rPr>
        <w:t xml:space="preserve"> of </w:t>
      </w:r>
      <w:r>
        <w:rPr>
          <w:rFonts w:ascii="Arial" w:cs="Arial" w:eastAsia="Arial" w:hAnsi="Arial"/>
          <w:sz w:val="20"/>
          <w:szCs w:val="20"/>
          <w:color w:val="383838"/>
        </w:rPr>
        <w:t>a</w:t>
      </w:r>
      <w:r>
        <w:rPr>
          <w:rFonts w:ascii="Arial" w:cs="Arial" w:eastAsia="Arial" w:hAnsi="Arial"/>
          <w:sz w:val="20"/>
          <w:szCs w:val="20"/>
          <w:color w:val="282828"/>
        </w:rPr>
        <w:t xml:space="preserve"> breach </w:t>
      </w:r>
      <w:r>
        <w:rPr>
          <w:rFonts w:ascii="Arial" w:cs="Arial" w:eastAsia="Arial" w:hAnsi="Arial"/>
          <w:sz w:val="20"/>
          <w:szCs w:val="20"/>
          <w:color w:val="383838"/>
        </w:rPr>
        <w:t>of any</w:t>
      </w:r>
      <w:r>
        <w:rPr>
          <w:rFonts w:ascii="Arial" w:cs="Arial" w:eastAsia="Arial" w:hAnsi="Arial"/>
          <w:sz w:val="20"/>
          <w:szCs w:val="20"/>
          <w:color w:val="282828"/>
        </w:rPr>
        <w:t xml:space="preserve"> of these provisions by the </w:t>
      </w:r>
      <w:r>
        <w:rPr>
          <w:rFonts w:ascii="Arial" w:cs="Arial" w:eastAsia="Arial" w:hAnsi="Arial"/>
          <w:sz w:val="20"/>
          <w:szCs w:val="20"/>
          <w:color w:val="383838"/>
        </w:rPr>
        <w:t>Executive;</w:t>
      </w:r>
      <w:r>
        <w:rPr>
          <w:rFonts w:ascii="Arial" w:cs="Arial" w:eastAsia="Arial" w:hAnsi="Arial"/>
          <w:sz w:val="20"/>
          <w:szCs w:val="20"/>
          <w:color w:val="282828"/>
        </w:rPr>
        <w:t xml:space="preserve"> and </w:t>
      </w:r>
      <w:r>
        <w:rPr>
          <w:rFonts w:ascii="Arial" w:cs="Arial" w:eastAsia="Arial" w:hAnsi="Arial"/>
          <w:sz w:val="20"/>
          <w:szCs w:val="20"/>
          <w:color w:val="383838"/>
        </w:rPr>
        <w:t>(v)</w:t>
      </w:r>
      <w:r>
        <w:rPr>
          <w:rFonts w:ascii="Arial" w:cs="Arial" w:eastAsia="Arial" w:hAnsi="Arial"/>
          <w:sz w:val="20"/>
          <w:szCs w:val="20"/>
          <w:color w:val="282828"/>
        </w:rPr>
        <w:t xml:space="preserve"> specific performance in </w:t>
      </w:r>
      <w:r>
        <w:rPr>
          <w:rFonts w:ascii="Arial" w:cs="Arial" w:eastAsia="Arial" w:hAnsi="Arial"/>
          <w:sz w:val="20"/>
          <w:szCs w:val="20"/>
          <w:color w:val="383838"/>
        </w:rPr>
        <w:t>the</w:t>
      </w:r>
      <w:r>
        <w:rPr>
          <w:rFonts w:ascii="Arial" w:cs="Arial" w:eastAsia="Arial" w:hAnsi="Arial"/>
          <w:sz w:val="20"/>
          <w:szCs w:val="20"/>
          <w:color w:val="282828"/>
        </w:rPr>
        <w:t xml:space="preserve"> form of injunctive relief </w:t>
      </w:r>
      <w:r>
        <w:rPr>
          <w:rFonts w:ascii="Arial" w:cs="Arial" w:eastAsia="Arial" w:hAnsi="Arial"/>
          <w:sz w:val="20"/>
          <w:szCs w:val="20"/>
          <w:color w:val="383838"/>
        </w:rPr>
        <w:t>would</w:t>
      </w:r>
      <w:r>
        <w:rPr>
          <w:rFonts w:ascii="Arial" w:cs="Arial" w:eastAsia="Arial" w:hAnsi="Arial"/>
          <w:sz w:val="20"/>
          <w:szCs w:val="20"/>
          <w:color w:val="282828"/>
        </w:rPr>
        <w:t xml:space="preserve"> be an </w:t>
      </w:r>
      <w:r>
        <w:rPr>
          <w:rFonts w:ascii="Arial" w:cs="Arial" w:eastAsia="Arial" w:hAnsi="Arial"/>
          <w:sz w:val="20"/>
          <w:szCs w:val="20"/>
          <w:color w:val="383838"/>
        </w:rPr>
        <w:t>appropriate</w:t>
      </w:r>
      <w:r>
        <w:rPr>
          <w:rFonts w:ascii="Arial" w:cs="Arial" w:eastAsia="Arial" w:hAnsi="Arial"/>
          <w:sz w:val="20"/>
          <w:szCs w:val="20"/>
          <w:color w:val="282828"/>
        </w:rPr>
        <w:t xml:space="preserve"> remedy for the Company. </w:t>
      </w:r>
      <w:r>
        <w:rPr>
          <w:rFonts w:ascii="Arial" w:cs="Arial" w:eastAsia="Arial" w:hAnsi="Arial"/>
          <w:sz w:val="20"/>
          <w:szCs w:val="20"/>
          <w:color w:val="383838"/>
        </w:rPr>
        <w:t>If</w:t>
      </w:r>
      <w:r>
        <w:rPr>
          <w:rFonts w:ascii="Arial" w:cs="Arial" w:eastAsia="Arial" w:hAnsi="Arial"/>
          <w:sz w:val="20"/>
          <w:szCs w:val="20"/>
          <w:color w:val="282828"/>
        </w:rPr>
        <w:t xml:space="preserve"> the </w:t>
      </w:r>
      <w:r>
        <w:rPr>
          <w:rFonts w:ascii="Arial" w:cs="Arial" w:eastAsia="Arial" w:hAnsi="Arial"/>
          <w:sz w:val="20"/>
          <w:szCs w:val="20"/>
          <w:color w:val="383838"/>
        </w:rPr>
        <w:t>Executive</w:t>
      </w:r>
      <w:r>
        <w:rPr>
          <w:rFonts w:ascii="Arial" w:cs="Arial" w:eastAsia="Arial" w:hAnsi="Arial"/>
          <w:sz w:val="20"/>
          <w:szCs w:val="20"/>
          <w:color w:val="282828"/>
        </w:rPr>
        <w:t xml:space="preserve"> breaches </w:t>
      </w:r>
      <w:r>
        <w:rPr>
          <w:rFonts w:ascii="Arial" w:cs="Arial" w:eastAsia="Arial" w:hAnsi="Arial"/>
          <w:sz w:val="20"/>
          <w:szCs w:val="20"/>
          <w:color w:val="383838"/>
        </w:rPr>
        <w:t>or</w:t>
      </w:r>
      <w:r>
        <w:rPr>
          <w:rFonts w:ascii="Arial" w:cs="Arial" w:eastAsia="Arial" w:hAnsi="Arial"/>
          <w:sz w:val="20"/>
          <w:szCs w:val="20"/>
          <w:color w:val="282828"/>
        </w:rPr>
        <w:t xml:space="preserve"> threatens to breach any of these provisions</w:t>
      </w:r>
      <w:r>
        <w:rPr>
          <w:rFonts w:ascii="Arial" w:cs="Arial" w:eastAsia="Arial" w:hAnsi="Arial"/>
          <w:sz w:val="20"/>
          <w:szCs w:val="20"/>
          <w:color w:val="565656"/>
        </w:rPr>
        <w:t>, the</w:t>
      </w:r>
      <w:r>
        <w:rPr>
          <w:rFonts w:ascii="Arial" w:cs="Arial" w:eastAsia="Arial" w:hAnsi="Arial"/>
          <w:sz w:val="20"/>
          <w:szCs w:val="20"/>
          <w:color w:val="282828"/>
        </w:rPr>
        <w:t xml:space="preserve"> </w:t>
      </w:r>
      <w:r>
        <w:rPr>
          <w:rFonts w:ascii="Arial" w:cs="Arial" w:eastAsia="Arial" w:hAnsi="Arial"/>
          <w:sz w:val="20"/>
          <w:szCs w:val="20"/>
          <w:color w:val="383838"/>
        </w:rPr>
        <w:t>Company shall</w:t>
      </w:r>
      <w:r>
        <w:rPr>
          <w:rFonts w:ascii="Arial" w:cs="Arial" w:eastAsia="Arial" w:hAnsi="Arial"/>
          <w:sz w:val="20"/>
          <w:szCs w:val="20"/>
          <w:color w:val="282828"/>
        </w:rPr>
        <w:t xml:space="preserve"> be entitled, in </w:t>
      </w:r>
      <w:r>
        <w:rPr>
          <w:rFonts w:ascii="Arial" w:cs="Arial" w:eastAsia="Arial" w:hAnsi="Arial"/>
          <w:sz w:val="20"/>
          <w:szCs w:val="20"/>
          <w:color w:val="383838"/>
        </w:rPr>
        <w:t>addition</w:t>
      </w:r>
      <w:r>
        <w:rPr>
          <w:rFonts w:ascii="Arial" w:cs="Arial" w:eastAsia="Arial" w:hAnsi="Arial"/>
          <w:sz w:val="20"/>
          <w:szCs w:val="20"/>
          <w:color w:val="282828"/>
        </w:rPr>
        <w:t xml:space="preserve"> to </w:t>
      </w:r>
      <w:r>
        <w:rPr>
          <w:rFonts w:ascii="Arial" w:cs="Arial" w:eastAsia="Arial" w:hAnsi="Arial"/>
          <w:sz w:val="20"/>
          <w:szCs w:val="20"/>
          <w:color w:val="383838"/>
        </w:rPr>
        <w:t>all other</w:t>
      </w:r>
      <w:r>
        <w:rPr>
          <w:rFonts w:ascii="Arial" w:cs="Arial" w:eastAsia="Arial" w:hAnsi="Arial"/>
          <w:sz w:val="20"/>
          <w:szCs w:val="20"/>
          <w:color w:val="282828"/>
        </w:rPr>
        <w:t xml:space="preserve"> remedies</w:t>
      </w:r>
      <w:r>
        <w:rPr>
          <w:rFonts w:ascii="Arial" w:cs="Arial" w:eastAsia="Arial" w:hAnsi="Arial"/>
          <w:sz w:val="20"/>
          <w:szCs w:val="20"/>
          <w:color w:val="565656"/>
        </w:rPr>
        <w:t>,</w:t>
      </w:r>
      <w:r>
        <w:rPr>
          <w:rFonts w:ascii="Arial" w:cs="Arial" w:eastAsia="Arial" w:hAnsi="Arial"/>
          <w:sz w:val="20"/>
          <w:szCs w:val="20"/>
          <w:color w:val="282828"/>
        </w:rPr>
        <w:t xml:space="preserve"> to </w:t>
      </w:r>
      <w:r>
        <w:rPr>
          <w:rFonts w:ascii="Arial" w:cs="Arial" w:eastAsia="Arial" w:hAnsi="Arial"/>
          <w:sz w:val="20"/>
          <w:szCs w:val="20"/>
          <w:color w:val="383838"/>
        </w:rPr>
        <w:t>seek</w:t>
      </w:r>
      <w:r>
        <w:rPr>
          <w:rFonts w:ascii="Arial" w:cs="Arial" w:eastAsia="Arial" w:hAnsi="Arial"/>
          <w:sz w:val="20"/>
          <w:szCs w:val="20"/>
          <w:color w:val="282828"/>
        </w:rPr>
        <w:t xml:space="preserve"> </w:t>
      </w:r>
      <w:r>
        <w:rPr>
          <w:rFonts w:ascii="Arial" w:cs="Arial" w:eastAsia="Arial" w:hAnsi="Arial"/>
          <w:sz w:val="20"/>
          <w:szCs w:val="20"/>
          <w:color w:val="383838"/>
        </w:rPr>
        <w:t xml:space="preserve">an </w:t>
      </w:r>
      <w:r>
        <w:rPr>
          <w:rFonts w:ascii="Arial" w:cs="Arial" w:eastAsia="Arial" w:hAnsi="Arial"/>
          <w:sz w:val="20"/>
          <w:szCs w:val="20"/>
          <w:color w:val="282828"/>
        </w:rPr>
        <w:t>injunction restraining</w:t>
      </w:r>
      <w:r>
        <w:rPr>
          <w:rFonts w:ascii="Arial" w:cs="Arial" w:eastAsia="Arial" w:hAnsi="Arial"/>
          <w:sz w:val="20"/>
          <w:szCs w:val="20"/>
          <w:color w:val="383838"/>
        </w:rPr>
        <w:t xml:space="preserve"> any </w:t>
      </w:r>
      <w:r>
        <w:rPr>
          <w:rFonts w:ascii="Arial" w:cs="Arial" w:eastAsia="Arial" w:hAnsi="Arial"/>
          <w:sz w:val="20"/>
          <w:szCs w:val="20"/>
          <w:color w:val="282828"/>
        </w:rPr>
        <w:t>such breach</w:t>
      </w:r>
      <w:r>
        <w:rPr>
          <w:rFonts w:ascii="Arial" w:cs="Arial" w:eastAsia="Arial" w:hAnsi="Arial"/>
          <w:sz w:val="20"/>
          <w:szCs w:val="20"/>
          <w:color w:val="565656"/>
        </w:rPr>
        <w:t>,</w:t>
      </w:r>
      <w:r>
        <w:rPr>
          <w:rFonts w:ascii="Arial" w:cs="Arial" w:eastAsia="Arial" w:hAnsi="Arial"/>
          <w:sz w:val="20"/>
          <w:szCs w:val="20"/>
          <w:color w:val="383838"/>
        </w:rPr>
        <w:t xml:space="preserve"> without any </w:t>
      </w:r>
      <w:r>
        <w:rPr>
          <w:rFonts w:ascii="Arial" w:cs="Arial" w:eastAsia="Arial" w:hAnsi="Arial"/>
          <w:sz w:val="20"/>
          <w:szCs w:val="20"/>
          <w:color w:val="282828"/>
        </w:rPr>
        <w:t>bond</w:t>
      </w:r>
      <w:r>
        <w:rPr>
          <w:rFonts w:ascii="Arial" w:cs="Arial" w:eastAsia="Arial" w:hAnsi="Arial"/>
          <w:sz w:val="20"/>
          <w:szCs w:val="20"/>
          <w:color w:val="383838"/>
        </w:rPr>
        <w:t xml:space="preserve"> or other security </w:t>
      </w:r>
      <w:r>
        <w:rPr>
          <w:rFonts w:ascii="Arial" w:cs="Arial" w:eastAsia="Arial" w:hAnsi="Arial"/>
          <w:sz w:val="20"/>
          <w:szCs w:val="20"/>
          <w:color w:val="282828"/>
        </w:rPr>
        <w:t>being required</w:t>
      </w:r>
      <w:r>
        <w:rPr>
          <w:rFonts w:ascii="Arial" w:cs="Arial" w:eastAsia="Arial" w:hAnsi="Arial"/>
          <w:sz w:val="20"/>
          <w:szCs w:val="20"/>
          <w:color w:val="383838"/>
        </w:rPr>
        <w:t xml:space="preserve"> and without </w:t>
      </w:r>
      <w:r>
        <w:rPr>
          <w:rFonts w:ascii="Arial" w:cs="Arial" w:eastAsia="Arial" w:hAnsi="Arial"/>
          <w:sz w:val="20"/>
          <w:szCs w:val="20"/>
          <w:color w:val="282828"/>
        </w:rPr>
        <w:t>the necessity of</w:t>
      </w:r>
      <w:r>
        <w:rPr>
          <w:rFonts w:ascii="Arial" w:cs="Arial" w:eastAsia="Arial" w:hAnsi="Arial"/>
          <w:sz w:val="20"/>
          <w:szCs w:val="20"/>
          <w:color w:val="383838"/>
        </w:rPr>
        <w:t xml:space="preserve"> showing actual damages.</w:t>
      </w:r>
    </w:p>
    <w:p>
      <w:pPr>
        <w:spacing w:after="0" w:line="191" w:lineRule="exact"/>
        <w:rPr>
          <w:sz w:val="20"/>
          <w:szCs w:val="20"/>
          <w:color w:val="auto"/>
        </w:rPr>
      </w:pPr>
    </w:p>
    <w:p>
      <w:pPr>
        <w:ind w:left="507" w:hanging="507"/>
        <w:spacing w:after="0"/>
        <w:tabs>
          <w:tab w:leader="none" w:pos="507" w:val="left"/>
        </w:tabs>
        <w:numPr>
          <w:ilvl w:val="0"/>
          <w:numId w:val="181"/>
        </w:numPr>
        <w:rPr>
          <w:rFonts w:ascii="Arial" w:cs="Arial" w:eastAsia="Arial" w:hAnsi="Arial"/>
          <w:sz w:val="20"/>
          <w:szCs w:val="20"/>
          <w:b w:val="1"/>
          <w:bCs w:val="1"/>
          <w:color w:val="282828"/>
        </w:rPr>
      </w:pPr>
      <w:r>
        <w:rPr>
          <w:rFonts w:ascii="Arial" w:cs="Arial" w:eastAsia="Arial" w:hAnsi="Arial"/>
          <w:sz w:val="20"/>
          <w:szCs w:val="20"/>
          <w:b w:val="1"/>
          <w:bCs w:val="1"/>
          <w:color w:val="282828"/>
        </w:rPr>
        <w:t>Assignment</w:t>
      </w:r>
    </w:p>
    <w:p>
      <w:pPr>
        <w:spacing w:after="0" w:line="222" w:lineRule="exact"/>
        <w:rPr>
          <w:sz w:val="20"/>
          <w:szCs w:val="20"/>
          <w:color w:val="auto"/>
        </w:rPr>
      </w:pPr>
    </w:p>
    <w:p>
      <w:pPr>
        <w:jc w:val="both"/>
        <w:ind w:left="107" w:right="780" w:firstLine="355"/>
        <w:spacing w:after="0" w:line="291" w:lineRule="auto"/>
        <w:rPr>
          <w:sz w:val="20"/>
          <w:szCs w:val="20"/>
          <w:color w:val="auto"/>
        </w:rPr>
      </w:pPr>
      <w:r>
        <w:rPr>
          <w:rFonts w:ascii="Arial" w:cs="Arial" w:eastAsia="Arial" w:hAnsi="Arial"/>
          <w:sz w:val="18"/>
          <w:szCs w:val="18"/>
          <w:color w:val="282828"/>
        </w:rPr>
        <w:t>This Agreement is personal in nature</w:t>
      </w:r>
      <w:r>
        <w:rPr>
          <w:rFonts w:ascii="Arial" w:cs="Arial" w:eastAsia="Arial" w:hAnsi="Arial"/>
          <w:sz w:val="18"/>
          <w:szCs w:val="18"/>
          <w:color w:val="565656"/>
        </w:rPr>
        <w:t>,</w:t>
      </w:r>
      <w:r>
        <w:rPr>
          <w:rFonts w:ascii="Arial" w:cs="Arial" w:eastAsia="Arial" w:hAnsi="Arial"/>
          <w:sz w:val="18"/>
          <w:szCs w:val="18"/>
          <w:color w:val="282828"/>
        </w:rPr>
        <w:t xml:space="preserve"> and neither this Agreement nor any part </w:t>
      </w:r>
      <w:r>
        <w:rPr>
          <w:rFonts w:ascii="Arial" w:cs="Arial" w:eastAsia="Arial" w:hAnsi="Arial"/>
          <w:sz w:val="18"/>
          <w:szCs w:val="18"/>
          <w:color w:val="383838"/>
        </w:rPr>
        <w:t>of any obligation</w:t>
      </w:r>
      <w:r>
        <w:rPr>
          <w:rFonts w:ascii="Arial" w:cs="Arial" w:eastAsia="Arial" w:hAnsi="Arial"/>
          <w:sz w:val="18"/>
          <w:szCs w:val="18"/>
          <w:color w:val="282828"/>
        </w:rPr>
        <w:t xml:space="preserve"> herein </w:t>
      </w:r>
      <w:r>
        <w:rPr>
          <w:rFonts w:ascii="Arial" w:cs="Arial" w:eastAsia="Arial" w:hAnsi="Arial"/>
          <w:sz w:val="18"/>
          <w:szCs w:val="18"/>
          <w:color w:val="383838"/>
        </w:rPr>
        <w:t>shall</w:t>
      </w:r>
      <w:r>
        <w:rPr>
          <w:rFonts w:ascii="Arial" w:cs="Arial" w:eastAsia="Arial" w:hAnsi="Arial"/>
          <w:sz w:val="18"/>
          <w:szCs w:val="18"/>
          <w:color w:val="282828"/>
        </w:rPr>
        <w:t xml:space="preserve"> be </w:t>
      </w:r>
      <w:r>
        <w:rPr>
          <w:rFonts w:ascii="Arial" w:cs="Arial" w:eastAsia="Arial" w:hAnsi="Arial"/>
          <w:sz w:val="18"/>
          <w:szCs w:val="18"/>
          <w:color w:val="383838"/>
        </w:rPr>
        <w:t xml:space="preserve">assignable </w:t>
      </w:r>
      <w:r>
        <w:rPr>
          <w:rFonts w:ascii="Arial" w:cs="Arial" w:eastAsia="Arial" w:hAnsi="Arial"/>
          <w:sz w:val="18"/>
          <w:szCs w:val="18"/>
          <w:color w:val="282828"/>
        </w:rPr>
        <w:t>by</w:t>
      </w:r>
      <w:r>
        <w:rPr>
          <w:rFonts w:ascii="Arial" w:cs="Arial" w:eastAsia="Arial" w:hAnsi="Arial"/>
          <w:sz w:val="18"/>
          <w:szCs w:val="18"/>
          <w:color w:val="383838"/>
        </w:rPr>
        <w:t xml:space="preserve"> Executive</w:t>
      </w:r>
      <w:r>
        <w:rPr>
          <w:rFonts w:ascii="Arial" w:cs="Arial" w:eastAsia="Arial" w:hAnsi="Arial"/>
          <w:sz w:val="18"/>
          <w:szCs w:val="18"/>
          <w:color w:val="565656"/>
        </w:rPr>
        <w:t>.</w:t>
      </w:r>
      <w:r>
        <w:rPr>
          <w:rFonts w:ascii="Arial" w:cs="Arial" w:eastAsia="Arial" w:hAnsi="Arial"/>
          <w:sz w:val="18"/>
          <w:szCs w:val="18"/>
          <w:color w:val="383838"/>
        </w:rPr>
        <w:t xml:space="preserve"> </w:t>
      </w:r>
      <w:r>
        <w:rPr>
          <w:rFonts w:ascii="Arial" w:cs="Arial" w:eastAsia="Arial" w:hAnsi="Arial"/>
          <w:sz w:val="18"/>
          <w:szCs w:val="18"/>
          <w:color w:val="282828"/>
        </w:rPr>
        <w:t>The</w:t>
      </w:r>
      <w:r>
        <w:rPr>
          <w:rFonts w:ascii="Arial" w:cs="Arial" w:eastAsia="Arial" w:hAnsi="Arial"/>
          <w:sz w:val="18"/>
          <w:szCs w:val="18"/>
          <w:color w:val="383838"/>
        </w:rPr>
        <w:t xml:space="preserve"> Company shall </w:t>
      </w:r>
      <w:r>
        <w:rPr>
          <w:rFonts w:ascii="Arial" w:cs="Arial" w:eastAsia="Arial" w:hAnsi="Arial"/>
          <w:sz w:val="18"/>
          <w:szCs w:val="18"/>
          <w:color w:val="282828"/>
        </w:rPr>
        <w:t>be</w:t>
      </w:r>
      <w:r>
        <w:rPr>
          <w:rFonts w:ascii="Arial" w:cs="Arial" w:eastAsia="Arial" w:hAnsi="Arial"/>
          <w:sz w:val="18"/>
          <w:szCs w:val="18"/>
          <w:color w:val="383838"/>
        </w:rPr>
        <w:t xml:space="preserve"> entitled </w:t>
      </w:r>
      <w:r>
        <w:rPr>
          <w:rFonts w:ascii="Arial" w:cs="Arial" w:eastAsia="Arial" w:hAnsi="Arial"/>
          <w:sz w:val="18"/>
          <w:szCs w:val="18"/>
          <w:color w:val="282828"/>
        </w:rPr>
        <w:t>to</w:t>
      </w:r>
      <w:r>
        <w:rPr>
          <w:rFonts w:ascii="Arial" w:cs="Arial" w:eastAsia="Arial" w:hAnsi="Arial"/>
          <w:sz w:val="18"/>
          <w:szCs w:val="18"/>
          <w:color w:val="383838"/>
        </w:rPr>
        <w:t xml:space="preserve"> assign</w:t>
      </w:r>
      <w:r>
        <w:rPr>
          <w:rFonts w:ascii="Arial" w:cs="Arial" w:eastAsia="Arial" w:hAnsi="Arial"/>
          <w:sz w:val="18"/>
          <w:szCs w:val="18"/>
          <w:color w:val="282828"/>
        </w:rPr>
        <w:t>this Agreement to any subsidiary</w:t>
      </w:r>
      <w:r>
        <w:rPr>
          <w:rFonts w:ascii="Arial" w:cs="Arial" w:eastAsia="Arial" w:hAnsi="Arial"/>
          <w:sz w:val="18"/>
          <w:szCs w:val="18"/>
          <w:color w:val="383838"/>
        </w:rPr>
        <w:t xml:space="preserve"> or affiliate </w:t>
      </w:r>
      <w:r>
        <w:rPr>
          <w:rFonts w:ascii="Arial" w:cs="Arial" w:eastAsia="Arial" w:hAnsi="Arial"/>
          <w:sz w:val="18"/>
          <w:szCs w:val="18"/>
          <w:color w:val="282828"/>
        </w:rPr>
        <w:t>of the</w:t>
      </w:r>
      <w:r>
        <w:rPr>
          <w:rFonts w:ascii="Arial" w:cs="Arial" w:eastAsia="Arial" w:hAnsi="Arial"/>
          <w:sz w:val="18"/>
          <w:szCs w:val="18"/>
          <w:color w:val="383838"/>
        </w:rPr>
        <w:t xml:space="preserve"> </w:t>
      </w:r>
      <w:r>
        <w:rPr>
          <w:rFonts w:ascii="Arial" w:cs="Arial" w:eastAsia="Arial" w:hAnsi="Arial"/>
          <w:sz w:val="18"/>
          <w:szCs w:val="18"/>
          <w:color w:val="282828"/>
        </w:rPr>
        <w:t xml:space="preserve">Company or </w:t>
      </w:r>
      <w:r>
        <w:rPr>
          <w:rFonts w:ascii="Arial" w:cs="Arial" w:eastAsia="Arial" w:hAnsi="Arial"/>
          <w:sz w:val="18"/>
          <w:szCs w:val="18"/>
          <w:color w:val="383838"/>
        </w:rPr>
        <w:t>any entity that assumes</w:t>
      </w:r>
      <w:r>
        <w:rPr>
          <w:rFonts w:ascii="Arial" w:cs="Arial" w:eastAsia="Arial" w:hAnsi="Arial"/>
          <w:sz w:val="18"/>
          <w:szCs w:val="18"/>
          <w:color w:val="282828"/>
        </w:rPr>
        <w:t xml:space="preserve"> the </w:t>
      </w:r>
      <w:r>
        <w:rPr>
          <w:rFonts w:ascii="Arial" w:cs="Arial" w:eastAsia="Arial" w:hAnsi="Arial"/>
          <w:sz w:val="18"/>
          <w:szCs w:val="18"/>
          <w:color w:val="383838"/>
        </w:rPr>
        <w:t>ownership</w:t>
      </w:r>
      <w:r>
        <w:rPr>
          <w:rFonts w:ascii="Arial" w:cs="Arial" w:eastAsia="Arial" w:hAnsi="Arial"/>
          <w:sz w:val="18"/>
          <w:szCs w:val="18"/>
          <w:color w:val="282828"/>
        </w:rPr>
        <w:t xml:space="preserve"> and control </w:t>
      </w:r>
      <w:r>
        <w:rPr>
          <w:rFonts w:ascii="Arial" w:cs="Arial" w:eastAsia="Arial" w:hAnsi="Arial"/>
          <w:sz w:val="18"/>
          <w:szCs w:val="18"/>
          <w:color w:val="383838"/>
        </w:rPr>
        <w:t>of</w:t>
      </w:r>
      <w:r>
        <w:rPr>
          <w:rFonts w:ascii="Arial" w:cs="Arial" w:eastAsia="Arial" w:hAnsi="Arial"/>
          <w:sz w:val="18"/>
          <w:szCs w:val="18"/>
          <w:color w:val="282828"/>
        </w:rPr>
        <w:t xml:space="preserve"> the business </w:t>
      </w:r>
      <w:r>
        <w:rPr>
          <w:rFonts w:ascii="Arial" w:cs="Arial" w:eastAsia="Arial" w:hAnsi="Arial"/>
          <w:sz w:val="18"/>
          <w:szCs w:val="18"/>
          <w:color w:val="383838"/>
        </w:rPr>
        <w:t>of the Company.</w:t>
      </w:r>
    </w:p>
    <w:p>
      <w:pPr>
        <w:spacing w:after="0" w:line="146" w:lineRule="exact"/>
        <w:rPr>
          <w:sz w:val="20"/>
          <w:szCs w:val="20"/>
          <w:color w:val="auto"/>
        </w:rPr>
      </w:pPr>
    </w:p>
    <w:p>
      <w:pPr>
        <w:ind w:left="507" w:hanging="507"/>
        <w:spacing w:after="0"/>
        <w:tabs>
          <w:tab w:leader="none" w:pos="507" w:val="left"/>
        </w:tabs>
        <w:numPr>
          <w:ilvl w:val="0"/>
          <w:numId w:val="182"/>
        </w:numPr>
        <w:rPr>
          <w:rFonts w:ascii="Arial" w:cs="Arial" w:eastAsia="Arial" w:hAnsi="Arial"/>
          <w:sz w:val="20"/>
          <w:szCs w:val="20"/>
          <w:b w:val="1"/>
          <w:bCs w:val="1"/>
          <w:color w:val="282828"/>
        </w:rPr>
      </w:pPr>
      <w:r>
        <w:rPr>
          <w:rFonts w:ascii="Arial" w:cs="Arial" w:eastAsia="Arial" w:hAnsi="Arial"/>
          <w:sz w:val="20"/>
          <w:szCs w:val="20"/>
          <w:b w:val="1"/>
          <w:bCs w:val="1"/>
          <w:color w:val="282828"/>
        </w:rPr>
        <w:t>Severability</w:t>
      </w:r>
    </w:p>
    <w:p>
      <w:pPr>
        <w:spacing w:after="0" w:line="222" w:lineRule="exact"/>
        <w:rPr>
          <w:sz w:val="20"/>
          <w:szCs w:val="20"/>
          <w:color w:val="auto"/>
        </w:rPr>
      </w:pPr>
    </w:p>
    <w:p>
      <w:pPr>
        <w:jc w:val="both"/>
        <w:ind w:left="107" w:right="420" w:firstLine="359"/>
        <w:spacing w:after="0" w:line="291" w:lineRule="auto"/>
        <w:rPr>
          <w:sz w:val="20"/>
          <w:szCs w:val="20"/>
          <w:color w:val="auto"/>
        </w:rPr>
      </w:pPr>
      <w:r>
        <w:rPr>
          <w:rFonts w:ascii="Arial" w:cs="Arial" w:eastAsia="Arial" w:hAnsi="Arial"/>
          <w:sz w:val="18"/>
          <w:szCs w:val="18"/>
          <w:color w:val="282828"/>
        </w:rPr>
        <w:t xml:space="preserve">Should any </w:t>
      </w:r>
      <w:r>
        <w:rPr>
          <w:rFonts w:ascii="Arial" w:cs="Arial" w:eastAsia="Arial" w:hAnsi="Arial"/>
          <w:sz w:val="18"/>
          <w:szCs w:val="18"/>
          <w:color w:val="383838"/>
        </w:rPr>
        <w:t>term</w:t>
      </w:r>
      <w:r>
        <w:rPr>
          <w:rFonts w:ascii="Arial" w:cs="Arial" w:eastAsia="Arial" w:hAnsi="Arial"/>
          <w:sz w:val="18"/>
          <w:szCs w:val="18"/>
          <w:color w:val="565656"/>
        </w:rPr>
        <w:t>,</w:t>
      </w:r>
      <w:r>
        <w:rPr>
          <w:rFonts w:ascii="Arial" w:cs="Arial" w:eastAsia="Arial" w:hAnsi="Arial"/>
          <w:sz w:val="18"/>
          <w:szCs w:val="18"/>
          <w:color w:val="282828"/>
        </w:rPr>
        <w:t xml:space="preserve"> provision</w:t>
      </w:r>
      <w:r>
        <w:rPr>
          <w:rFonts w:ascii="Arial" w:cs="Arial" w:eastAsia="Arial" w:hAnsi="Arial"/>
          <w:sz w:val="18"/>
          <w:szCs w:val="18"/>
          <w:color w:val="565656"/>
        </w:rPr>
        <w:t>,</w:t>
      </w:r>
      <w:r>
        <w:rPr>
          <w:rFonts w:ascii="Arial" w:cs="Arial" w:eastAsia="Arial" w:hAnsi="Arial"/>
          <w:sz w:val="18"/>
          <w:szCs w:val="18"/>
          <w:color w:val="282828"/>
        </w:rPr>
        <w:t xml:space="preserve"> covenant </w:t>
      </w:r>
      <w:r>
        <w:rPr>
          <w:rFonts w:ascii="Arial" w:cs="Arial" w:eastAsia="Arial" w:hAnsi="Arial"/>
          <w:sz w:val="18"/>
          <w:szCs w:val="18"/>
          <w:color w:val="383838"/>
        </w:rPr>
        <w:t>or condition</w:t>
      </w:r>
      <w:r>
        <w:rPr>
          <w:rFonts w:ascii="Arial" w:cs="Arial" w:eastAsia="Arial" w:hAnsi="Arial"/>
          <w:sz w:val="18"/>
          <w:szCs w:val="18"/>
          <w:color w:val="282828"/>
        </w:rPr>
        <w:t xml:space="preserve"> of this Agreement be held </w:t>
      </w:r>
      <w:r>
        <w:rPr>
          <w:rFonts w:ascii="Arial" w:cs="Arial" w:eastAsia="Arial" w:hAnsi="Arial"/>
          <w:sz w:val="18"/>
          <w:szCs w:val="18"/>
          <w:color w:val="383838"/>
        </w:rPr>
        <w:t>to</w:t>
      </w:r>
      <w:r>
        <w:rPr>
          <w:rFonts w:ascii="Arial" w:cs="Arial" w:eastAsia="Arial" w:hAnsi="Arial"/>
          <w:sz w:val="18"/>
          <w:szCs w:val="18"/>
          <w:color w:val="282828"/>
        </w:rPr>
        <w:t xml:space="preserve"> be void</w:t>
      </w:r>
      <w:r>
        <w:rPr>
          <w:rFonts w:ascii="Arial" w:cs="Arial" w:eastAsia="Arial" w:hAnsi="Arial"/>
          <w:sz w:val="18"/>
          <w:szCs w:val="18"/>
          <w:color w:val="383838"/>
        </w:rPr>
        <w:t>or</w:t>
      </w:r>
      <w:r>
        <w:rPr>
          <w:rFonts w:ascii="Arial" w:cs="Arial" w:eastAsia="Arial" w:hAnsi="Arial"/>
          <w:sz w:val="18"/>
          <w:szCs w:val="18"/>
          <w:color w:val="282828"/>
        </w:rPr>
        <w:t xml:space="preserve"> invalid</w:t>
      </w:r>
      <w:r>
        <w:rPr>
          <w:rFonts w:ascii="Arial" w:cs="Arial" w:eastAsia="Arial" w:hAnsi="Arial"/>
          <w:sz w:val="18"/>
          <w:szCs w:val="18"/>
          <w:color w:val="565656"/>
        </w:rPr>
        <w:t>,</w:t>
      </w:r>
      <w:r>
        <w:rPr>
          <w:rFonts w:ascii="Arial" w:cs="Arial" w:eastAsia="Arial" w:hAnsi="Arial"/>
          <w:sz w:val="18"/>
          <w:szCs w:val="18"/>
          <w:color w:val="282828"/>
        </w:rPr>
        <w:t xml:space="preserve"> the </w:t>
      </w:r>
      <w:r>
        <w:rPr>
          <w:rFonts w:ascii="Arial" w:cs="Arial" w:eastAsia="Arial" w:hAnsi="Arial"/>
          <w:sz w:val="18"/>
          <w:szCs w:val="18"/>
          <w:color w:val="383838"/>
        </w:rPr>
        <w:t>same</w:t>
      </w:r>
      <w:r>
        <w:rPr>
          <w:rFonts w:ascii="Arial" w:cs="Arial" w:eastAsia="Arial" w:hAnsi="Arial"/>
          <w:sz w:val="18"/>
          <w:szCs w:val="18"/>
          <w:color w:val="282828"/>
        </w:rPr>
        <w:t xml:space="preserve"> </w:t>
      </w:r>
      <w:r>
        <w:rPr>
          <w:rFonts w:ascii="Arial" w:cs="Arial" w:eastAsia="Arial" w:hAnsi="Arial"/>
          <w:sz w:val="18"/>
          <w:szCs w:val="18"/>
          <w:color w:val="565656"/>
        </w:rPr>
        <w:t>s</w:t>
      </w:r>
      <w:r>
        <w:rPr>
          <w:rFonts w:ascii="Arial" w:cs="Arial" w:eastAsia="Arial" w:hAnsi="Arial"/>
          <w:sz w:val="18"/>
          <w:szCs w:val="18"/>
          <w:color w:val="282828"/>
        </w:rPr>
        <w:t xml:space="preserve">hall not affect </w:t>
      </w:r>
      <w:r>
        <w:rPr>
          <w:rFonts w:ascii="Arial" w:cs="Arial" w:eastAsia="Arial" w:hAnsi="Arial"/>
          <w:sz w:val="18"/>
          <w:szCs w:val="18"/>
          <w:color w:val="383838"/>
        </w:rPr>
        <w:t>any other</w:t>
      </w:r>
      <w:r>
        <w:rPr>
          <w:rFonts w:ascii="Arial" w:cs="Arial" w:eastAsia="Arial" w:hAnsi="Arial"/>
          <w:sz w:val="18"/>
          <w:szCs w:val="18"/>
          <w:color w:val="282828"/>
        </w:rPr>
        <w:t xml:space="preserve"> term</w:t>
      </w:r>
      <w:r>
        <w:rPr>
          <w:rFonts w:ascii="Arial" w:cs="Arial" w:eastAsia="Arial" w:hAnsi="Arial"/>
          <w:sz w:val="18"/>
          <w:szCs w:val="18"/>
          <w:color w:val="565656"/>
        </w:rPr>
        <w:t>,</w:t>
      </w:r>
      <w:r>
        <w:rPr>
          <w:rFonts w:ascii="Arial" w:cs="Arial" w:eastAsia="Arial" w:hAnsi="Arial"/>
          <w:sz w:val="18"/>
          <w:szCs w:val="18"/>
          <w:color w:val="282828"/>
        </w:rPr>
        <w:t xml:space="preserve"> provision</w:t>
      </w:r>
      <w:r>
        <w:rPr>
          <w:rFonts w:ascii="Arial" w:cs="Arial" w:eastAsia="Arial" w:hAnsi="Arial"/>
          <w:sz w:val="18"/>
          <w:szCs w:val="18"/>
          <w:color w:val="565656"/>
        </w:rPr>
        <w:t>,</w:t>
      </w:r>
      <w:r>
        <w:rPr>
          <w:rFonts w:ascii="Arial" w:cs="Arial" w:eastAsia="Arial" w:hAnsi="Arial"/>
          <w:sz w:val="18"/>
          <w:szCs w:val="18"/>
          <w:color w:val="282828"/>
        </w:rPr>
        <w:t xml:space="preserve"> covenant </w:t>
      </w:r>
      <w:r>
        <w:rPr>
          <w:rFonts w:ascii="Arial" w:cs="Arial" w:eastAsia="Arial" w:hAnsi="Arial"/>
          <w:sz w:val="18"/>
          <w:szCs w:val="18"/>
          <w:color w:val="383838"/>
        </w:rPr>
        <w:t>or</w:t>
      </w:r>
      <w:r>
        <w:rPr>
          <w:rFonts w:ascii="Arial" w:cs="Arial" w:eastAsia="Arial" w:hAnsi="Arial"/>
          <w:sz w:val="18"/>
          <w:szCs w:val="18"/>
          <w:color w:val="282828"/>
        </w:rPr>
        <w:t xml:space="preserve"> condition </w:t>
      </w:r>
      <w:r>
        <w:rPr>
          <w:rFonts w:ascii="Arial" w:cs="Arial" w:eastAsia="Arial" w:hAnsi="Arial"/>
          <w:sz w:val="18"/>
          <w:szCs w:val="18"/>
          <w:color w:val="383838"/>
        </w:rPr>
        <w:t>of</w:t>
      </w:r>
      <w:r>
        <w:rPr>
          <w:rFonts w:ascii="Arial" w:cs="Arial" w:eastAsia="Arial" w:hAnsi="Arial"/>
          <w:sz w:val="18"/>
          <w:szCs w:val="18"/>
          <w:color w:val="282828"/>
        </w:rPr>
        <w:t xml:space="preserve"> thisAgreement</w:t>
      </w:r>
      <w:r>
        <w:rPr>
          <w:rFonts w:ascii="Arial" w:cs="Arial" w:eastAsia="Arial" w:hAnsi="Arial"/>
          <w:sz w:val="18"/>
          <w:szCs w:val="18"/>
          <w:color w:val="565656"/>
        </w:rPr>
        <w:t>,</w:t>
      </w:r>
      <w:r>
        <w:rPr>
          <w:rFonts w:ascii="Arial" w:cs="Arial" w:eastAsia="Arial" w:hAnsi="Arial"/>
          <w:sz w:val="18"/>
          <w:szCs w:val="18"/>
          <w:color w:val="282828"/>
        </w:rPr>
        <w:t xml:space="preserve"> but </w:t>
      </w:r>
      <w:r>
        <w:rPr>
          <w:rFonts w:ascii="Arial" w:cs="Arial" w:eastAsia="Arial" w:hAnsi="Arial"/>
          <w:sz w:val="18"/>
          <w:szCs w:val="18"/>
          <w:color w:val="383838"/>
        </w:rPr>
        <w:t>such</w:t>
      </w:r>
      <w:r>
        <w:rPr>
          <w:rFonts w:ascii="Arial" w:cs="Arial" w:eastAsia="Arial" w:hAnsi="Arial"/>
          <w:sz w:val="18"/>
          <w:szCs w:val="18"/>
          <w:color w:val="282828"/>
        </w:rPr>
        <w:t xml:space="preserve"> remainder </w:t>
      </w:r>
      <w:r>
        <w:rPr>
          <w:rFonts w:ascii="Arial" w:cs="Arial" w:eastAsia="Arial" w:hAnsi="Arial"/>
          <w:sz w:val="18"/>
          <w:szCs w:val="18"/>
          <w:color w:val="383838"/>
        </w:rPr>
        <w:t>shall continue in</w:t>
      </w:r>
      <w:r>
        <w:rPr>
          <w:rFonts w:ascii="Arial" w:cs="Arial" w:eastAsia="Arial" w:hAnsi="Arial"/>
          <w:sz w:val="18"/>
          <w:szCs w:val="18"/>
          <w:color w:val="282828"/>
        </w:rPr>
        <w:t xml:space="preserve"> full force </w:t>
      </w:r>
      <w:r>
        <w:rPr>
          <w:rFonts w:ascii="Arial" w:cs="Arial" w:eastAsia="Arial" w:hAnsi="Arial"/>
          <w:sz w:val="18"/>
          <w:szCs w:val="18"/>
          <w:color w:val="383838"/>
        </w:rPr>
        <w:t xml:space="preserve">and effect as though each such voided </w:t>
      </w:r>
      <w:r>
        <w:rPr>
          <w:rFonts w:ascii="Arial" w:cs="Arial" w:eastAsia="Arial" w:hAnsi="Arial"/>
          <w:sz w:val="18"/>
          <w:szCs w:val="18"/>
          <w:color w:val="282828"/>
        </w:rPr>
        <w:t>term</w:t>
      </w:r>
      <w:r>
        <w:rPr>
          <w:rFonts w:ascii="Arial" w:cs="Arial" w:eastAsia="Arial" w:hAnsi="Arial"/>
          <w:sz w:val="18"/>
          <w:szCs w:val="18"/>
          <w:color w:val="565656"/>
        </w:rPr>
        <w:t>,</w:t>
      </w:r>
      <w:r>
        <w:rPr>
          <w:rFonts w:ascii="Arial" w:cs="Arial" w:eastAsia="Arial" w:hAnsi="Arial"/>
          <w:sz w:val="18"/>
          <w:szCs w:val="18"/>
          <w:color w:val="383838"/>
        </w:rPr>
        <w:t xml:space="preserve"> </w:t>
      </w:r>
      <w:r>
        <w:rPr>
          <w:rFonts w:ascii="Arial" w:cs="Arial" w:eastAsia="Arial" w:hAnsi="Arial"/>
          <w:sz w:val="18"/>
          <w:szCs w:val="18"/>
          <w:color w:val="282828"/>
        </w:rPr>
        <w:t>provision,</w:t>
      </w:r>
      <w:r>
        <w:rPr>
          <w:rFonts w:ascii="Arial" w:cs="Arial" w:eastAsia="Arial" w:hAnsi="Arial"/>
          <w:sz w:val="18"/>
          <w:szCs w:val="18"/>
          <w:color w:val="383838"/>
        </w:rPr>
        <w:t xml:space="preserve"> covenant </w:t>
      </w:r>
      <w:r>
        <w:rPr>
          <w:rFonts w:ascii="Arial" w:cs="Arial" w:eastAsia="Arial" w:hAnsi="Arial"/>
          <w:sz w:val="18"/>
          <w:szCs w:val="18"/>
          <w:color w:val="282828"/>
        </w:rPr>
        <w:t>or</w:t>
      </w:r>
      <w:r>
        <w:rPr>
          <w:rFonts w:ascii="Arial" w:cs="Arial" w:eastAsia="Arial" w:hAnsi="Arial"/>
          <w:sz w:val="18"/>
          <w:szCs w:val="18"/>
          <w:color w:val="383838"/>
        </w:rPr>
        <w:t xml:space="preserve"> condition </w:t>
      </w:r>
      <w:r>
        <w:rPr>
          <w:rFonts w:ascii="Arial" w:cs="Arial" w:eastAsia="Arial" w:hAnsi="Arial"/>
          <w:sz w:val="18"/>
          <w:szCs w:val="18"/>
          <w:color w:val="282828"/>
        </w:rPr>
        <w:t>is not</w:t>
      </w:r>
      <w:r>
        <w:rPr>
          <w:rFonts w:ascii="Arial" w:cs="Arial" w:eastAsia="Arial" w:hAnsi="Arial"/>
          <w:sz w:val="18"/>
          <w:szCs w:val="18"/>
          <w:color w:val="383838"/>
        </w:rPr>
        <w:t xml:space="preserve"> contained </w:t>
      </w:r>
      <w:r>
        <w:rPr>
          <w:rFonts w:ascii="Arial" w:cs="Arial" w:eastAsia="Arial" w:hAnsi="Arial"/>
          <w:sz w:val="18"/>
          <w:szCs w:val="18"/>
          <w:color w:val="282828"/>
        </w:rPr>
        <w:t>herein.</w:t>
      </w:r>
    </w:p>
    <w:p>
      <w:pPr>
        <w:spacing w:after="0" w:line="146" w:lineRule="exact"/>
        <w:rPr>
          <w:sz w:val="20"/>
          <w:szCs w:val="20"/>
          <w:color w:val="auto"/>
        </w:rPr>
      </w:pPr>
    </w:p>
    <w:p>
      <w:pPr>
        <w:ind w:left="507" w:hanging="507"/>
        <w:spacing w:after="0"/>
        <w:tabs>
          <w:tab w:leader="none" w:pos="507" w:val="left"/>
        </w:tabs>
        <w:numPr>
          <w:ilvl w:val="0"/>
          <w:numId w:val="183"/>
        </w:numPr>
        <w:rPr>
          <w:rFonts w:ascii="Arial" w:cs="Arial" w:eastAsia="Arial" w:hAnsi="Arial"/>
          <w:sz w:val="20"/>
          <w:szCs w:val="20"/>
          <w:b w:val="1"/>
          <w:bCs w:val="1"/>
          <w:color w:val="282828"/>
        </w:rPr>
      </w:pPr>
      <w:r>
        <w:rPr>
          <w:rFonts w:ascii="Arial" w:cs="Arial" w:eastAsia="Arial" w:hAnsi="Arial"/>
          <w:sz w:val="20"/>
          <w:szCs w:val="20"/>
          <w:b w:val="1"/>
          <w:bCs w:val="1"/>
          <w:color w:val="282828"/>
        </w:rPr>
        <w:t>Binding Arbitration</w:t>
      </w:r>
    </w:p>
    <w:p>
      <w:pPr>
        <w:spacing w:after="0" w:line="222" w:lineRule="exact"/>
        <w:rPr>
          <w:sz w:val="20"/>
          <w:szCs w:val="20"/>
          <w:color w:val="auto"/>
        </w:rPr>
      </w:pPr>
    </w:p>
    <w:p>
      <w:pPr>
        <w:ind w:left="107" w:right="80" w:firstLine="358"/>
        <w:spacing w:after="0" w:line="247" w:lineRule="auto"/>
        <w:rPr>
          <w:sz w:val="20"/>
          <w:szCs w:val="20"/>
          <w:color w:val="auto"/>
        </w:rPr>
      </w:pPr>
      <w:r>
        <w:rPr>
          <w:rFonts w:ascii="Arial" w:cs="Arial" w:eastAsia="Arial" w:hAnsi="Arial"/>
          <w:sz w:val="20"/>
          <w:szCs w:val="20"/>
          <w:color w:val="282828"/>
        </w:rPr>
        <w:t xml:space="preserve">Any and </w:t>
      </w:r>
      <w:r>
        <w:rPr>
          <w:rFonts w:ascii="Arial" w:cs="Arial" w:eastAsia="Arial" w:hAnsi="Arial"/>
          <w:sz w:val="20"/>
          <w:szCs w:val="20"/>
          <w:color w:val="383838"/>
        </w:rPr>
        <w:t>all</w:t>
      </w:r>
      <w:r>
        <w:rPr>
          <w:rFonts w:ascii="Arial" w:cs="Arial" w:eastAsia="Arial" w:hAnsi="Arial"/>
          <w:sz w:val="20"/>
          <w:szCs w:val="20"/>
          <w:color w:val="282828"/>
        </w:rPr>
        <w:t xml:space="preserve"> disputes </w:t>
      </w:r>
      <w:r>
        <w:rPr>
          <w:rFonts w:ascii="Arial" w:cs="Arial" w:eastAsia="Arial" w:hAnsi="Arial"/>
          <w:sz w:val="20"/>
          <w:szCs w:val="20"/>
          <w:color w:val="383838"/>
        </w:rPr>
        <w:t>which</w:t>
      </w:r>
      <w:r>
        <w:rPr>
          <w:rFonts w:ascii="Arial" w:cs="Arial" w:eastAsia="Arial" w:hAnsi="Arial"/>
          <w:sz w:val="20"/>
          <w:szCs w:val="20"/>
          <w:color w:val="282828"/>
        </w:rPr>
        <w:t xml:space="preserve"> involve </w:t>
      </w:r>
      <w:r>
        <w:rPr>
          <w:rFonts w:ascii="Arial" w:cs="Arial" w:eastAsia="Arial" w:hAnsi="Arial"/>
          <w:sz w:val="20"/>
          <w:szCs w:val="20"/>
          <w:color w:val="383838"/>
        </w:rPr>
        <w:t>or relate in any way to this Agr</w:t>
      </w:r>
      <w:r>
        <w:rPr>
          <w:rFonts w:ascii="Arial" w:cs="Arial" w:eastAsia="Arial" w:hAnsi="Arial"/>
          <w:sz w:val="20"/>
          <w:szCs w:val="20"/>
          <w:color w:val="565656"/>
        </w:rPr>
        <w:t>e</w:t>
      </w:r>
      <w:r>
        <w:rPr>
          <w:rFonts w:ascii="Arial" w:cs="Arial" w:eastAsia="Arial" w:hAnsi="Arial"/>
          <w:sz w:val="20"/>
          <w:szCs w:val="20"/>
          <w:color w:val="383838"/>
        </w:rPr>
        <w:t>ement and/or to Executive's employment or</w:t>
      </w:r>
      <w:r>
        <w:rPr>
          <w:rFonts w:ascii="Arial" w:cs="Arial" w:eastAsia="Arial" w:hAnsi="Arial"/>
          <w:sz w:val="20"/>
          <w:szCs w:val="20"/>
          <w:color w:val="282828"/>
        </w:rPr>
        <w:t xml:space="preserve"> </w:t>
      </w:r>
      <w:r>
        <w:rPr>
          <w:rFonts w:ascii="Arial" w:cs="Arial" w:eastAsia="Arial" w:hAnsi="Arial"/>
          <w:sz w:val="20"/>
          <w:szCs w:val="20"/>
          <w:color w:val="383838"/>
        </w:rPr>
        <w:t xml:space="preserve">tem1ination </w:t>
      </w:r>
      <w:r>
        <w:rPr>
          <w:rFonts w:ascii="Arial" w:cs="Arial" w:eastAsia="Arial" w:hAnsi="Arial"/>
          <w:sz w:val="20"/>
          <w:szCs w:val="20"/>
          <w:color w:val="282828"/>
        </w:rPr>
        <w:t>of</w:t>
      </w:r>
      <w:r>
        <w:rPr>
          <w:rFonts w:ascii="Arial" w:cs="Arial" w:eastAsia="Arial" w:hAnsi="Arial"/>
          <w:sz w:val="20"/>
          <w:szCs w:val="20"/>
          <w:color w:val="383838"/>
        </w:rPr>
        <w:t xml:space="preserve"> employment </w:t>
      </w:r>
      <w:r>
        <w:rPr>
          <w:rFonts w:ascii="Arial" w:cs="Arial" w:eastAsia="Arial" w:hAnsi="Arial"/>
          <w:sz w:val="20"/>
          <w:szCs w:val="20"/>
          <w:color w:val="282828"/>
        </w:rPr>
        <w:t>as</w:t>
      </w:r>
      <w:r>
        <w:rPr>
          <w:rFonts w:ascii="Arial" w:cs="Arial" w:eastAsia="Arial" w:hAnsi="Arial"/>
          <w:sz w:val="20"/>
          <w:szCs w:val="20"/>
          <w:color w:val="383838"/>
        </w:rPr>
        <w:t xml:space="preserve"> Chie</w:t>
      </w:r>
      <w:r>
        <w:rPr>
          <w:rFonts w:ascii="Arial" w:cs="Arial" w:eastAsia="Arial" w:hAnsi="Arial"/>
          <w:sz w:val="20"/>
          <w:szCs w:val="20"/>
          <w:color w:val="565656"/>
        </w:rPr>
        <w:t>f</w:t>
      </w:r>
      <w:r>
        <w:rPr>
          <w:rFonts w:ascii="Arial" w:cs="Arial" w:eastAsia="Arial" w:hAnsi="Arial"/>
          <w:sz w:val="20"/>
          <w:szCs w:val="20"/>
          <w:color w:val="383838"/>
        </w:rPr>
        <w:t xml:space="preserve"> Financial </w:t>
      </w:r>
      <w:r>
        <w:rPr>
          <w:rFonts w:ascii="Arial" w:cs="Arial" w:eastAsia="Arial" w:hAnsi="Arial"/>
          <w:sz w:val="20"/>
          <w:szCs w:val="20"/>
          <w:color w:val="282828"/>
        </w:rPr>
        <w:t>Officer</w:t>
      </w:r>
      <w:r>
        <w:rPr>
          <w:rFonts w:ascii="Arial" w:cs="Arial" w:eastAsia="Arial" w:hAnsi="Arial"/>
          <w:sz w:val="20"/>
          <w:szCs w:val="20"/>
          <w:color w:val="383838"/>
        </w:rPr>
        <w:t xml:space="preserve"> o</w:t>
      </w:r>
      <w:r>
        <w:rPr>
          <w:rFonts w:ascii="Arial" w:cs="Arial" w:eastAsia="Arial" w:hAnsi="Arial"/>
          <w:sz w:val="20"/>
          <w:szCs w:val="20"/>
          <w:color w:val="565656"/>
        </w:rPr>
        <w:t>f</w:t>
      </w:r>
      <w:r>
        <w:rPr>
          <w:rFonts w:ascii="Arial" w:cs="Arial" w:eastAsia="Arial" w:hAnsi="Arial"/>
          <w:sz w:val="20"/>
          <w:szCs w:val="20"/>
          <w:color w:val="383838"/>
        </w:rPr>
        <w:t xml:space="preserve"> the Company</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whether</w:t>
      </w:r>
      <w:r>
        <w:rPr>
          <w:rFonts w:ascii="Arial" w:cs="Arial" w:eastAsia="Arial" w:hAnsi="Arial"/>
          <w:sz w:val="20"/>
          <w:szCs w:val="20"/>
          <w:color w:val="383838"/>
        </w:rPr>
        <w:t xml:space="preserve"> initiated </w:t>
      </w:r>
      <w:r>
        <w:rPr>
          <w:rFonts w:ascii="Arial" w:cs="Arial" w:eastAsia="Arial" w:hAnsi="Arial"/>
          <w:sz w:val="20"/>
          <w:szCs w:val="20"/>
          <w:color w:val="282828"/>
        </w:rPr>
        <w:t>by</w:t>
      </w:r>
      <w:r>
        <w:rPr>
          <w:rFonts w:ascii="Arial" w:cs="Arial" w:eastAsia="Arial" w:hAnsi="Arial"/>
          <w:sz w:val="20"/>
          <w:szCs w:val="20"/>
          <w:color w:val="383838"/>
        </w:rPr>
        <w:t xml:space="preserve"> Executive or </w:t>
      </w:r>
      <w:r>
        <w:rPr>
          <w:rFonts w:ascii="Arial" w:cs="Arial" w:eastAsia="Arial" w:hAnsi="Arial"/>
          <w:sz w:val="20"/>
          <w:szCs w:val="20"/>
          <w:color w:val="282828"/>
        </w:rPr>
        <w:t>by</w:t>
      </w:r>
      <w:r>
        <w:rPr>
          <w:rFonts w:ascii="Arial" w:cs="Arial" w:eastAsia="Arial" w:hAnsi="Arial"/>
          <w:sz w:val="20"/>
          <w:szCs w:val="20"/>
          <w:color w:val="383838"/>
        </w:rPr>
        <w:t xml:space="preserve"> the Company and whether </w:t>
      </w:r>
      <w:r>
        <w:rPr>
          <w:rFonts w:ascii="Arial" w:cs="Arial" w:eastAsia="Arial" w:hAnsi="Arial"/>
          <w:sz w:val="20"/>
          <w:szCs w:val="20"/>
          <w:color w:val="282828"/>
        </w:rPr>
        <w:t>based</w:t>
      </w:r>
      <w:r>
        <w:rPr>
          <w:rFonts w:ascii="Arial" w:cs="Arial" w:eastAsia="Arial" w:hAnsi="Arial"/>
          <w:sz w:val="20"/>
          <w:szCs w:val="20"/>
          <w:color w:val="383838"/>
        </w:rPr>
        <w:t xml:space="preserve"> on contract</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tort</w:t>
      </w:r>
      <w:r>
        <w:rPr>
          <w:rFonts w:ascii="Arial" w:cs="Arial" w:eastAsia="Arial" w:hAnsi="Arial"/>
          <w:sz w:val="20"/>
          <w:szCs w:val="20"/>
          <w:color w:val="565656"/>
        </w:rPr>
        <w:t>,</w:t>
      </w:r>
      <w:r>
        <w:rPr>
          <w:rFonts w:ascii="Arial" w:cs="Arial" w:eastAsia="Arial" w:hAnsi="Arial"/>
          <w:sz w:val="20"/>
          <w:szCs w:val="20"/>
          <w:color w:val="383838"/>
        </w:rPr>
        <w:t xml:space="preserve"> statute</w:t>
      </w:r>
      <w:r>
        <w:rPr>
          <w:rFonts w:ascii="Arial" w:cs="Arial" w:eastAsia="Arial" w:hAnsi="Arial"/>
          <w:sz w:val="20"/>
          <w:szCs w:val="20"/>
          <w:color w:val="565656"/>
        </w:rPr>
        <w:t>,</w:t>
      </w:r>
      <w:r>
        <w:rPr>
          <w:rFonts w:ascii="Arial" w:cs="Arial" w:eastAsia="Arial" w:hAnsi="Arial"/>
          <w:sz w:val="20"/>
          <w:szCs w:val="20"/>
          <w:color w:val="383838"/>
        </w:rPr>
        <w:t xml:space="preserve"> or common </w:t>
      </w:r>
      <w:r>
        <w:rPr>
          <w:rFonts w:ascii="Arial" w:cs="Arial" w:eastAsia="Arial" w:hAnsi="Arial"/>
          <w:sz w:val="20"/>
          <w:szCs w:val="20"/>
          <w:color w:val="282828"/>
        </w:rPr>
        <w:t>law,</w:t>
      </w:r>
      <w:r>
        <w:rPr>
          <w:rFonts w:ascii="Arial" w:cs="Arial" w:eastAsia="Arial" w:hAnsi="Arial"/>
          <w:sz w:val="20"/>
          <w:szCs w:val="20"/>
          <w:color w:val="383838"/>
        </w:rPr>
        <w:t xml:space="preserve"> shall </w:t>
      </w:r>
      <w:r>
        <w:rPr>
          <w:rFonts w:ascii="Arial" w:cs="Arial" w:eastAsia="Arial" w:hAnsi="Arial"/>
          <w:sz w:val="20"/>
          <w:szCs w:val="20"/>
          <w:color w:val="282828"/>
        </w:rPr>
        <w:t>be submitted to and</w:t>
      </w:r>
      <w:r>
        <w:rPr>
          <w:rFonts w:ascii="Arial" w:cs="Arial" w:eastAsia="Arial" w:hAnsi="Arial"/>
          <w:sz w:val="20"/>
          <w:szCs w:val="20"/>
          <w:color w:val="383838"/>
        </w:rPr>
        <w:t xml:space="preserve"> resolved </w:t>
      </w:r>
      <w:r>
        <w:rPr>
          <w:rFonts w:ascii="Arial" w:cs="Arial" w:eastAsia="Arial" w:hAnsi="Arial"/>
          <w:sz w:val="20"/>
          <w:szCs w:val="20"/>
          <w:color w:val="282828"/>
        </w:rPr>
        <w:t>by</w:t>
      </w:r>
      <w:r>
        <w:rPr>
          <w:rFonts w:ascii="Arial" w:cs="Arial" w:eastAsia="Arial" w:hAnsi="Arial"/>
          <w:sz w:val="20"/>
          <w:szCs w:val="20"/>
          <w:color w:val="383838"/>
        </w:rPr>
        <w:t xml:space="preserve"> final</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binding</w:t>
      </w:r>
      <w:r>
        <w:rPr>
          <w:rFonts w:ascii="Arial" w:cs="Arial" w:eastAsia="Arial" w:hAnsi="Arial"/>
          <w:sz w:val="20"/>
          <w:szCs w:val="20"/>
          <w:color w:val="383838"/>
        </w:rPr>
        <w:t xml:space="preserve"> and </w:t>
      </w:r>
      <w:r>
        <w:rPr>
          <w:rFonts w:ascii="Arial" w:cs="Arial" w:eastAsia="Arial" w:hAnsi="Arial"/>
          <w:sz w:val="20"/>
          <w:szCs w:val="20"/>
          <w:color w:val="282828"/>
        </w:rPr>
        <w:t xml:space="preserve">confidential arbitration </w:t>
      </w:r>
      <w:r>
        <w:rPr>
          <w:rFonts w:ascii="Arial" w:cs="Arial" w:eastAsia="Arial" w:hAnsi="Arial"/>
          <w:sz w:val="20"/>
          <w:szCs w:val="20"/>
          <w:color w:val="383838"/>
        </w:rPr>
        <w:t>as the</w:t>
      </w:r>
      <w:r>
        <w:rPr>
          <w:rFonts w:ascii="Arial" w:cs="Arial" w:eastAsia="Arial" w:hAnsi="Arial"/>
          <w:sz w:val="20"/>
          <w:szCs w:val="20"/>
          <w:color w:val="282828"/>
        </w:rPr>
        <w:t xml:space="preserve"> exclusive </w:t>
      </w:r>
      <w:r>
        <w:rPr>
          <w:rFonts w:ascii="Arial" w:cs="Arial" w:eastAsia="Arial" w:hAnsi="Arial"/>
          <w:sz w:val="20"/>
          <w:szCs w:val="20"/>
          <w:color w:val="383838"/>
        </w:rPr>
        <w:t>method for resolving all such</w:t>
      </w:r>
      <w:r>
        <w:rPr>
          <w:rFonts w:ascii="Arial" w:cs="Arial" w:eastAsia="Arial" w:hAnsi="Arial"/>
          <w:sz w:val="20"/>
          <w:szCs w:val="20"/>
          <w:color w:val="282828"/>
        </w:rPr>
        <w:t xml:space="preserve"> disputes. </w:t>
      </w:r>
      <w:r>
        <w:rPr>
          <w:rFonts w:ascii="Arial" w:cs="Arial" w:eastAsia="Arial" w:hAnsi="Arial"/>
          <w:sz w:val="20"/>
          <w:szCs w:val="20"/>
          <w:color w:val="383838"/>
        </w:rPr>
        <w:t>The</w:t>
      </w:r>
      <w:r>
        <w:rPr>
          <w:rFonts w:ascii="Arial" w:cs="Arial" w:eastAsia="Arial" w:hAnsi="Arial"/>
          <w:sz w:val="20"/>
          <w:szCs w:val="20"/>
          <w:color w:val="282828"/>
        </w:rPr>
        <w:t xml:space="preserve"> </w:t>
      </w:r>
      <w:r>
        <w:rPr>
          <w:rFonts w:ascii="Arial" w:cs="Arial" w:eastAsia="Arial" w:hAnsi="Arial"/>
          <w:sz w:val="18"/>
          <w:szCs w:val="18"/>
          <w:color w:val="383838"/>
        </w:rPr>
        <w:t>arbitration</w:t>
      </w:r>
      <w:r>
        <w:rPr>
          <w:rFonts w:ascii="Arial" w:cs="Arial" w:eastAsia="Arial" w:hAnsi="Arial"/>
          <w:sz w:val="20"/>
          <w:szCs w:val="20"/>
          <w:color w:val="282828"/>
        </w:rPr>
        <w:t xml:space="preserve"> </w:t>
      </w:r>
      <w:r>
        <w:rPr>
          <w:rFonts w:ascii="Arial" w:cs="Arial" w:eastAsia="Arial" w:hAnsi="Arial"/>
          <w:sz w:val="18"/>
          <w:szCs w:val="18"/>
          <w:color w:val="565656"/>
        </w:rPr>
        <w:t>s</w:t>
      </w:r>
      <w:r>
        <w:rPr>
          <w:rFonts w:ascii="Arial" w:cs="Arial" w:eastAsia="Arial" w:hAnsi="Arial"/>
          <w:sz w:val="18"/>
          <w:szCs w:val="18"/>
          <w:color w:val="282828"/>
        </w:rPr>
        <w:t>hall be private</w:t>
      </w:r>
      <w:r>
        <w:rPr>
          <w:rFonts w:ascii="Arial" w:cs="Arial" w:eastAsia="Arial" w:hAnsi="Arial"/>
          <w:sz w:val="20"/>
          <w:szCs w:val="20"/>
          <w:color w:val="282828"/>
        </w:rPr>
        <w:t xml:space="preserve"> </w:t>
      </w:r>
      <w:r>
        <w:rPr>
          <w:rFonts w:ascii="Arial" w:cs="Arial" w:eastAsia="Arial" w:hAnsi="Arial"/>
          <w:sz w:val="18"/>
          <w:szCs w:val="18"/>
          <w:color w:val="383838"/>
        </w:rPr>
        <w:t>and</w:t>
      </w:r>
      <w:r>
        <w:rPr>
          <w:rFonts w:ascii="Arial" w:cs="Arial" w:eastAsia="Arial" w:hAnsi="Arial"/>
          <w:sz w:val="20"/>
          <w:szCs w:val="20"/>
          <w:color w:val="282828"/>
        </w:rPr>
        <w:t xml:space="preserve"> </w:t>
      </w:r>
      <w:r>
        <w:rPr>
          <w:rFonts w:ascii="Arial" w:cs="Arial" w:eastAsia="Arial" w:hAnsi="Arial"/>
          <w:sz w:val="18"/>
          <w:szCs w:val="18"/>
          <w:color w:val="282828"/>
        </w:rPr>
        <w:t>confidenti</w:t>
      </w:r>
      <w:r>
        <w:rPr>
          <w:rFonts w:ascii="Arial" w:cs="Arial" w:eastAsia="Arial" w:hAnsi="Arial"/>
          <w:sz w:val="18"/>
          <w:szCs w:val="18"/>
          <w:color w:val="565656"/>
        </w:rPr>
        <w:t>a</w:t>
      </w:r>
      <w:r>
        <w:rPr>
          <w:rFonts w:ascii="Arial" w:cs="Arial" w:eastAsia="Arial" w:hAnsi="Arial"/>
          <w:sz w:val="18"/>
          <w:szCs w:val="18"/>
          <w:color w:val="282828"/>
        </w:rPr>
        <w:t>l</w:t>
      </w:r>
      <w:r>
        <w:rPr>
          <w:rFonts w:ascii="Arial" w:cs="Arial" w:eastAsia="Arial" w:hAnsi="Arial"/>
          <w:sz w:val="20"/>
          <w:szCs w:val="20"/>
          <w:color w:val="282828"/>
        </w:rPr>
        <w:t xml:space="preserve"> </w:t>
      </w:r>
      <w:r>
        <w:rPr>
          <w:rFonts w:ascii="Arial" w:cs="Arial" w:eastAsia="Arial" w:hAnsi="Arial"/>
          <w:sz w:val="18"/>
          <w:szCs w:val="18"/>
          <w:color w:val="383838"/>
        </w:rPr>
        <w:t>and conducted in Los Angele</w:t>
      </w:r>
      <w:r>
        <w:rPr>
          <w:rFonts w:ascii="Arial" w:cs="Arial" w:eastAsia="Arial" w:hAnsi="Arial"/>
          <w:sz w:val="18"/>
          <w:szCs w:val="18"/>
          <w:color w:val="565656"/>
        </w:rPr>
        <w:t>s, California</w:t>
      </w:r>
      <w:r>
        <w:rPr>
          <w:rFonts w:ascii="Arial" w:cs="Arial" w:eastAsia="Arial" w:hAnsi="Arial"/>
          <w:sz w:val="18"/>
          <w:szCs w:val="18"/>
          <w:color w:val="383838"/>
        </w:rPr>
        <w:t xml:space="preserve"> </w:t>
      </w:r>
      <w:r>
        <w:rPr>
          <w:rFonts w:ascii="Arial" w:cs="Arial" w:eastAsia="Arial" w:hAnsi="Arial"/>
          <w:sz w:val="19"/>
          <w:szCs w:val="19"/>
          <w:color w:val="282828"/>
        </w:rPr>
        <w:t>pur</w:t>
      </w:r>
      <w:r>
        <w:rPr>
          <w:rFonts w:ascii="Arial" w:cs="Arial" w:eastAsia="Arial" w:hAnsi="Arial"/>
          <w:sz w:val="19"/>
          <w:szCs w:val="19"/>
          <w:color w:val="565656"/>
        </w:rPr>
        <w:t>s</w:t>
      </w:r>
      <w:r>
        <w:rPr>
          <w:rFonts w:ascii="Arial" w:cs="Arial" w:eastAsia="Arial" w:hAnsi="Arial"/>
          <w:sz w:val="19"/>
          <w:szCs w:val="19"/>
          <w:color w:val="282828"/>
        </w:rPr>
        <w:t>uant to</w:t>
      </w:r>
      <w:r>
        <w:rPr>
          <w:rFonts w:ascii="Arial" w:cs="Arial" w:eastAsia="Arial" w:hAnsi="Arial"/>
          <w:sz w:val="18"/>
          <w:szCs w:val="18"/>
          <w:color w:val="383838"/>
        </w:rPr>
        <w:t xml:space="preserve"> </w:t>
      </w:r>
      <w:r>
        <w:rPr>
          <w:rFonts w:ascii="Arial" w:cs="Arial" w:eastAsia="Arial" w:hAnsi="Arial"/>
          <w:sz w:val="19"/>
          <w:szCs w:val="19"/>
          <w:color w:val="383838"/>
        </w:rPr>
        <w:t>the</w:t>
      </w:r>
      <w:r>
        <w:rPr>
          <w:rFonts w:ascii="Arial" w:cs="Arial" w:eastAsia="Arial" w:hAnsi="Arial"/>
          <w:sz w:val="18"/>
          <w:szCs w:val="18"/>
          <w:color w:val="383838"/>
        </w:rPr>
        <w:t xml:space="preserve"> </w:t>
      </w:r>
      <w:r>
        <w:rPr>
          <w:rFonts w:ascii="Arial" w:cs="Arial" w:eastAsia="Arial" w:hAnsi="Arial"/>
          <w:sz w:val="19"/>
          <w:szCs w:val="19"/>
          <w:color w:val="282828"/>
        </w:rPr>
        <w:t>Federal Arbitration</w:t>
      </w:r>
      <w:r>
        <w:rPr>
          <w:rFonts w:ascii="Arial" w:cs="Arial" w:eastAsia="Arial" w:hAnsi="Arial"/>
          <w:sz w:val="18"/>
          <w:szCs w:val="18"/>
          <w:color w:val="383838"/>
        </w:rPr>
        <w:t xml:space="preserve"> </w:t>
      </w:r>
      <w:r>
        <w:rPr>
          <w:rFonts w:ascii="Arial" w:cs="Arial" w:eastAsia="Arial" w:hAnsi="Arial"/>
          <w:sz w:val="19"/>
          <w:szCs w:val="19"/>
          <w:color w:val="383838"/>
        </w:rPr>
        <w:t>Act and applicable California</w:t>
      </w:r>
      <w:r>
        <w:rPr>
          <w:rFonts w:ascii="Arial" w:cs="Arial" w:eastAsia="Arial" w:hAnsi="Arial"/>
          <w:sz w:val="18"/>
          <w:szCs w:val="18"/>
          <w:color w:val="383838"/>
        </w:rPr>
        <w:t xml:space="preserve"> </w:t>
      </w:r>
      <w:r>
        <w:rPr>
          <w:rFonts w:ascii="Arial" w:cs="Arial" w:eastAsia="Arial" w:hAnsi="Arial"/>
          <w:sz w:val="19"/>
          <w:szCs w:val="19"/>
          <w:color w:val="282828"/>
        </w:rPr>
        <w:t>law</w:t>
      </w:r>
      <w:r>
        <w:rPr>
          <w:rFonts w:ascii="Arial" w:cs="Arial" w:eastAsia="Arial" w:hAnsi="Arial"/>
          <w:sz w:val="19"/>
          <w:szCs w:val="19"/>
          <w:color w:val="565656"/>
        </w:rPr>
        <w:t>,</w:t>
      </w:r>
      <w:r>
        <w:rPr>
          <w:rFonts w:ascii="Arial" w:cs="Arial" w:eastAsia="Arial" w:hAnsi="Arial"/>
          <w:sz w:val="18"/>
          <w:szCs w:val="18"/>
          <w:color w:val="383838"/>
        </w:rPr>
        <w:t xml:space="preserve"> </w:t>
      </w:r>
      <w:r>
        <w:rPr>
          <w:rFonts w:ascii="Arial" w:cs="Arial" w:eastAsia="Arial" w:hAnsi="Arial"/>
          <w:sz w:val="19"/>
          <w:szCs w:val="19"/>
          <w:color w:val="383838"/>
        </w:rPr>
        <w:t>and</w:t>
      </w:r>
      <w:r>
        <w:rPr>
          <w:rFonts w:ascii="Arial" w:cs="Arial" w:eastAsia="Arial" w:hAnsi="Arial"/>
          <w:sz w:val="18"/>
          <w:szCs w:val="18"/>
          <w:color w:val="383838"/>
        </w:rPr>
        <w:t xml:space="preserve"> </w:t>
      </w:r>
      <w:r>
        <w:rPr>
          <w:rFonts w:ascii="Arial" w:cs="Arial" w:eastAsia="Arial" w:hAnsi="Arial"/>
          <w:sz w:val="19"/>
          <w:szCs w:val="19"/>
          <w:color w:val="282828"/>
        </w:rPr>
        <w:t>pursuant</w:t>
      </w:r>
      <w:r>
        <w:rPr>
          <w:rFonts w:ascii="Arial" w:cs="Arial" w:eastAsia="Arial" w:hAnsi="Arial"/>
          <w:sz w:val="18"/>
          <w:szCs w:val="18"/>
          <w:color w:val="383838"/>
        </w:rPr>
        <w:t xml:space="preserve"> </w:t>
      </w:r>
      <w:r>
        <w:rPr>
          <w:rFonts w:ascii="Arial" w:cs="Arial" w:eastAsia="Arial" w:hAnsi="Arial"/>
          <w:sz w:val="19"/>
          <w:szCs w:val="19"/>
          <w:color w:val="383838"/>
        </w:rPr>
        <w:t xml:space="preserve">to the </w:t>
      </w:r>
      <w:r>
        <w:rPr>
          <w:rFonts w:ascii="Arial" w:cs="Arial" w:eastAsia="Arial" w:hAnsi="Arial"/>
          <w:sz w:val="19"/>
          <w:szCs w:val="19"/>
          <w:color w:val="282828"/>
        </w:rPr>
        <w:t>applicable rules</w:t>
      </w:r>
      <w:r>
        <w:rPr>
          <w:rFonts w:ascii="Arial" w:cs="Arial" w:eastAsia="Arial" w:hAnsi="Arial"/>
          <w:sz w:val="19"/>
          <w:szCs w:val="19"/>
          <w:color w:val="383838"/>
        </w:rPr>
        <w:t xml:space="preserve"> of </w:t>
      </w:r>
      <w:r>
        <w:rPr>
          <w:rFonts w:ascii="Arial" w:cs="Arial" w:eastAsia="Arial" w:hAnsi="Arial"/>
          <w:sz w:val="19"/>
          <w:szCs w:val="19"/>
          <w:color w:val="282828"/>
        </w:rPr>
        <w:t>the Judicial Arbitration and Mediation Services</w:t>
      </w:r>
      <w:r>
        <w:rPr>
          <w:rFonts w:ascii="Arial" w:cs="Arial" w:eastAsia="Arial" w:hAnsi="Arial"/>
          <w:sz w:val="19"/>
          <w:szCs w:val="19"/>
          <w:color w:val="383838"/>
        </w:rPr>
        <w:t xml:space="preserve"> (</w:t>
      </w:r>
      <w:r>
        <w:rPr>
          <w:rFonts w:ascii="Arial" w:cs="Arial" w:eastAsia="Arial" w:hAnsi="Arial"/>
          <w:sz w:val="19"/>
          <w:szCs w:val="19"/>
          <w:color w:val="565656"/>
        </w:rPr>
        <w:t>"</w:t>
      </w:r>
      <w:r>
        <w:rPr>
          <w:rFonts w:ascii="Arial" w:cs="Arial" w:eastAsia="Arial" w:hAnsi="Arial"/>
          <w:sz w:val="19"/>
          <w:szCs w:val="19"/>
          <w:color w:val="282828"/>
        </w:rPr>
        <w:t>JAMS</w:t>
      </w:r>
      <w:r>
        <w:rPr>
          <w:rFonts w:ascii="Arial" w:cs="Arial" w:eastAsia="Arial" w:hAnsi="Arial"/>
          <w:sz w:val="19"/>
          <w:szCs w:val="19"/>
          <w:color w:val="565656"/>
        </w:rPr>
        <w:t>"</w:t>
      </w:r>
      <w:r>
        <w:rPr>
          <w:rFonts w:ascii="Arial" w:cs="Arial" w:eastAsia="Arial" w:hAnsi="Arial"/>
          <w:sz w:val="19"/>
          <w:szCs w:val="19"/>
          <w:color w:val="383838"/>
        </w:rPr>
        <w:t xml:space="preserve">) </w:t>
      </w:r>
      <w:r>
        <w:rPr>
          <w:rFonts w:ascii="Arial" w:cs="Arial" w:eastAsia="Arial" w:hAnsi="Arial"/>
          <w:sz w:val="19"/>
          <w:szCs w:val="19"/>
          <w:color w:val="282828"/>
        </w:rPr>
        <w:t>relating to</w:t>
      </w:r>
      <w:r>
        <w:rPr>
          <w:rFonts w:ascii="Arial" w:cs="Arial" w:eastAsia="Arial" w:hAnsi="Arial"/>
          <w:sz w:val="19"/>
          <w:szCs w:val="19"/>
          <w:color w:val="383838"/>
        </w:rPr>
        <w:t xml:space="preserve"> employment </w:t>
      </w:r>
      <w:r>
        <w:rPr>
          <w:rFonts w:ascii="Arial" w:cs="Arial" w:eastAsia="Arial" w:hAnsi="Arial"/>
          <w:sz w:val="19"/>
          <w:szCs w:val="19"/>
          <w:color w:val="282828"/>
        </w:rPr>
        <w:t>disputes, unless</w:t>
      </w:r>
      <w:r>
        <w:rPr>
          <w:rFonts w:ascii="Arial" w:cs="Arial" w:eastAsia="Arial" w:hAnsi="Arial"/>
          <w:sz w:val="19"/>
          <w:szCs w:val="19"/>
          <w:color w:val="383838"/>
        </w:rPr>
        <w:t xml:space="preserve"> </w:t>
      </w:r>
      <w:r>
        <w:rPr>
          <w:rFonts w:ascii="Arial" w:cs="Arial" w:eastAsia="Arial" w:hAnsi="Arial"/>
          <w:sz w:val="19"/>
          <w:szCs w:val="19"/>
          <w:color w:val="282828"/>
        </w:rPr>
        <w:t xml:space="preserve">the parties otherwise mutually agree to modify the </w:t>
      </w:r>
      <w:r>
        <w:rPr>
          <w:rFonts w:ascii="Arial" w:cs="Arial" w:eastAsia="Arial" w:hAnsi="Arial"/>
          <w:sz w:val="19"/>
          <w:szCs w:val="19"/>
          <w:color w:val="383838"/>
        </w:rPr>
        <w:t>JAMS</w:t>
      </w:r>
      <w:r>
        <w:rPr>
          <w:rFonts w:ascii="Arial" w:cs="Arial" w:eastAsia="Arial" w:hAnsi="Arial"/>
          <w:sz w:val="19"/>
          <w:szCs w:val="19"/>
          <w:color w:val="282828"/>
        </w:rPr>
        <w:t xml:space="preserve"> Rules. A copy of the </w:t>
      </w:r>
      <w:r>
        <w:rPr>
          <w:rFonts w:ascii="Arial" w:cs="Arial" w:eastAsia="Arial" w:hAnsi="Arial"/>
          <w:sz w:val="19"/>
          <w:szCs w:val="19"/>
          <w:color w:val="383838"/>
        </w:rPr>
        <w:t>AAA Employment Rules are available</w:t>
      </w:r>
      <w:r>
        <w:rPr>
          <w:rFonts w:ascii="Arial" w:cs="Arial" w:eastAsia="Arial" w:hAnsi="Arial"/>
          <w:sz w:val="19"/>
          <w:szCs w:val="19"/>
          <w:color w:val="282828"/>
        </w:rPr>
        <w:t xml:space="preserve"> for </w:t>
      </w:r>
      <w:r>
        <w:rPr>
          <w:rFonts w:ascii="Arial" w:cs="Arial" w:eastAsia="Arial" w:hAnsi="Arial"/>
          <w:sz w:val="19"/>
          <w:szCs w:val="19"/>
          <w:color w:val="383838"/>
        </w:rPr>
        <w:t>review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481330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87"/>
          </w:cols>
          <w:pgMar w:left="733" w:top="649" w:right="1079" w:bottom="1440" w:gutter="0" w:footer="0" w:header="0"/>
        </w:sectPr>
      </w:pPr>
    </w:p>
    <w:bookmarkStart w:id="161" w:name="page162"/>
    <w:bookmarkEnd w:id="161"/>
    <w:p>
      <w:pPr>
        <w:ind w:left="20"/>
        <w:spacing w:after="0"/>
        <w:rPr>
          <w:sz w:val="20"/>
          <w:szCs w:val="20"/>
          <w:color w:val="auto"/>
        </w:rPr>
      </w:pPr>
      <w:r>
        <w:rPr>
          <w:rFonts w:ascii="Arial" w:cs="Arial" w:eastAsia="Arial" w:hAnsi="Arial"/>
          <w:sz w:val="20"/>
          <w:szCs w:val="20"/>
          <w:u w:val="single" w:color="auto"/>
          <w:color w:val="285D89"/>
        </w:rPr>
        <w:t>https:</w:t>
      </w:r>
      <w:r>
        <w:rPr>
          <w:rFonts w:ascii="Arial" w:cs="Arial" w:eastAsia="Arial" w:hAnsi="Arial"/>
          <w:sz w:val="20"/>
          <w:szCs w:val="20"/>
          <w:u w:val="single" w:color="auto"/>
          <w:color w:val="5E8999"/>
        </w:rPr>
        <w:t>//</w:t>
      </w:r>
      <w:r>
        <w:rPr>
          <w:rFonts w:ascii="Arial" w:cs="Arial" w:eastAsia="Arial" w:hAnsi="Arial"/>
          <w:sz w:val="20"/>
          <w:szCs w:val="20"/>
          <w:u w:val="single" w:color="auto"/>
          <w:color w:val="3D6D90"/>
        </w:rPr>
        <w:t>www</w:t>
      </w:r>
      <w:r>
        <w:rPr>
          <w:rFonts w:ascii="Arial" w:cs="Arial" w:eastAsia="Arial" w:hAnsi="Arial"/>
          <w:sz w:val="20"/>
          <w:szCs w:val="20"/>
          <w:u w:val="single" w:color="auto"/>
          <w:color w:val="0F2631"/>
        </w:rPr>
        <w:t>.</w:t>
      </w:r>
      <w:r>
        <w:rPr>
          <w:rFonts w:ascii="Arial" w:cs="Arial" w:eastAsia="Arial" w:hAnsi="Arial"/>
          <w:sz w:val="20"/>
          <w:szCs w:val="20"/>
          <w:color w:val="285D89"/>
        </w:rPr>
        <w:t xml:space="preserve"> </w:t>
      </w:r>
      <w:r>
        <w:rPr>
          <w:rFonts w:ascii="Arial" w:cs="Arial" w:eastAsia="Arial" w:hAnsi="Arial"/>
          <w:sz w:val="20"/>
          <w:szCs w:val="20"/>
          <w:u w:val="single" w:color="auto"/>
          <w:color w:val="285D89"/>
        </w:rPr>
        <w:t>jamsadr</w:t>
      </w:r>
      <w:r>
        <w:rPr>
          <w:rFonts w:ascii="Arial" w:cs="Arial" w:eastAsia="Arial" w:hAnsi="Arial"/>
          <w:sz w:val="20"/>
          <w:szCs w:val="20"/>
          <w:u w:val="single" w:color="auto"/>
          <w:color w:val="3B838A"/>
        </w:rPr>
        <w:t>.com/</w:t>
      </w:r>
      <w:r>
        <w:rPr>
          <w:rFonts w:ascii="Arial" w:cs="Arial" w:eastAsia="Arial" w:hAnsi="Arial"/>
          <w:sz w:val="20"/>
          <w:szCs w:val="20"/>
          <w:u w:val="single" w:color="auto"/>
          <w:color w:val="285D89"/>
        </w:rPr>
        <w:t>rules</w:t>
      </w:r>
      <w:r>
        <w:rPr>
          <w:rFonts w:ascii="Arial" w:cs="Arial" w:eastAsia="Arial" w:hAnsi="Arial"/>
          <w:sz w:val="20"/>
          <w:szCs w:val="20"/>
          <w:u w:val="single" w:color="auto"/>
          <w:color w:val="1D4669"/>
        </w:rPr>
        <w:t>-</w:t>
      </w:r>
      <w:r>
        <w:rPr>
          <w:rFonts w:ascii="Arial" w:cs="Arial" w:eastAsia="Arial" w:hAnsi="Arial"/>
          <w:sz w:val="20"/>
          <w:szCs w:val="20"/>
          <w:u w:val="single" w:color="auto"/>
          <w:color w:val="3D6D90"/>
        </w:rPr>
        <w:t>employment</w:t>
      </w:r>
      <w:r>
        <w:rPr>
          <w:rFonts w:ascii="Arial" w:cs="Arial" w:eastAsia="Arial" w:hAnsi="Arial"/>
          <w:sz w:val="20"/>
          <w:szCs w:val="20"/>
          <w:color w:val="285D89"/>
        </w:rPr>
        <w:t xml:space="preserve"> </w:t>
      </w:r>
      <w:r>
        <w:rPr>
          <w:rFonts w:ascii="Arial" w:cs="Arial" w:eastAsia="Arial" w:hAnsi="Arial"/>
          <w:sz w:val="20"/>
          <w:szCs w:val="20"/>
          <w:u w:val="single" w:color="auto"/>
          <w:color w:val="525254"/>
        </w:rPr>
        <w:t>-</w:t>
      </w:r>
      <w:r>
        <w:rPr>
          <w:rFonts w:ascii="Arial" w:cs="Arial" w:eastAsia="Arial" w:hAnsi="Arial"/>
          <w:sz w:val="20"/>
          <w:szCs w:val="20"/>
          <w:u w:val="single" w:color="auto"/>
          <w:color w:val="3D6D90"/>
        </w:rPr>
        <w:t>arbitration</w:t>
      </w:r>
      <w:r>
        <w:rPr>
          <w:rFonts w:ascii="Arial" w:cs="Arial" w:eastAsia="Arial" w:hAnsi="Arial"/>
          <w:sz w:val="20"/>
          <w:szCs w:val="20"/>
          <w:color w:val="285D89"/>
        </w:rPr>
        <w:t xml:space="preserve"> </w:t>
      </w:r>
      <w:r>
        <w:rPr>
          <w:rFonts w:ascii="Arial" w:cs="Arial" w:eastAsia="Arial" w:hAnsi="Arial"/>
          <w:sz w:val="20"/>
          <w:szCs w:val="20"/>
          <w:color w:val="2A2A2A"/>
        </w:rPr>
        <w:t>and are incorporated herein by reference.</w:t>
      </w:r>
    </w:p>
    <w:p>
      <w:pPr>
        <w:spacing w:after="0" w:line="202" w:lineRule="exact"/>
        <w:rPr>
          <w:sz w:val="20"/>
          <w:szCs w:val="20"/>
          <w:color w:val="auto"/>
        </w:rPr>
      </w:pPr>
    </w:p>
    <w:p>
      <w:pPr>
        <w:ind w:left="20" w:right="200" w:firstLine="353"/>
        <w:spacing w:after="0" w:line="272" w:lineRule="auto"/>
        <w:rPr>
          <w:sz w:val="20"/>
          <w:szCs w:val="20"/>
          <w:color w:val="auto"/>
        </w:rPr>
      </w:pPr>
      <w:r>
        <w:rPr>
          <w:rFonts w:ascii="Arial" w:cs="Arial" w:eastAsia="Arial" w:hAnsi="Arial"/>
          <w:sz w:val="18"/>
          <w:szCs w:val="18"/>
          <w:color w:val="2A2A2A"/>
        </w:rPr>
        <w:t>The party demanding arbitration shall submit a written claim to the other party</w:t>
      </w:r>
      <w:r>
        <w:rPr>
          <w:rFonts w:ascii="Arial" w:cs="Arial" w:eastAsia="Arial" w:hAnsi="Arial"/>
          <w:sz w:val="18"/>
          <w:szCs w:val="18"/>
          <w:color w:val="525254"/>
        </w:rPr>
        <w:t>,</w:t>
      </w:r>
      <w:r>
        <w:rPr>
          <w:rFonts w:ascii="Arial" w:cs="Arial" w:eastAsia="Arial" w:hAnsi="Arial"/>
          <w:sz w:val="18"/>
          <w:szCs w:val="18"/>
          <w:color w:val="2A2A2A"/>
        </w:rPr>
        <w:t xml:space="preserve"> </w:t>
      </w:r>
      <w:r>
        <w:rPr>
          <w:rFonts w:ascii="Arial" w:cs="Arial" w:eastAsia="Arial" w:hAnsi="Arial"/>
          <w:sz w:val="18"/>
          <w:szCs w:val="18"/>
          <w:color w:val="3B3B3B"/>
        </w:rPr>
        <w:t>setting</w:t>
      </w:r>
      <w:r>
        <w:rPr>
          <w:rFonts w:ascii="Arial" w:cs="Arial" w:eastAsia="Arial" w:hAnsi="Arial"/>
          <w:sz w:val="18"/>
          <w:szCs w:val="18"/>
          <w:color w:val="2A2A2A"/>
        </w:rPr>
        <w:t xml:space="preserve"> out the basis of the claim or claims, within the time period of any applicable statute of limitations relating to </w:t>
      </w:r>
      <w:r>
        <w:rPr>
          <w:rFonts w:ascii="Arial" w:cs="Arial" w:eastAsia="Arial" w:hAnsi="Arial"/>
          <w:sz w:val="18"/>
          <w:szCs w:val="18"/>
          <w:color w:val="3B3B3B"/>
        </w:rPr>
        <w:t>such</w:t>
      </w:r>
      <w:r>
        <w:rPr>
          <w:rFonts w:ascii="Arial" w:cs="Arial" w:eastAsia="Arial" w:hAnsi="Arial"/>
          <w:sz w:val="18"/>
          <w:szCs w:val="18"/>
          <w:color w:val="2A2A2A"/>
        </w:rPr>
        <w:t xml:space="preserve"> claim(s). </w:t>
      </w:r>
      <w:r>
        <w:rPr>
          <w:rFonts w:ascii="Arial" w:cs="Arial" w:eastAsia="Arial" w:hAnsi="Arial"/>
          <w:sz w:val="19"/>
          <w:szCs w:val="19"/>
          <w:color w:val="2A2A2A"/>
        </w:rPr>
        <w:t>If</w:t>
      </w:r>
      <w:r>
        <w:rPr>
          <w:rFonts w:ascii="Arial" w:cs="Arial" w:eastAsia="Arial" w:hAnsi="Arial"/>
          <w:sz w:val="18"/>
          <w:szCs w:val="18"/>
          <w:color w:val="2A2A2A"/>
        </w:rPr>
        <w:t xml:space="preserve"> the parties </w:t>
      </w:r>
      <w:r>
        <w:rPr>
          <w:rFonts w:ascii="Arial" w:cs="Arial" w:eastAsia="Arial" w:hAnsi="Arial"/>
          <w:sz w:val="18"/>
          <w:szCs w:val="18"/>
          <w:color w:val="3B3B3B"/>
        </w:rPr>
        <w:t>cannot</w:t>
      </w:r>
      <w:r>
        <w:rPr>
          <w:rFonts w:ascii="Arial" w:cs="Arial" w:eastAsia="Arial" w:hAnsi="Arial"/>
          <w:sz w:val="18"/>
          <w:szCs w:val="18"/>
          <w:color w:val="2A2A2A"/>
        </w:rPr>
        <w:t xml:space="preserve"> mutually agree upon an arbitrator, then the parties </w:t>
      </w:r>
      <w:r>
        <w:rPr>
          <w:rFonts w:ascii="Arial" w:cs="Arial" w:eastAsia="Arial" w:hAnsi="Arial"/>
          <w:sz w:val="18"/>
          <w:szCs w:val="18"/>
          <w:color w:val="3B3B3B"/>
        </w:rPr>
        <w:t>shall select</w:t>
      </w:r>
      <w:r>
        <w:rPr>
          <w:rFonts w:ascii="Arial" w:cs="Arial" w:eastAsia="Arial" w:hAnsi="Arial"/>
          <w:sz w:val="18"/>
          <w:szCs w:val="18"/>
          <w:color w:val="2A2A2A"/>
        </w:rPr>
        <w:t xml:space="preserve"> a neutral arbitrator through the procedures established by the</w:t>
      </w:r>
    </w:p>
    <w:p>
      <w:pPr>
        <w:spacing w:after="0" w:line="1" w:lineRule="exact"/>
        <w:rPr>
          <w:sz w:val="20"/>
          <w:szCs w:val="20"/>
          <w:color w:val="auto"/>
        </w:rPr>
      </w:pPr>
    </w:p>
    <w:p>
      <w:pPr>
        <w:ind w:left="20" w:right="120" w:hanging="8"/>
        <w:spacing w:after="0" w:line="272" w:lineRule="auto"/>
        <w:tabs>
          <w:tab w:leader="none" w:pos="548" w:val="left"/>
        </w:tabs>
        <w:numPr>
          <w:ilvl w:val="0"/>
          <w:numId w:val="184"/>
        </w:numPr>
        <w:rPr>
          <w:rFonts w:ascii="Arial" w:cs="Arial" w:eastAsia="Arial" w:hAnsi="Arial"/>
          <w:sz w:val="18"/>
          <w:szCs w:val="18"/>
          <w:color w:val="2A2A2A"/>
        </w:rPr>
      </w:pPr>
      <w:r>
        <w:rPr>
          <w:rFonts w:ascii="Arial" w:cs="Arial" w:eastAsia="Arial" w:hAnsi="Arial"/>
          <w:sz w:val="18"/>
          <w:szCs w:val="18"/>
          <w:color w:val="2A2A2A"/>
        </w:rPr>
        <w:t xml:space="preserve">The arbitrator </w:t>
      </w:r>
      <w:r>
        <w:rPr>
          <w:rFonts w:ascii="Arial" w:cs="Arial" w:eastAsia="Arial" w:hAnsi="Arial"/>
          <w:sz w:val="18"/>
          <w:szCs w:val="18"/>
          <w:color w:val="3B3B3B"/>
        </w:rPr>
        <w:t>shall</w:t>
      </w:r>
      <w:r>
        <w:rPr>
          <w:rFonts w:ascii="Arial" w:cs="Arial" w:eastAsia="Arial" w:hAnsi="Arial"/>
          <w:sz w:val="18"/>
          <w:szCs w:val="18"/>
          <w:color w:val="2A2A2A"/>
        </w:rPr>
        <w:t xml:space="preserve"> have the powers provided under the Federal Arbitration </w:t>
      </w:r>
      <w:r>
        <w:rPr>
          <w:rFonts w:ascii="Arial" w:cs="Arial" w:eastAsia="Arial" w:hAnsi="Arial"/>
          <w:sz w:val="18"/>
          <w:szCs w:val="18"/>
          <w:color w:val="3B3B3B"/>
        </w:rPr>
        <w:t>Act</w:t>
      </w:r>
      <w:r>
        <w:rPr>
          <w:rFonts w:ascii="Arial" w:cs="Arial" w:eastAsia="Arial" w:hAnsi="Arial"/>
          <w:sz w:val="18"/>
          <w:szCs w:val="18"/>
          <w:color w:val="2A2A2A"/>
        </w:rPr>
        <w:t xml:space="preserve"> relating to the arbitration of disputes, except as expressly limited or otherwise provided </w:t>
      </w:r>
      <w:r>
        <w:rPr>
          <w:rFonts w:ascii="Arial" w:cs="Arial" w:eastAsia="Arial" w:hAnsi="Arial"/>
          <w:sz w:val="18"/>
          <w:szCs w:val="18"/>
          <w:color w:val="3B3B3B"/>
        </w:rPr>
        <w:t>in</w:t>
      </w:r>
      <w:r>
        <w:rPr>
          <w:rFonts w:ascii="Arial" w:cs="Arial" w:eastAsia="Arial" w:hAnsi="Arial"/>
          <w:sz w:val="18"/>
          <w:szCs w:val="18"/>
          <w:color w:val="2A2A2A"/>
        </w:rPr>
        <w:t xml:space="preserve"> this Agreement. The parties </w:t>
      </w:r>
      <w:r>
        <w:rPr>
          <w:rFonts w:ascii="Arial" w:cs="Arial" w:eastAsia="Arial" w:hAnsi="Arial"/>
          <w:sz w:val="18"/>
          <w:szCs w:val="18"/>
          <w:color w:val="3B3B3B"/>
        </w:rPr>
        <w:t>shall</w:t>
      </w:r>
      <w:r>
        <w:rPr>
          <w:rFonts w:ascii="Arial" w:cs="Arial" w:eastAsia="Arial" w:hAnsi="Arial"/>
          <w:sz w:val="18"/>
          <w:szCs w:val="18"/>
          <w:color w:val="2A2A2A"/>
        </w:rPr>
        <w:t xml:space="preserve"> have the right to reasonable discovery. The parties agree that the Company </w:t>
      </w:r>
      <w:r>
        <w:rPr>
          <w:rFonts w:ascii="Arial" w:cs="Arial" w:eastAsia="Arial" w:hAnsi="Arial"/>
          <w:sz w:val="18"/>
          <w:szCs w:val="18"/>
          <w:color w:val="3B3B3B"/>
        </w:rPr>
        <w:t>shall</w:t>
      </w:r>
      <w:r>
        <w:rPr>
          <w:rFonts w:ascii="Arial" w:cs="Arial" w:eastAsia="Arial" w:hAnsi="Arial"/>
          <w:sz w:val="18"/>
          <w:szCs w:val="18"/>
          <w:color w:val="2A2A2A"/>
        </w:rPr>
        <w:t xml:space="preserve"> pay the administration costs of the AAA arbitration, including payment of the fees for the Arbitrator</w:t>
      </w:r>
      <w:r>
        <w:rPr>
          <w:rFonts w:ascii="Arial" w:cs="Arial" w:eastAsia="Arial" w:hAnsi="Arial"/>
          <w:sz w:val="18"/>
          <w:szCs w:val="18"/>
          <w:color w:val="525254"/>
        </w:rPr>
        <w:t>,</w:t>
      </w:r>
      <w:r>
        <w:rPr>
          <w:rFonts w:ascii="Arial" w:cs="Arial" w:eastAsia="Arial" w:hAnsi="Arial"/>
          <w:sz w:val="18"/>
          <w:szCs w:val="18"/>
          <w:color w:val="2A2A2A"/>
        </w:rPr>
        <w:t xml:space="preserve"> and any </w:t>
      </w:r>
      <w:r>
        <w:rPr>
          <w:rFonts w:ascii="Arial" w:cs="Arial" w:eastAsia="Arial" w:hAnsi="Arial"/>
          <w:sz w:val="18"/>
          <w:szCs w:val="18"/>
          <w:color w:val="3B3B3B"/>
        </w:rPr>
        <w:t>other</w:t>
      </w:r>
      <w:r>
        <w:rPr>
          <w:rFonts w:ascii="Arial" w:cs="Arial" w:eastAsia="Arial" w:hAnsi="Arial"/>
          <w:sz w:val="18"/>
          <w:szCs w:val="18"/>
          <w:color w:val="2A2A2A"/>
        </w:rPr>
        <w:t xml:space="preserve"> costs directly related to the </w:t>
      </w:r>
      <w:r>
        <w:rPr>
          <w:rFonts w:ascii="Arial" w:cs="Arial" w:eastAsia="Arial" w:hAnsi="Arial"/>
          <w:sz w:val="18"/>
          <w:szCs w:val="18"/>
          <w:color w:val="3B3B3B"/>
        </w:rPr>
        <w:t>administration</w:t>
      </w:r>
      <w:r>
        <w:rPr>
          <w:rFonts w:ascii="Arial" w:cs="Arial" w:eastAsia="Arial" w:hAnsi="Arial"/>
          <w:sz w:val="18"/>
          <w:szCs w:val="18"/>
          <w:color w:val="2A2A2A"/>
        </w:rPr>
        <w:t xml:space="preserve"> of the arbitration. The parties </w:t>
      </w:r>
      <w:r>
        <w:rPr>
          <w:rFonts w:ascii="Arial" w:cs="Arial" w:eastAsia="Arial" w:hAnsi="Arial"/>
          <w:sz w:val="18"/>
          <w:szCs w:val="18"/>
          <w:color w:val="3B3B3B"/>
        </w:rPr>
        <w:t>shall</w:t>
      </w:r>
      <w:r>
        <w:rPr>
          <w:rFonts w:ascii="Arial" w:cs="Arial" w:eastAsia="Arial" w:hAnsi="Arial"/>
          <w:sz w:val="18"/>
          <w:szCs w:val="18"/>
          <w:color w:val="2A2A2A"/>
        </w:rPr>
        <w:t xml:space="preserve"> otherwise be responsible for their own respective costs and attorneys' fees relating to the dispute</w:t>
      </w:r>
      <w:r>
        <w:rPr>
          <w:rFonts w:ascii="Arial" w:cs="Arial" w:eastAsia="Arial" w:hAnsi="Arial"/>
          <w:sz w:val="18"/>
          <w:szCs w:val="18"/>
          <w:color w:val="676767"/>
        </w:rPr>
        <w:t>,</w:t>
      </w:r>
      <w:r>
        <w:rPr>
          <w:rFonts w:ascii="Arial" w:cs="Arial" w:eastAsia="Arial" w:hAnsi="Arial"/>
          <w:sz w:val="18"/>
          <w:szCs w:val="18"/>
          <w:color w:val="2A2A2A"/>
        </w:rPr>
        <w:t xml:space="preserve"> </w:t>
      </w:r>
      <w:r>
        <w:rPr>
          <w:rFonts w:ascii="Arial" w:cs="Arial" w:eastAsia="Arial" w:hAnsi="Arial"/>
          <w:sz w:val="18"/>
          <w:szCs w:val="18"/>
          <w:color w:val="3B3B3B"/>
        </w:rPr>
        <w:t>such as</w:t>
      </w:r>
      <w:r>
        <w:rPr>
          <w:rFonts w:ascii="Arial" w:cs="Arial" w:eastAsia="Arial" w:hAnsi="Arial"/>
          <w:sz w:val="18"/>
          <w:szCs w:val="18"/>
          <w:color w:val="2A2A2A"/>
        </w:rPr>
        <w:t xml:space="preserve"> deposition </w:t>
      </w:r>
      <w:r>
        <w:rPr>
          <w:rFonts w:ascii="Arial" w:cs="Arial" w:eastAsia="Arial" w:hAnsi="Arial"/>
          <w:sz w:val="18"/>
          <w:szCs w:val="18"/>
          <w:color w:val="3B3B3B"/>
        </w:rPr>
        <w:t>costs,</w:t>
      </w:r>
      <w:r>
        <w:rPr>
          <w:rFonts w:ascii="Arial" w:cs="Arial" w:eastAsia="Arial" w:hAnsi="Arial"/>
          <w:sz w:val="18"/>
          <w:szCs w:val="18"/>
          <w:color w:val="2A2A2A"/>
        </w:rPr>
        <w:t xml:space="preserve"> expert witnesses and </w:t>
      </w:r>
      <w:r>
        <w:rPr>
          <w:rFonts w:ascii="Arial" w:cs="Arial" w:eastAsia="Arial" w:hAnsi="Arial"/>
          <w:sz w:val="18"/>
          <w:szCs w:val="18"/>
          <w:color w:val="3B3B3B"/>
        </w:rPr>
        <w:t>similar</w:t>
      </w:r>
      <w:r>
        <w:rPr>
          <w:rFonts w:ascii="Arial" w:cs="Arial" w:eastAsia="Arial" w:hAnsi="Arial"/>
          <w:sz w:val="18"/>
          <w:szCs w:val="18"/>
          <w:color w:val="2A2A2A"/>
        </w:rPr>
        <w:t xml:space="preserve"> expenses, except </w:t>
      </w:r>
      <w:r>
        <w:rPr>
          <w:rFonts w:ascii="Arial" w:cs="Arial" w:eastAsia="Arial" w:hAnsi="Arial"/>
          <w:sz w:val="18"/>
          <w:szCs w:val="18"/>
          <w:color w:val="3B3B3B"/>
        </w:rPr>
        <w:t>as otherwise</w:t>
      </w:r>
      <w:r>
        <w:rPr>
          <w:rFonts w:ascii="Arial" w:cs="Arial" w:eastAsia="Arial" w:hAnsi="Arial"/>
          <w:sz w:val="18"/>
          <w:szCs w:val="18"/>
          <w:color w:val="2A2A2A"/>
        </w:rPr>
        <w:t xml:space="preserve"> provided in this Agreement to the prevailing party.</w:t>
      </w:r>
    </w:p>
    <w:p>
      <w:pPr>
        <w:spacing w:after="0" w:line="156" w:lineRule="exact"/>
        <w:rPr>
          <w:sz w:val="20"/>
          <w:szCs w:val="20"/>
          <w:color w:val="auto"/>
        </w:rPr>
      </w:pPr>
    </w:p>
    <w:p>
      <w:pPr>
        <w:jc w:val="both"/>
        <w:ind w:right="80" w:firstLine="360"/>
        <w:spacing w:after="0" w:line="256" w:lineRule="auto"/>
        <w:rPr>
          <w:sz w:val="20"/>
          <w:szCs w:val="20"/>
          <w:color w:val="auto"/>
        </w:rPr>
      </w:pPr>
      <w:r>
        <w:rPr>
          <w:rFonts w:ascii="Arial" w:cs="Arial" w:eastAsia="Arial" w:hAnsi="Arial"/>
          <w:sz w:val="19"/>
          <w:szCs w:val="19"/>
          <w:color w:val="2A2A2A"/>
        </w:rPr>
        <w:t xml:space="preserve">The arbitrator may </w:t>
      </w:r>
      <w:r>
        <w:rPr>
          <w:rFonts w:ascii="Arial" w:cs="Arial" w:eastAsia="Arial" w:hAnsi="Arial"/>
          <w:sz w:val="19"/>
          <w:szCs w:val="19"/>
          <w:color w:val="3B3B3B"/>
        </w:rPr>
        <w:t>award,</w:t>
      </w:r>
      <w:r>
        <w:rPr>
          <w:rFonts w:ascii="Arial" w:cs="Arial" w:eastAsia="Arial" w:hAnsi="Arial"/>
          <w:sz w:val="19"/>
          <w:szCs w:val="19"/>
          <w:color w:val="2A2A2A"/>
        </w:rPr>
        <w:t xml:space="preserve"> if properly proven, any damages </w:t>
      </w:r>
      <w:r>
        <w:rPr>
          <w:rFonts w:ascii="Arial" w:cs="Arial" w:eastAsia="Arial" w:hAnsi="Arial"/>
          <w:sz w:val="19"/>
          <w:szCs w:val="19"/>
          <w:color w:val="3B3B3B"/>
        </w:rPr>
        <w:t>or</w:t>
      </w:r>
      <w:r>
        <w:rPr>
          <w:rFonts w:ascii="Arial" w:cs="Arial" w:eastAsia="Arial" w:hAnsi="Arial"/>
          <w:sz w:val="19"/>
          <w:szCs w:val="19"/>
          <w:color w:val="2A2A2A"/>
        </w:rPr>
        <w:t xml:space="preserve"> remedy that a party could recover in </w:t>
      </w:r>
      <w:r>
        <w:rPr>
          <w:rFonts w:ascii="Arial" w:cs="Arial" w:eastAsia="Arial" w:hAnsi="Arial"/>
          <w:sz w:val="19"/>
          <w:szCs w:val="19"/>
          <w:color w:val="3B3B3B"/>
        </w:rPr>
        <w:t>a</w:t>
      </w:r>
      <w:r>
        <w:rPr>
          <w:rFonts w:ascii="Arial" w:cs="Arial" w:eastAsia="Arial" w:hAnsi="Arial"/>
          <w:sz w:val="19"/>
          <w:szCs w:val="19"/>
          <w:color w:val="2A2A2A"/>
        </w:rPr>
        <w:t xml:space="preserve"> civil litigation and </w:t>
      </w:r>
      <w:r>
        <w:rPr>
          <w:rFonts w:ascii="Arial" w:cs="Arial" w:eastAsia="Arial" w:hAnsi="Arial"/>
          <w:sz w:val="19"/>
          <w:szCs w:val="19"/>
          <w:color w:val="3B3B3B"/>
        </w:rPr>
        <w:t xml:space="preserve">shall </w:t>
      </w:r>
      <w:r>
        <w:rPr>
          <w:rFonts w:ascii="Arial" w:cs="Arial" w:eastAsia="Arial" w:hAnsi="Arial"/>
          <w:sz w:val="19"/>
          <w:szCs w:val="19"/>
          <w:color w:val="2A2A2A"/>
        </w:rPr>
        <w:t>award costs and reasonable attorneys' fees to the prevailing party</w:t>
      </w:r>
      <w:r>
        <w:rPr>
          <w:rFonts w:ascii="Arial" w:cs="Arial" w:eastAsia="Arial" w:hAnsi="Arial"/>
          <w:sz w:val="19"/>
          <w:szCs w:val="19"/>
          <w:color w:val="3B3B3B"/>
        </w:rPr>
        <w:t xml:space="preserve"> as </w:t>
      </w:r>
      <w:r>
        <w:rPr>
          <w:rFonts w:ascii="Arial" w:cs="Arial" w:eastAsia="Arial" w:hAnsi="Arial"/>
          <w:sz w:val="19"/>
          <w:szCs w:val="19"/>
          <w:color w:val="2A2A2A"/>
        </w:rPr>
        <w:t>provided by law. The</w:t>
      </w:r>
      <w:r>
        <w:rPr>
          <w:rFonts w:ascii="Arial" w:cs="Arial" w:eastAsia="Arial" w:hAnsi="Arial"/>
          <w:sz w:val="19"/>
          <w:szCs w:val="19"/>
          <w:color w:val="3B3B3B"/>
        </w:rPr>
        <w:t xml:space="preserve"> award </w:t>
      </w:r>
      <w:r>
        <w:rPr>
          <w:rFonts w:ascii="Arial" w:cs="Arial" w:eastAsia="Arial" w:hAnsi="Arial"/>
          <w:sz w:val="19"/>
          <w:szCs w:val="19"/>
          <w:color w:val="2A2A2A"/>
        </w:rPr>
        <w:t>of the arbitrator</w:t>
      </w:r>
      <w:r>
        <w:rPr>
          <w:rFonts w:ascii="Arial" w:cs="Arial" w:eastAsia="Arial" w:hAnsi="Arial"/>
          <w:sz w:val="19"/>
          <w:szCs w:val="19"/>
          <w:color w:val="3B3B3B"/>
        </w:rPr>
        <w:t xml:space="preserve"> shall </w:t>
      </w:r>
      <w:r>
        <w:rPr>
          <w:rFonts w:ascii="Arial" w:cs="Arial" w:eastAsia="Arial" w:hAnsi="Arial"/>
          <w:sz w:val="19"/>
          <w:szCs w:val="19"/>
          <w:color w:val="2A2A2A"/>
        </w:rPr>
        <w:t xml:space="preserve">be issued in writing, </w:t>
      </w:r>
      <w:r>
        <w:rPr>
          <w:rFonts w:ascii="Arial" w:cs="Arial" w:eastAsia="Arial" w:hAnsi="Arial"/>
          <w:sz w:val="19"/>
          <w:szCs w:val="19"/>
          <w:color w:val="3B3B3B"/>
        </w:rPr>
        <w:t>setting</w:t>
      </w:r>
      <w:r>
        <w:rPr>
          <w:rFonts w:ascii="Arial" w:cs="Arial" w:eastAsia="Arial" w:hAnsi="Arial"/>
          <w:sz w:val="19"/>
          <w:szCs w:val="19"/>
          <w:color w:val="2A2A2A"/>
        </w:rPr>
        <w:t xml:space="preserve"> forth the basis for the decision, and </w:t>
      </w:r>
      <w:r>
        <w:rPr>
          <w:rFonts w:ascii="Arial" w:cs="Arial" w:eastAsia="Arial" w:hAnsi="Arial"/>
          <w:sz w:val="19"/>
          <w:szCs w:val="19"/>
          <w:color w:val="3B3B3B"/>
        </w:rPr>
        <w:t>shall</w:t>
      </w:r>
      <w:r>
        <w:rPr>
          <w:rFonts w:ascii="Arial" w:cs="Arial" w:eastAsia="Arial" w:hAnsi="Arial"/>
          <w:sz w:val="19"/>
          <w:szCs w:val="19"/>
          <w:color w:val="2A2A2A"/>
        </w:rPr>
        <w:t xml:space="preserve"> be binding </w:t>
      </w:r>
      <w:r>
        <w:rPr>
          <w:rFonts w:ascii="Arial" w:cs="Arial" w:eastAsia="Arial" w:hAnsi="Arial"/>
          <w:sz w:val="19"/>
          <w:szCs w:val="19"/>
          <w:color w:val="3B3B3B"/>
        </w:rPr>
        <w:t>on</w:t>
      </w:r>
      <w:r>
        <w:rPr>
          <w:rFonts w:ascii="Arial" w:cs="Arial" w:eastAsia="Arial" w:hAnsi="Arial"/>
          <w:sz w:val="19"/>
          <w:szCs w:val="19"/>
          <w:color w:val="2A2A2A"/>
        </w:rPr>
        <w:t xml:space="preserve"> the parties to the fullest </w:t>
      </w:r>
      <w:r>
        <w:rPr>
          <w:rFonts w:ascii="Arial" w:cs="Arial" w:eastAsia="Arial" w:hAnsi="Arial"/>
          <w:sz w:val="19"/>
          <w:szCs w:val="19"/>
          <w:color w:val="3B3B3B"/>
        </w:rPr>
        <w:t>extent</w:t>
      </w:r>
      <w:r>
        <w:rPr>
          <w:rFonts w:ascii="Arial" w:cs="Arial" w:eastAsia="Arial" w:hAnsi="Arial"/>
          <w:sz w:val="19"/>
          <w:szCs w:val="19"/>
          <w:color w:val="2A2A2A"/>
        </w:rPr>
        <w:t>permitted by law</w:t>
      </w:r>
      <w:r>
        <w:rPr>
          <w:rFonts w:ascii="Arial" w:cs="Arial" w:eastAsia="Arial" w:hAnsi="Arial"/>
          <w:sz w:val="19"/>
          <w:szCs w:val="19"/>
          <w:color w:val="525254"/>
        </w:rPr>
        <w:t>,</w:t>
      </w:r>
      <w:r>
        <w:rPr>
          <w:rFonts w:ascii="Arial" w:cs="Arial" w:eastAsia="Arial" w:hAnsi="Arial"/>
          <w:sz w:val="19"/>
          <w:szCs w:val="19"/>
          <w:color w:val="2A2A2A"/>
        </w:rPr>
        <w:t xml:space="preserve"> </w:t>
      </w:r>
      <w:r>
        <w:rPr>
          <w:rFonts w:ascii="Arial" w:cs="Arial" w:eastAsia="Arial" w:hAnsi="Arial"/>
          <w:sz w:val="19"/>
          <w:szCs w:val="19"/>
          <w:color w:val="3B3B3B"/>
        </w:rPr>
        <w:t>subject</w:t>
      </w:r>
      <w:r>
        <w:rPr>
          <w:rFonts w:ascii="Arial" w:cs="Arial" w:eastAsia="Arial" w:hAnsi="Arial"/>
          <w:sz w:val="19"/>
          <w:szCs w:val="19"/>
          <w:color w:val="2A2A2A"/>
        </w:rPr>
        <w:t xml:space="preserve"> to any limited </w:t>
      </w:r>
      <w:r>
        <w:rPr>
          <w:rFonts w:ascii="Arial" w:cs="Arial" w:eastAsia="Arial" w:hAnsi="Arial"/>
          <w:sz w:val="19"/>
          <w:szCs w:val="19"/>
          <w:color w:val="3B3B3B"/>
        </w:rPr>
        <w:t>statutory</w:t>
      </w:r>
      <w:r>
        <w:rPr>
          <w:rFonts w:ascii="Arial" w:cs="Arial" w:eastAsia="Arial" w:hAnsi="Arial"/>
          <w:sz w:val="19"/>
          <w:szCs w:val="19"/>
          <w:color w:val="2A2A2A"/>
        </w:rPr>
        <w:t xml:space="preserve"> right to appeal as provided by Jaw.</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2A2A2A"/>
        </w:rPr>
        <w:t xml:space="preserve">Judgment upon the award </w:t>
      </w:r>
      <w:r>
        <w:rPr>
          <w:rFonts w:ascii="Arial" w:cs="Arial" w:eastAsia="Arial" w:hAnsi="Arial"/>
          <w:sz w:val="18"/>
          <w:szCs w:val="18"/>
          <w:color w:val="3B3B3B"/>
        </w:rPr>
        <w:t>of</w:t>
      </w:r>
      <w:r>
        <w:rPr>
          <w:rFonts w:ascii="Arial" w:cs="Arial" w:eastAsia="Arial" w:hAnsi="Arial"/>
          <w:sz w:val="18"/>
          <w:szCs w:val="18"/>
          <w:color w:val="2A2A2A"/>
        </w:rPr>
        <w:t xml:space="preserve"> the arbitrator may be entered in any </w:t>
      </w:r>
      <w:r>
        <w:rPr>
          <w:rFonts w:ascii="Arial" w:cs="Arial" w:eastAsia="Arial" w:hAnsi="Arial"/>
          <w:sz w:val="18"/>
          <w:szCs w:val="18"/>
          <w:color w:val="3B3B3B"/>
        </w:rPr>
        <w:t>state</w:t>
      </w:r>
      <w:r>
        <w:rPr>
          <w:rFonts w:ascii="Arial" w:cs="Arial" w:eastAsia="Arial" w:hAnsi="Arial"/>
          <w:sz w:val="18"/>
          <w:szCs w:val="18"/>
          <w:color w:val="2A2A2A"/>
        </w:rPr>
        <w:t xml:space="preserve"> or </w:t>
      </w:r>
      <w:r>
        <w:rPr>
          <w:rFonts w:ascii="Arial" w:cs="Arial" w:eastAsia="Arial" w:hAnsi="Arial"/>
          <w:sz w:val="18"/>
          <w:szCs w:val="18"/>
          <w:color w:val="3B3B3B"/>
        </w:rPr>
        <w:t>federal</w:t>
      </w:r>
      <w:r>
        <w:rPr>
          <w:rFonts w:ascii="Arial" w:cs="Arial" w:eastAsia="Arial" w:hAnsi="Arial"/>
          <w:sz w:val="18"/>
          <w:szCs w:val="18"/>
          <w:color w:val="2A2A2A"/>
        </w:rPr>
        <w:t xml:space="preserve"> court </w:t>
      </w:r>
      <w:r>
        <w:rPr>
          <w:rFonts w:ascii="Arial" w:cs="Arial" w:eastAsia="Arial" w:hAnsi="Arial"/>
          <w:sz w:val="18"/>
          <w:szCs w:val="18"/>
          <w:color w:val="3B3B3B"/>
        </w:rPr>
        <w:t>sitting</w:t>
      </w:r>
      <w:r>
        <w:rPr>
          <w:rFonts w:ascii="Arial" w:cs="Arial" w:eastAsia="Arial" w:hAnsi="Arial"/>
          <w:sz w:val="18"/>
          <w:szCs w:val="18"/>
          <w:color w:val="2A2A2A"/>
        </w:rPr>
        <w:t xml:space="preserve"> in Los Angeles, </w:t>
      </w:r>
      <w:r>
        <w:rPr>
          <w:rFonts w:ascii="Arial" w:cs="Arial" w:eastAsia="Arial" w:hAnsi="Arial"/>
          <w:sz w:val="18"/>
          <w:szCs w:val="18"/>
          <w:color w:val="3B3B3B"/>
        </w:rPr>
        <w:t>California.</w:t>
      </w:r>
    </w:p>
    <w:p>
      <w:pPr>
        <w:spacing w:after="0" w:line="209" w:lineRule="exact"/>
        <w:rPr>
          <w:sz w:val="20"/>
          <w:szCs w:val="20"/>
          <w:color w:val="auto"/>
        </w:rPr>
      </w:pPr>
    </w:p>
    <w:p>
      <w:pPr>
        <w:ind w:left="20" w:firstLine="363"/>
        <w:spacing w:after="0" w:line="257" w:lineRule="auto"/>
        <w:rPr>
          <w:sz w:val="20"/>
          <w:szCs w:val="20"/>
          <w:color w:val="auto"/>
        </w:rPr>
      </w:pPr>
      <w:r>
        <w:rPr>
          <w:rFonts w:ascii="Arial" w:cs="Arial" w:eastAsia="Arial" w:hAnsi="Arial"/>
          <w:sz w:val="19"/>
          <w:szCs w:val="19"/>
          <w:color w:val="2A2A2A"/>
        </w:rPr>
        <w:t xml:space="preserve">Nothing in this Section shall prevent </w:t>
      </w:r>
      <w:r>
        <w:rPr>
          <w:rFonts w:ascii="Arial" w:cs="Arial" w:eastAsia="Arial" w:hAnsi="Arial"/>
          <w:sz w:val="19"/>
          <w:szCs w:val="19"/>
          <w:color w:val="3B3B3B"/>
        </w:rPr>
        <w:t>Executive</w:t>
      </w:r>
      <w:r>
        <w:rPr>
          <w:rFonts w:ascii="Arial" w:cs="Arial" w:eastAsia="Arial" w:hAnsi="Arial"/>
          <w:sz w:val="19"/>
          <w:szCs w:val="19"/>
          <w:color w:val="2A2A2A"/>
        </w:rPr>
        <w:t xml:space="preserve"> from filing or maintaining a claim for </w:t>
      </w:r>
      <w:r>
        <w:rPr>
          <w:rFonts w:ascii="Arial" w:cs="Arial" w:eastAsia="Arial" w:hAnsi="Arial"/>
          <w:sz w:val="19"/>
          <w:szCs w:val="19"/>
          <w:color w:val="3B3B3B"/>
        </w:rPr>
        <w:t>workers'</w:t>
      </w:r>
      <w:r>
        <w:rPr>
          <w:rFonts w:ascii="Arial" w:cs="Arial" w:eastAsia="Arial" w:hAnsi="Arial"/>
          <w:sz w:val="19"/>
          <w:szCs w:val="19"/>
          <w:color w:val="2A2A2A"/>
        </w:rPr>
        <w:t xml:space="preserve"> compensation, state disability insurance, </w:t>
      </w:r>
      <w:r>
        <w:rPr>
          <w:rFonts w:ascii="Arial" w:cs="Arial" w:eastAsia="Arial" w:hAnsi="Arial"/>
          <w:sz w:val="19"/>
          <w:szCs w:val="19"/>
          <w:color w:val="3B3B3B"/>
        </w:rPr>
        <w:t>or</w:t>
      </w:r>
      <w:r>
        <w:rPr>
          <w:rFonts w:ascii="Arial" w:cs="Arial" w:eastAsia="Arial" w:hAnsi="Arial"/>
          <w:sz w:val="19"/>
          <w:szCs w:val="19"/>
          <w:color w:val="2A2A2A"/>
        </w:rPr>
        <w:t xml:space="preserve"> unemployment insurance benefits</w:t>
      </w:r>
      <w:r>
        <w:rPr>
          <w:rFonts w:ascii="Arial" w:cs="Arial" w:eastAsia="Arial" w:hAnsi="Arial"/>
          <w:sz w:val="19"/>
          <w:szCs w:val="19"/>
          <w:color w:val="525254"/>
        </w:rPr>
        <w:t>,</w:t>
      </w:r>
      <w:r>
        <w:rPr>
          <w:rFonts w:ascii="Arial" w:cs="Arial" w:eastAsia="Arial" w:hAnsi="Arial"/>
          <w:sz w:val="19"/>
          <w:szCs w:val="19"/>
          <w:color w:val="2A2A2A"/>
        </w:rPr>
        <w:t xml:space="preserve"> and nothing in this </w:t>
      </w:r>
      <w:r>
        <w:rPr>
          <w:rFonts w:ascii="Arial" w:cs="Arial" w:eastAsia="Arial" w:hAnsi="Arial"/>
          <w:sz w:val="19"/>
          <w:szCs w:val="19"/>
          <w:color w:val="3B3B3B"/>
        </w:rPr>
        <w:t>section</w:t>
      </w:r>
      <w:r>
        <w:rPr>
          <w:rFonts w:ascii="Arial" w:cs="Arial" w:eastAsia="Arial" w:hAnsi="Arial"/>
          <w:sz w:val="19"/>
          <w:szCs w:val="19"/>
          <w:color w:val="2A2A2A"/>
        </w:rPr>
        <w:t xml:space="preserve"> shall be construed to prevent or excuse Executive or </w:t>
      </w:r>
      <w:r>
        <w:rPr>
          <w:rFonts w:ascii="Arial" w:cs="Arial" w:eastAsia="Arial" w:hAnsi="Arial"/>
          <w:sz w:val="19"/>
          <w:szCs w:val="19"/>
          <w:color w:val="3B3B3B"/>
        </w:rPr>
        <w:t>the</w:t>
      </w:r>
      <w:r>
        <w:rPr>
          <w:rFonts w:ascii="Arial" w:cs="Arial" w:eastAsia="Arial" w:hAnsi="Arial"/>
          <w:sz w:val="19"/>
          <w:szCs w:val="19"/>
          <w:color w:val="2A2A2A"/>
        </w:rPr>
        <w:t xml:space="preserve"> Company from using </w:t>
      </w:r>
      <w:r>
        <w:rPr>
          <w:rFonts w:ascii="Arial" w:cs="Arial" w:eastAsia="Arial" w:hAnsi="Arial"/>
          <w:sz w:val="19"/>
          <w:szCs w:val="19"/>
          <w:color w:val="3B3B3B"/>
        </w:rPr>
        <w:t>existing</w:t>
      </w:r>
      <w:r>
        <w:rPr>
          <w:rFonts w:ascii="Arial" w:cs="Arial" w:eastAsia="Arial" w:hAnsi="Arial"/>
          <w:sz w:val="19"/>
          <w:szCs w:val="19"/>
          <w:color w:val="2A2A2A"/>
        </w:rPr>
        <w:t xml:space="preserve"> internal procedures </w:t>
      </w:r>
      <w:r>
        <w:rPr>
          <w:rFonts w:ascii="Arial" w:cs="Arial" w:eastAsia="Arial" w:hAnsi="Arial"/>
          <w:sz w:val="19"/>
          <w:szCs w:val="19"/>
          <w:color w:val="3B3B3B"/>
        </w:rPr>
        <w:t>for</w:t>
      </w:r>
      <w:r>
        <w:rPr>
          <w:rFonts w:ascii="Arial" w:cs="Arial" w:eastAsia="Arial" w:hAnsi="Arial"/>
          <w:sz w:val="19"/>
          <w:szCs w:val="19"/>
          <w:color w:val="2A2A2A"/>
        </w:rPr>
        <w:t xml:space="preserve"> the resolution </w:t>
      </w:r>
      <w:r>
        <w:rPr>
          <w:rFonts w:ascii="Arial" w:cs="Arial" w:eastAsia="Arial" w:hAnsi="Arial"/>
          <w:sz w:val="19"/>
          <w:szCs w:val="19"/>
          <w:color w:val="3B3B3B"/>
        </w:rPr>
        <w:t>of</w:t>
      </w:r>
      <w:r>
        <w:rPr>
          <w:rFonts w:ascii="Arial" w:cs="Arial" w:eastAsia="Arial" w:hAnsi="Arial"/>
          <w:sz w:val="19"/>
          <w:szCs w:val="19"/>
          <w:color w:val="2A2A2A"/>
        </w:rPr>
        <w:t xml:space="preserve"> complaints. Employee may bring claims before administrative agencies when the law permits the agency to adjudicate those </w:t>
      </w:r>
      <w:r>
        <w:rPr>
          <w:rFonts w:ascii="Arial" w:cs="Arial" w:eastAsia="Arial" w:hAnsi="Arial"/>
          <w:sz w:val="19"/>
          <w:szCs w:val="19"/>
          <w:color w:val="3B3B3B"/>
        </w:rPr>
        <w:t>claims,</w:t>
      </w:r>
      <w:r>
        <w:rPr>
          <w:rFonts w:ascii="Arial" w:cs="Arial" w:eastAsia="Arial" w:hAnsi="Arial"/>
          <w:sz w:val="19"/>
          <w:szCs w:val="19"/>
          <w:color w:val="2A2A2A"/>
        </w:rPr>
        <w:t xml:space="preserve"> even </w:t>
      </w:r>
      <w:r>
        <w:rPr>
          <w:rFonts w:ascii="Arial" w:cs="Arial" w:eastAsia="Arial" w:hAnsi="Arial"/>
          <w:sz w:val="19"/>
          <w:szCs w:val="19"/>
          <w:color w:val="3B3B3B"/>
        </w:rPr>
        <w:t>when</w:t>
      </w:r>
      <w:r>
        <w:rPr>
          <w:rFonts w:ascii="Arial" w:cs="Arial" w:eastAsia="Arial" w:hAnsi="Arial"/>
          <w:sz w:val="19"/>
          <w:szCs w:val="19"/>
          <w:color w:val="2A2A2A"/>
        </w:rPr>
        <w:t xml:space="preserve"> there is an </w:t>
      </w:r>
      <w:r>
        <w:rPr>
          <w:rFonts w:ascii="Arial" w:cs="Arial" w:eastAsia="Arial" w:hAnsi="Arial"/>
          <w:sz w:val="19"/>
          <w:szCs w:val="19"/>
          <w:color w:val="3B3B3B"/>
        </w:rPr>
        <w:t xml:space="preserve">agreement to </w:t>
      </w:r>
      <w:r>
        <w:rPr>
          <w:rFonts w:ascii="Arial" w:cs="Arial" w:eastAsia="Arial" w:hAnsi="Arial"/>
          <w:sz w:val="19"/>
          <w:szCs w:val="19"/>
          <w:color w:val="2A2A2A"/>
        </w:rPr>
        <w:t>arbitrate</w:t>
      </w:r>
      <w:r>
        <w:rPr>
          <w:rFonts w:ascii="Arial" w:cs="Arial" w:eastAsia="Arial" w:hAnsi="Arial"/>
          <w:sz w:val="19"/>
          <w:szCs w:val="19"/>
          <w:color w:val="525254"/>
        </w:rPr>
        <w:t>;</w:t>
      </w:r>
      <w:r>
        <w:rPr>
          <w:rFonts w:ascii="Arial" w:cs="Arial" w:eastAsia="Arial" w:hAnsi="Arial"/>
          <w:sz w:val="19"/>
          <w:szCs w:val="19"/>
          <w:color w:val="3B3B3B"/>
        </w:rPr>
        <w:t xml:space="preserve"> examples include </w:t>
      </w:r>
      <w:r>
        <w:rPr>
          <w:rFonts w:ascii="Arial" w:cs="Arial" w:eastAsia="Arial" w:hAnsi="Arial"/>
          <w:sz w:val="19"/>
          <w:szCs w:val="19"/>
          <w:color w:val="2A2A2A"/>
        </w:rPr>
        <w:t>claims or charges with the United States</w:t>
      </w:r>
      <w:r>
        <w:rPr>
          <w:rFonts w:ascii="Arial" w:cs="Arial" w:eastAsia="Arial" w:hAnsi="Arial"/>
          <w:sz w:val="19"/>
          <w:szCs w:val="19"/>
          <w:color w:val="3B3B3B"/>
        </w:rPr>
        <w:t xml:space="preserve"> Equal Employment </w:t>
      </w:r>
      <w:r>
        <w:rPr>
          <w:rFonts w:ascii="Arial" w:cs="Arial" w:eastAsia="Arial" w:hAnsi="Arial"/>
          <w:sz w:val="19"/>
          <w:szCs w:val="19"/>
          <w:color w:val="2A2A2A"/>
        </w:rPr>
        <w:t>Opportunity</w:t>
      </w:r>
      <w:r>
        <w:rPr>
          <w:rFonts w:ascii="Arial" w:cs="Arial" w:eastAsia="Arial" w:hAnsi="Arial"/>
          <w:sz w:val="19"/>
          <w:szCs w:val="19"/>
          <w:color w:val="3B3B3B"/>
        </w:rPr>
        <w:t xml:space="preserve"> </w:t>
      </w:r>
      <w:r>
        <w:rPr>
          <w:rFonts w:ascii="Arial" w:cs="Arial" w:eastAsia="Arial" w:hAnsi="Arial"/>
          <w:sz w:val="19"/>
          <w:szCs w:val="19"/>
          <w:color w:val="2A2A2A"/>
        </w:rPr>
        <w:t xml:space="preserve">Commission </w:t>
      </w:r>
      <w:r>
        <w:rPr>
          <w:rFonts w:ascii="Arial" w:cs="Arial" w:eastAsia="Arial" w:hAnsi="Arial"/>
          <w:sz w:val="19"/>
          <w:szCs w:val="19"/>
          <w:color w:val="3B3B3B"/>
        </w:rPr>
        <w:t>(or</w:t>
      </w:r>
      <w:r>
        <w:rPr>
          <w:rFonts w:ascii="Arial" w:cs="Arial" w:eastAsia="Arial" w:hAnsi="Arial"/>
          <w:sz w:val="19"/>
          <w:szCs w:val="19"/>
          <w:color w:val="2A2A2A"/>
        </w:rPr>
        <w:t xml:space="preserve"> comparable state agency), </w:t>
      </w:r>
      <w:r>
        <w:rPr>
          <w:rFonts w:ascii="Arial" w:cs="Arial" w:eastAsia="Arial" w:hAnsi="Arial"/>
          <w:sz w:val="19"/>
          <w:szCs w:val="19"/>
          <w:color w:val="3B3B3B"/>
        </w:rPr>
        <w:t>the National</w:t>
      </w:r>
      <w:r>
        <w:rPr>
          <w:rFonts w:ascii="Arial" w:cs="Arial" w:eastAsia="Arial" w:hAnsi="Arial"/>
          <w:sz w:val="19"/>
          <w:szCs w:val="19"/>
          <w:color w:val="2A2A2A"/>
        </w:rPr>
        <w:t xml:space="preserve"> Labor Relations Board, the </w:t>
      </w:r>
      <w:r>
        <w:rPr>
          <w:rFonts w:ascii="Arial" w:cs="Arial" w:eastAsia="Arial" w:hAnsi="Arial"/>
          <w:sz w:val="19"/>
          <w:szCs w:val="19"/>
          <w:color w:val="3B3B3B"/>
        </w:rPr>
        <w:t>U.S.</w:t>
      </w:r>
      <w:r>
        <w:rPr>
          <w:rFonts w:ascii="Arial" w:cs="Arial" w:eastAsia="Arial" w:hAnsi="Arial"/>
          <w:sz w:val="19"/>
          <w:szCs w:val="19"/>
          <w:color w:val="2A2A2A"/>
        </w:rPr>
        <w:t xml:space="preserve"> Department </w:t>
      </w:r>
      <w:r>
        <w:rPr>
          <w:rFonts w:ascii="Arial" w:cs="Arial" w:eastAsia="Arial" w:hAnsi="Arial"/>
          <w:sz w:val="19"/>
          <w:szCs w:val="19"/>
          <w:color w:val="3B3B3B"/>
        </w:rPr>
        <w:t>of</w:t>
      </w:r>
      <w:r>
        <w:rPr>
          <w:rFonts w:ascii="Arial" w:cs="Arial" w:eastAsia="Arial" w:hAnsi="Arial"/>
          <w:sz w:val="19"/>
          <w:szCs w:val="19"/>
          <w:color w:val="2A2A2A"/>
        </w:rPr>
        <w:t xml:space="preserve"> Labor, </w:t>
      </w:r>
      <w:r>
        <w:rPr>
          <w:rFonts w:ascii="Arial" w:cs="Arial" w:eastAsia="Arial" w:hAnsi="Arial"/>
          <w:sz w:val="19"/>
          <w:szCs w:val="19"/>
          <w:color w:val="3B3B3B"/>
        </w:rPr>
        <w:t>or the</w:t>
      </w:r>
      <w:r>
        <w:rPr>
          <w:rFonts w:ascii="Arial" w:cs="Arial" w:eastAsia="Arial" w:hAnsi="Arial"/>
          <w:sz w:val="19"/>
          <w:szCs w:val="19"/>
          <w:color w:val="2A2A2A"/>
        </w:rPr>
        <w:t xml:space="preserve"> Office </w:t>
      </w:r>
      <w:r>
        <w:rPr>
          <w:rFonts w:ascii="Arial" w:cs="Arial" w:eastAsia="Arial" w:hAnsi="Arial"/>
          <w:sz w:val="19"/>
          <w:szCs w:val="19"/>
          <w:color w:val="3B3B3B"/>
        </w:rPr>
        <w:t xml:space="preserve">of </w:t>
      </w:r>
      <w:r>
        <w:rPr>
          <w:rFonts w:ascii="Arial" w:cs="Arial" w:eastAsia="Arial" w:hAnsi="Arial"/>
          <w:sz w:val="19"/>
          <w:szCs w:val="19"/>
          <w:color w:val="2A2A2A"/>
        </w:rPr>
        <w:t>Federal</w:t>
      </w:r>
      <w:r>
        <w:rPr>
          <w:rFonts w:ascii="Arial" w:cs="Arial" w:eastAsia="Arial" w:hAnsi="Arial"/>
          <w:sz w:val="19"/>
          <w:szCs w:val="19"/>
          <w:color w:val="3B3B3B"/>
        </w:rPr>
        <w:t xml:space="preserve"> Contract </w:t>
      </w:r>
      <w:r>
        <w:rPr>
          <w:rFonts w:ascii="Arial" w:cs="Arial" w:eastAsia="Arial" w:hAnsi="Arial"/>
          <w:sz w:val="19"/>
          <w:szCs w:val="19"/>
          <w:color w:val="2A2A2A"/>
        </w:rPr>
        <w:t>Compliance Programs.</w:t>
      </w:r>
      <w:r>
        <w:rPr>
          <w:rFonts w:ascii="Arial" w:cs="Arial" w:eastAsia="Arial" w:hAnsi="Arial"/>
          <w:sz w:val="19"/>
          <w:szCs w:val="19"/>
          <w:color w:val="3B3B3B"/>
        </w:rPr>
        <w:t xml:space="preserve"> Nothing </w:t>
      </w:r>
      <w:r>
        <w:rPr>
          <w:rFonts w:ascii="Arial" w:cs="Arial" w:eastAsia="Arial" w:hAnsi="Arial"/>
          <w:sz w:val="19"/>
          <w:szCs w:val="19"/>
          <w:color w:val="2A2A2A"/>
        </w:rPr>
        <w:t>in this Section</w:t>
      </w:r>
      <w:r>
        <w:rPr>
          <w:rFonts w:ascii="Arial" w:cs="Arial" w:eastAsia="Arial" w:hAnsi="Arial"/>
          <w:sz w:val="19"/>
          <w:szCs w:val="19"/>
          <w:color w:val="3B3B3B"/>
        </w:rPr>
        <w:t xml:space="preserve"> shall </w:t>
      </w:r>
      <w:r>
        <w:rPr>
          <w:rFonts w:ascii="Arial" w:cs="Arial" w:eastAsia="Arial" w:hAnsi="Arial"/>
          <w:sz w:val="19"/>
          <w:szCs w:val="19"/>
          <w:color w:val="2A2A2A"/>
        </w:rPr>
        <w:t>require</w:t>
      </w:r>
      <w:r>
        <w:rPr>
          <w:rFonts w:ascii="Arial" w:cs="Arial" w:eastAsia="Arial" w:hAnsi="Arial"/>
          <w:sz w:val="19"/>
          <w:szCs w:val="19"/>
          <w:color w:val="3B3B3B"/>
        </w:rPr>
        <w:t xml:space="preserve"> arbitration of </w:t>
      </w:r>
      <w:r>
        <w:rPr>
          <w:rFonts w:ascii="Arial" w:cs="Arial" w:eastAsia="Arial" w:hAnsi="Arial"/>
          <w:sz w:val="19"/>
          <w:szCs w:val="19"/>
          <w:color w:val="2A2A2A"/>
        </w:rPr>
        <w:t>disputes that are</w:t>
      </w:r>
      <w:r>
        <w:rPr>
          <w:rFonts w:ascii="Arial" w:cs="Arial" w:eastAsia="Arial" w:hAnsi="Arial"/>
          <w:sz w:val="19"/>
          <w:szCs w:val="19"/>
          <w:color w:val="3B3B3B"/>
        </w:rPr>
        <w:t xml:space="preserve"> excluded </w:t>
      </w:r>
      <w:r>
        <w:rPr>
          <w:rFonts w:ascii="Arial" w:cs="Arial" w:eastAsia="Arial" w:hAnsi="Arial"/>
          <w:sz w:val="19"/>
          <w:szCs w:val="19"/>
          <w:color w:val="2A2A2A"/>
        </w:rPr>
        <w:t>from</w:t>
      </w:r>
      <w:r>
        <w:rPr>
          <w:rFonts w:ascii="Arial" w:cs="Arial" w:eastAsia="Arial" w:hAnsi="Arial"/>
          <w:sz w:val="19"/>
          <w:szCs w:val="19"/>
          <w:color w:val="3B3B3B"/>
        </w:rPr>
        <w:t xml:space="preserve"> </w:t>
      </w:r>
      <w:r>
        <w:rPr>
          <w:rFonts w:ascii="Arial" w:cs="Arial" w:eastAsia="Arial" w:hAnsi="Arial"/>
          <w:sz w:val="19"/>
          <w:szCs w:val="19"/>
          <w:color w:val="2A2A2A"/>
        </w:rPr>
        <w:t>coverage by this section or by law.</w:t>
      </w:r>
    </w:p>
    <w:p>
      <w:pPr>
        <w:spacing w:after="0" w:line="180" w:lineRule="exact"/>
        <w:rPr>
          <w:sz w:val="20"/>
          <w:szCs w:val="20"/>
          <w:color w:val="auto"/>
        </w:rPr>
      </w:pPr>
    </w:p>
    <w:p>
      <w:pPr>
        <w:ind w:left="20" w:right="200" w:firstLine="353"/>
        <w:spacing w:after="0" w:line="242" w:lineRule="auto"/>
        <w:rPr>
          <w:sz w:val="20"/>
          <w:szCs w:val="20"/>
          <w:color w:val="auto"/>
        </w:rPr>
      </w:pPr>
      <w:r>
        <w:rPr>
          <w:rFonts w:ascii="Arial" w:cs="Arial" w:eastAsia="Arial" w:hAnsi="Arial"/>
          <w:sz w:val="20"/>
          <w:szCs w:val="20"/>
          <w:color w:val="2A2A2A"/>
        </w:rPr>
        <w:t xml:space="preserve">The </w:t>
      </w:r>
      <w:r>
        <w:rPr>
          <w:rFonts w:ascii="Arial" w:cs="Arial" w:eastAsia="Arial" w:hAnsi="Arial"/>
          <w:sz w:val="20"/>
          <w:szCs w:val="20"/>
          <w:color w:val="3B3B3B"/>
        </w:rPr>
        <w:t>Company</w:t>
      </w:r>
      <w:r>
        <w:rPr>
          <w:rFonts w:ascii="Arial" w:cs="Arial" w:eastAsia="Arial" w:hAnsi="Arial"/>
          <w:sz w:val="20"/>
          <w:szCs w:val="20"/>
          <w:color w:val="2A2A2A"/>
        </w:rPr>
        <w:t xml:space="preserve"> and </w:t>
      </w:r>
      <w:r>
        <w:rPr>
          <w:rFonts w:ascii="Arial" w:cs="Arial" w:eastAsia="Arial" w:hAnsi="Arial"/>
          <w:sz w:val="20"/>
          <w:szCs w:val="20"/>
          <w:color w:val="3B3B3B"/>
        </w:rPr>
        <w:t>Executive agree</w:t>
      </w:r>
      <w:r>
        <w:rPr>
          <w:rFonts w:ascii="Arial" w:cs="Arial" w:eastAsia="Arial" w:hAnsi="Arial"/>
          <w:sz w:val="20"/>
          <w:szCs w:val="20"/>
          <w:color w:val="2A2A2A"/>
        </w:rPr>
        <w:t xml:space="preserve"> that any dispute in </w:t>
      </w:r>
      <w:r>
        <w:rPr>
          <w:rFonts w:ascii="Arial" w:cs="Arial" w:eastAsia="Arial" w:hAnsi="Arial"/>
          <w:sz w:val="20"/>
          <w:szCs w:val="20"/>
          <w:color w:val="3B3B3B"/>
        </w:rPr>
        <w:t>arbitration</w:t>
      </w:r>
      <w:r>
        <w:rPr>
          <w:rFonts w:ascii="Arial" w:cs="Arial" w:eastAsia="Arial" w:hAnsi="Arial"/>
          <w:sz w:val="20"/>
          <w:szCs w:val="20"/>
          <w:color w:val="2A2A2A"/>
        </w:rPr>
        <w:t xml:space="preserve"> will </w:t>
      </w:r>
      <w:r>
        <w:rPr>
          <w:rFonts w:ascii="Arial" w:cs="Arial" w:eastAsia="Arial" w:hAnsi="Arial"/>
          <w:sz w:val="20"/>
          <w:szCs w:val="20"/>
          <w:color w:val="3B3B3B"/>
        </w:rPr>
        <w:t>be</w:t>
      </w:r>
      <w:r>
        <w:rPr>
          <w:rFonts w:ascii="Arial" w:cs="Arial" w:eastAsia="Arial" w:hAnsi="Arial"/>
          <w:sz w:val="20"/>
          <w:szCs w:val="20"/>
          <w:color w:val="2A2A2A"/>
        </w:rPr>
        <w:t xml:space="preserve"> brought on </w:t>
      </w:r>
      <w:r>
        <w:rPr>
          <w:rFonts w:ascii="Arial" w:cs="Arial" w:eastAsia="Arial" w:hAnsi="Arial"/>
          <w:sz w:val="20"/>
          <w:szCs w:val="20"/>
          <w:color w:val="3B3B3B"/>
        </w:rPr>
        <w:t>an</w:t>
      </w:r>
      <w:r>
        <w:rPr>
          <w:rFonts w:ascii="Arial" w:cs="Arial" w:eastAsia="Arial" w:hAnsi="Arial"/>
          <w:sz w:val="20"/>
          <w:szCs w:val="20"/>
          <w:color w:val="2A2A2A"/>
        </w:rPr>
        <w:t xml:space="preserve"> individual basis </w:t>
      </w:r>
      <w:r>
        <w:rPr>
          <w:rFonts w:ascii="Arial" w:cs="Arial" w:eastAsia="Arial" w:hAnsi="Arial"/>
          <w:sz w:val="20"/>
          <w:szCs w:val="20"/>
          <w:color w:val="3B3B3B"/>
        </w:rPr>
        <w:t>only</w:t>
      </w:r>
      <w:r>
        <w:rPr>
          <w:rFonts w:ascii="Arial" w:cs="Arial" w:eastAsia="Arial" w:hAnsi="Arial"/>
          <w:sz w:val="20"/>
          <w:szCs w:val="20"/>
          <w:color w:val="676767"/>
        </w:rPr>
        <w:t>,</w:t>
      </w:r>
      <w:r>
        <w:rPr>
          <w:rFonts w:ascii="Arial" w:cs="Arial" w:eastAsia="Arial" w:hAnsi="Arial"/>
          <w:sz w:val="20"/>
          <w:szCs w:val="20"/>
          <w:color w:val="2A2A2A"/>
        </w:rPr>
        <w:t xml:space="preserve"> and not </w:t>
      </w:r>
      <w:r>
        <w:rPr>
          <w:rFonts w:ascii="Arial" w:cs="Arial" w:eastAsia="Arial" w:hAnsi="Arial"/>
          <w:sz w:val="20"/>
          <w:szCs w:val="20"/>
          <w:color w:val="3B3B3B"/>
        </w:rPr>
        <w:t xml:space="preserve">on </w:t>
      </w:r>
      <w:r>
        <w:rPr>
          <w:rFonts w:ascii="Arial" w:cs="Arial" w:eastAsia="Arial" w:hAnsi="Arial"/>
          <w:sz w:val="20"/>
          <w:szCs w:val="20"/>
          <w:color w:val="2A2A2A"/>
        </w:rPr>
        <w:t>a class,</w:t>
      </w:r>
      <w:r>
        <w:rPr>
          <w:rFonts w:ascii="Arial" w:cs="Arial" w:eastAsia="Arial" w:hAnsi="Arial"/>
          <w:sz w:val="20"/>
          <w:szCs w:val="20"/>
          <w:color w:val="3B3B3B"/>
        </w:rPr>
        <w:t xml:space="preserve"> collective, </w:t>
      </w:r>
      <w:r>
        <w:rPr>
          <w:rFonts w:ascii="Arial" w:cs="Arial" w:eastAsia="Arial" w:hAnsi="Arial"/>
          <w:sz w:val="20"/>
          <w:szCs w:val="20"/>
          <w:color w:val="2A2A2A"/>
        </w:rPr>
        <w:t>or representative basis on behalf</w:t>
      </w:r>
      <w:r>
        <w:rPr>
          <w:rFonts w:ascii="Arial" w:cs="Arial" w:eastAsia="Arial" w:hAnsi="Arial"/>
          <w:sz w:val="20"/>
          <w:szCs w:val="20"/>
          <w:color w:val="3B3B3B"/>
        </w:rPr>
        <w:t xml:space="preserve"> of </w:t>
      </w:r>
      <w:r>
        <w:rPr>
          <w:rFonts w:ascii="Arial" w:cs="Arial" w:eastAsia="Arial" w:hAnsi="Arial"/>
          <w:sz w:val="20"/>
          <w:szCs w:val="20"/>
          <w:color w:val="2A2A2A"/>
        </w:rPr>
        <w:t>others</w:t>
      </w:r>
      <w:r>
        <w:rPr>
          <w:rFonts w:ascii="Arial" w:cs="Arial" w:eastAsia="Arial" w:hAnsi="Arial"/>
          <w:sz w:val="20"/>
          <w:szCs w:val="20"/>
          <w:color w:val="3B3B3B"/>
        </w:rPr>
        <w:t xml:space="preserve"> (this </w:t>
      </w:r>
      <w:r>
        <w:rPr>
          <w:rFonts w:ascii="Arial" w:cs="Arial" w:eastAsia="Arial" w:hAnsi="Arial"/>
          <w:sz w:val="20"/>
          <w:szCs w:val="20"/>
          <w:color w:val="2A2A2A"/>
        </w:rPr>
        <w:t>agreement to be referred to hereafter as the</w:t>
      </w:r>
      <w:r>
        <w:rPr>
          <w:rFonts w:ascii="Arial" w:cs="Arial" w:eastAsia="Arial" w:hAnsi="Arial"/>
          <w:sz w:val="20"/>
          <w:szCs w:val="20"/>
          <w:color w:val="3B3B3B"/>
        </w:rPr>
        <w:t xml:space="preserve"> "Class </w:t>
      </w:r>
      <w:r>
        <w:rPr>
          <w:rFonts w:ascii="Arial" w:cs="Arial" w:eastAsia="Arial" w:hAnsi="Arial"/>
          <w:sz w:val="20"/>
          <w:szCs w:val="20"/>
          <w:color w:val="2A2A2A"/>
        </w:rPr>
        <w:t>Action Waiver"</w:t>
      </w:r>
      <w:r>
        <w:rPr>
          <w:rFonts w:ascii="Arial" w:cs="Arial" w:eastAsia="Arial" w:hAnsi="Arial"/>
          <w:sz w:val="20"/>
          <w:szCs w:val="20"/>
          <w:color w:val="525254"/>
        </w:rPr>
        <w:t>)</w:t>
      </w:r>
      <w:r>
        <w:rPr>
          <w:rFonts w:ascii="Arial" w:cs="Arial" w:eastAsia="Arial" w:hAnsi="Arial"/>
          <w:sz w:val="20"/>
          <w:szCs w:val="20"/>
          <w:color w:val="2A2A2A"/>
        </w:rPr>
        <w:t xml:space="preserve">. </w:t>
      </w:r>
      <w:r>
        <w:rPr>
          <w:rFonts w:ascii="Arial" w:cs="Arial" w:eastAsia="Arial" w:hAnsi="Arial"/>
          <w:sz w:val="20"/>
          <w:szCs w:val="20"/>
          <w:color w:val="3B3B3B"/>
        </w:rPr>
        <w:t>The Class Action</w:t>
      </w:r>
      <w:r>
        <w:rPr>
          <w:rFonts w:ascii="Arial" w:cs="Arial" w:eastAsia="Arial" w:hAnsi="Arial"/>
          <w:sz w:val="20"/>
          <w:szCs w:val="20"/>
          <w:color w:val="2A2A2A"/>
        </w:rPr>
        <w:t xml:space="preserve"> Waiver does not </w:t>
      </w:r>
      <w:r>
        <w:rPr>
          <w:rFonts w:ascii="Arial" w:cs="Arial" w:eastAsia="Arial" w:hAnsi="Arial"/>
          <w:sz w:val="20"/>
          <w:szCs w:val="20"/>
          <w:color w:val="3B3B3B"/>
        </w:rPr>
        <w:t>apply</w:t>
      </w:r>
      <w:r>
        <w:rPr>
          <w:rFonts w:ascii="Arial" w:cs="Arial" w:eastAsia="Arial" w:hAnsi="Arial"/>
          <w:sz w:val="20"/>
          <w:szCs w:val="20"/>
          <w:color w:val="2A2A2A"/>
        </w:rPr>
        <w:t xml:space="preserve"> to any claim that </w:t>
      </w:r>
      <w:r>
        <w:rPr>
          <w:rFonts w:ascii="Arial" w:cs="Arial" w:eastAsia="Arial" w:hAnsi="Arial"/>
          <w:sz w:val="20"/>
          <w:szCs w:val="20"/>
          <w:color w:val="3B3B3B"/>
        </w:rPr>
        <w:t>Executive</w:t>
      </w:r>
      <w:r>
        <w:rPr>
          <w:rFonts w:ascii="Arial" w:cs="Arial" w:eastAsia="Arial" w:hAnsi="Arial"/>
          <w:sz w:val="20"/>
          <w:szCs w:val="20"/>
          <w:color w:val="2A2A2A"/>
        </w:rPr>
        <w:t xml:space="preserve"> brings </w:t>
      </w:r>
      <w:r>
        <w:rPr>
          <w:rFonts w:ascii="Arial" w:cs="Arial" w:eastAsia="Arial" w:hAnsi="Arial"/>
          <w:sz w:val="20"/>
          <w:szCs w:val="20"/>
          <w:color w:val="3B3B3B"/>
        </w:rPr>
        <w:t>on</w:t>
      </w:r>
      <w:r>
        <w:rPr>
          <w:rFonts w:ascii="Arial" w:cs="Arial" w:eastAsia="Arial" w:hAnsi="Arial"/>
          <w:sz w:val="20"/>
          <w:szCs w:val="20"/>
          <w:color w:val="2A2A2A"/>
        </w:rPr>
        <w:t xml:space="preserve"> behalf </w:t>
      </w:r>
      <w:r>
        <w:rPr>
          <w:rFonts w:ascii="Arial" w:cs="Arial" w:eastAsia="Arial" w:hAnsi="Arial"/>
          <w:sz w:val="20"/>
          <w:szCs w:val="20"/>
          <w:color w:val="3B3B3B"/>
        </w:rPr>
        <w:t>of</w:t>
      </w:r>
      <w:r>
        <w:rPr>
          <w:rFonts w:ascii="Arial" w:cs="Arial" w:eastAsia="Arial" w:hAnsi="Arial"/>
          <w:sz w:val="20"/>
          <w:szCs w:val="20"/>
          <w:color w:val="2A2A2A"/>
        </w:rPr>
        <w:t xml:space="preserve"> both herself </w:t>
      </w:r>
      <w:r>
        <w:rPr>
          <w:rFonts w:ascii="Arial" w:cs="Arial" w:eastAsia="Arial" w:hAnsi="Arial"/>
          <w:sz w:val="20"/>
          <w:szCs w:val="20"/>
          <w:color w:val="3B3B3B"/>
        </w:rPr>
        <w:t>and</w:t>
      </w:r>
      <w:r>
        <w:rPr>
          <w:rFonts w:ascii="Arial" w:cs="Arial" w:eastAsia="Arial" w:hAnsi="Arial"/>
          <w:sz w:val="20"/>
          <w:szCs w:val="20"/>
          <w:color w:val="2A2A2A"/>
        </w:rPr>
        <w:t xml:space="preserve"> </w:t>
      </w:r>
      <w:r>
        <w:rPr>
          <w:rFonts w:ascii="Arial" w:cs="Arial" w:eastAsia="Arial" w:hAnsi="Arial"/>
          <w:sz w:val="20"/>
          <w:szCs w:val="20"/>
          <w:color w:val="3B3B3B"/>
        </w:rPr>
        <w:t xml:space="preserve">others </w:t>
      </w:r>
      <w:r>
        <w:rPr>
          <w:rFonts w:ascii="Arial" w:cs="Arial" w:eastAsia="Arial" w:hAnsi="Arial"/>
          <w:sz w:val="20"/>
          <w:szCs w:val="20"/>
          <w:color w:val="2A2A2A"/>
        </w:rPr>
        <w:t>under</w:t>
      </w:r>
      <w:r>
        <w:rPr>
          <w:rFonts w:ascii="Arial" w:cs="Arial" w:eastAsia="Arial" w:hAnsi="Arial"/>
          <w:sz w:val="20"/>
          <w:szCs w:val="20"/>
          <w:color w:val="3B3B3B"/>
        </w:rPr>
        <w:t xml:space="preserve"> the California </w:t>
      </w:r>
      <w:r>
        <w:rPr>
          <w:rFonts w:ascii="Arial" w:cs="Arial" w:eastAsia="Arial" w:hAnsi="Arial"/>
          <w:sz w:val="20"/>
          <w:szCs w:val="20"/>
          <w:color w:val="2A2A2A"/>
        </w:rPr>
        <w:t>Private</w:t>
      </w:r>
      <w:r>
        <w:rPr>
          <w:rFonts w:ascii="Arial" w:cs="Arial" w:eastAsia="Arial" w:hAnsi="Arial"/>
          <w:sz w:val="20"/>
          <w:szCs w:val="20"/>
          <w:color w:val="3B3B3B"/>
        </w:rPr>
        <w:t xml:space="preserve"> Attorney </w:t>
      </w:r>
      <w:r>
        <w:rPr>
          <w:rFonts w:ascii="Arial" w:cs="Arial" w:eastAsia="Arial" w:hAnsi="Arial"/>
          <w:sz w:val="20"/>
          <w:szCs w:val="20"/>
          <w:color w:val="2A2A2A"/>
        </w:rPr>
        <w:t>General Act of</w:t>
      </w:r>
      <w:r>
        <w:rPr>
          <w:rFonts w:ascii="Arial" w:cs="Arial" w:eastAsia="Arial" w:hAnsi="Arial"/>
          <w:sz w:val="20"/>
          <w:szCs w:val="20"/>
          <w:color w:val="3B3B3B"/>
        </w:rPr>
        <w:t xml:space="preserve"> 2004. Executive will </w:t>
      </w:r>
      <w:r>
        <w:rPr>
          <w:rFonts w:ascii="Arial" w:cs="Arial" w:eastAsia="Arial" w:hAnsi="Arial"/>
          <w:sz w:val="20"/>
          <w:szCs w:val="20"/>
          <w:color w:val="2A2A2A"/>
        </w:rPr>
        <w:t>not</w:t>
      </w:r>
      <w:r>
        <w:rPr>
          <w:rFonts w:ascii="Arial" w:cs="Arial" w:eastAsia="Arial" w:hAnsi="Arial"/>
          <w:sz w:val="20"/>
          <w:szCs w:val="20"/>
          <w:color w:val="3B3B3B"/>
        </w:rPr>
        <w:t xml:space="preserve"> be subject </w:t>
      </w:r>
      <w:r>
        <w:rPr>
          <w:rFonts w:ascii="Arial" w:cs="Arial" w:eastAsia="Arial" w:hAnsi="Arial"/>
          <w:sz w:val="20"/>
          <w:szCs w:val="20"/>
          <w:color w:val="2A2A2A"/>
        </w:rPr>
        <w:t>to</w:t>
      </w:r>
      <w:r>
        <w:rPr>
          <w:rFonts w:ascii="Arial" w:cs="Arial" w:eastAsia="Arial" w:hAnsi="Arial"/>
          <w:sz w:val="20"/>
          <w:szCs w:val="20"/>
          <w:color w:val="3B3B3B"/>
        </w:rPr>
        <w:t xml:space="preserve"> any </w:t>
      </w:r>
      <w:r>
        <w:rPr>
          <w:rFonts w:ascii="Arial" w:cs="Arial" w:eastAsia="Arial" w:hAnsi="Arial"/>
          <w:sz w:val="20"/>
          <w:szCs w:val="20"/>
          <w:color w:val="2A2A2A"/>
        </w:rPr>
        <w:t>retaliation or</w:t>
      </w:r>
      <w:r>
        <w:rPr>
          <w:rFonts w:ascii="Arial" w:cs="Arial" w:eastAsia="Arial" w:hAnsi="Arial"/>
          <w:sz w:val="20"/>
          <w:szCs w:val="20"/>
          <w:color w:val="3B3B3B"/>
        </w:rPr>
        <w:t xml:space="preserve"> </w:t>
      </w:r>
      <w:r>
        <w:rPr>
          <w:rFonts w:ascii="Arial" w:cs="Arial" w:eastAsia="Arial" w:hAnsi="Arial"/>
          <w:sz w:val="20"/>
          <w:szCs w:val="20"/>
          <w:color w:val="2A2A2A"/>
        </w:rPr>
        <w:t xml:space="preserve">discrimination </w:t>
      </w:r>
      <w:r>
        <w:rPr>
          <w:rFonts w:ascii="Arial" w:cs="Arial" w:eastAsia="Arial" w:hAnsi="Arial"/>
          <w:sz w:val="17"/>
          <w:szCs w:val="17"/>
          <w:color w:val="3B3B3B"/>
        </w:rPr>
        <w:t>if</w:t>
      </w:r>
      <w:r>
        <w:rPr>
          <w:rFonts w:ascii="Arial" w:cs="Arial" w:eastAsia="Arial" w:hAnsi="Arial"/>
          <w:sz w:val="20"/>
          <w:szCs w:val="20"/>
          <w:color w:val="2A2A2A"/>
        </w:rPr>
        <w:t xml:space="preserve"> </w:t>
      </w:r>
      <w:r>
        <w:rPr>
          <w:rFonts w:ascii="Arial" w:cs="Arial" w:eastAsia="Arial" w:hAnsi="Arial"/>
          <w:sz w:val="20"/>
          <w:szCs w:val="20"/>
          <w:color w:val="3B3B3B"/>
        </w:rPr>
        <w:t>Executive seeks</w:t>
      </w:r>
      <w:r>
        <w:rPr>
          <w:rFonts w:ascii="Arial" w:cs="Arial" w:eastAsia="Arial" w:hAnsi="Arial"/>
          <w:sz w:val="20"/>
          <w:szCs w:val="20"/>
          <w:color w:val="2A2A2A"/>
        </w:rPr>
        <w:t xml:space="preserve"> to </w:t>
      </w:r>
      <w:r>
        <w:rPr>
          <w:rFonts w:ascii="Arial" w:cs="Arial" w:eastAsia="Arial" w:hAnsi="Arial"/>
          <w:sz w:val="20"/>
          <w:szCs w:val="20"/>
          <w:color w:val="3B3B3B"/>
        </w:rPr>
        <w:t>challenge this arbitration</w:t>
      </w:r>
      <w:r>
        <w:rPr>
          <w:rFonts w:ascii="Arial" w:cs="Arial" w:eastAsia="Arial" w:hAnsi="Arial"/>
          <w:sz w:val="20"/>
          <w:szCs w:val="20"/>
          <w:color w:val="2A2A2A"/>
        </w:rPr>
        <w:t xml:space="preserve"> provision </w:t>
      </w:r>
      <w:r>
        <w:rPr>
          <w:rFonts w:ascii="Arial" w:cs="Arial" w:eastAsia="Arial" w:hAnsi="Arial"/>
          <w:sz w:val="20"/>
          <w:szCs w:val="20"/>
          <w:color w:val="3B3B3B"/>
        </w:rPr>
        <w:t>or</w:t>
      </w:r>
      <w:r>
        <w:rPr>
          <w:rFonts w:ascii="Arial" w:cs="Arial" w:eastAsia="Arial" w:hAnsi="Arial"/>
          <w:sz w:val="20"/>
          <w:szCs w:val="20"/>
          <w:color w:val="2A2A2A"/>
        </w:rPr>
        <w:t xml:space="preserve"> participate in a </w:t>
      </w:r>
      <w:r>
        <w:rPr>
          <w:rFonts w:ascii="Arial" w:cs="Arial" w:eastAsia="Arial" w:hAnsi="Arial"/>
          <w:sz w:val="20"/>
          <w:szCs w:val="20"/>
          <w:color w:val="3B3B3B"/>
        </w:rPr>
        <w:t>class,</w:t>
      </w:r>
      <w:r>
        <w:rPr>
          <w:rFonts w:ascii="Arial" w:cs="Arial" w:eastAsia="Arial" w:hAnsi="Arial"/>
          <w:sz w:val="20"/>
          <w:szCs w:val="20"/>
          <w:color w:val="2A2A2A"/>
        </w:rPr>
        <w:t xml:space="preserve"> collective</w:t>
      </w:r>
      <w:r>
        <w:rPr>
          <w:rFonts w:ascii="Arial" w:cs="Arial" w:eastAsia="Arial" w:hAnsi="Arial"/>
          <w:sz w:val="20"/>
          <w:szCs w:val="20"/>
          <w:color w:val="525254"/>
        </w:rPr>
        <w:t>,</w:t>
      </w:r>
      <w:r>
        <w:rPr>
          <w:rFonts w:ascii="Arial" w:cs="Arial" w:eastAsia="Arial" w:hAnsi="Arial"/>
          <w:sz w:val="20"/>
          <w:szCs w:val="20"/>
          <w:color w:val="2A2A2A"/>
        </w:rPr>
        <w:t xml:space="preserve"> </w:t>
      </w:r>
      <w:r>
        <w:rPr>
          <w:rFonts w:ascii="Arial" w:cs="Arial" w:eastAsia="Arial" w:hAnsi="Arial"/>
          <w:sz w:val="20"/>
          <w:szCs w:val="20"/>
          <w:color w:val="3B3B3B"/>
        </w:rPr>
        <w:t>or</w:t>
      </w:r>
      <w:r>
        <w:rPr>
          <w:rFonts w:ascii="Arial" w:cs="Arial" w:eastAsia="Arial" w:hAnsi="Arial"/>
          <w:sz w:val="20"/>
          <w:szCs w:val="20"/>
          <w:color w:val="2A2A2A"/>
        </w:rPr>
        <w:t xml:space="preserve"> </w:t>
      </w:r>
      <w:r>
        <w:rPr>
          <w:rFonts w:ascii="Arial" w:cs="Arial" w:eastAsia="Arial" w:hAnsi="Arial"/>
          <w:sz w:val="20"/>
          <w:szCs w:val="20"/>
          <w:color w:val="3B3B3B"/>
        </w:rPr>
        <w:t xml:space="preserve">representative action </w:t>
      </w:r>
      <w:r>
        <w:rPr>
          <w:rFonts w:ascii="Arial" w:cs="Arial" w:eastAsia="Arial" w:hAnsi="Arial"/>
          <w:sz w:val="20"/>
          <w:szCs w:val="20"/>
          <w:color w:val="2A2A2A"/>
        </w:rPr>
        <w:t>in any</w:t>
      </w:r>
      <w:r>
        <w:rPr>
          <w:rFonts w:ascii="Arial" w:cs="Arial" w:eastAsia="Arial" w:hAnsi="Arial"/>
          <w:sz w:val="20"/>
          <w:szCs w:val="20"/>
          <w:color w:val="3B3B3B"/>
        </w:rPr>
        <w:t xml:space="preserve"> forum, </w:t>
      </w:r>
      <w:r>
        <w:rPr>
          <w:rFonts w:ascii="Arial" w:cs="Arial" w:eastAsia="Arial" w:hAnsi="Arial"/>
          <w:sz w:val="20"/>
          <w:szCs w:val="20"/>
          <w:color w:val="2A2A2A"/>
        </w:rPr>
        <w:t>but</w:t>
      </w:r>
      <w:r>
        <w:rPr>
          <w:rFonts w:ascii="Arial" w:cs="Arial" w:eastAsia="Arial" w:hAnsi="Arial"/>
          <w:sz w:val="20"/>
          <w:szCs w:val="20"/>
          <w:color w:val="3B3B3B"/>
        </w:rPr>
        <w:t xml:space="preserve"> </w:t>
      </w:r>
      <w:r>
        <w:rPr>
          <w:rFonts w:ascii="Arial" w:cs="Arial" w:eastAsia="Arial" w:hAnsi="Arial"/>
          <w:sz w:val="20"/>
          <w:szCs w:val="20"/>
          <w:color w:val="525254"/>
        </w:rPr>
        <w:t>Co</w:t>
      </w:r>
      <w:r>
        <w:rPr>
          <w:rFonts w:ascii="Arial" w:cs="Arial" w:eastAsia="Arial" w:hAnsi="Arial"/>
          <w:sz w:val="20"/>
          <w:szCs w:val="20"/>
          <w:color w:val="2A2A2A"/>
        </w:rPr>
        <w:t>mpany may lawfully seek</w:t>
      </w:r>
      <w:r>
        <w:rPr>
          <w:rFonts w:ascii="Arial" w:cs="Arial" w:eastAsia="Arial" w:hAnsi="Arial"/>
          <w:sz w:val="20"/>
          <w:szCs w:val="20"/>
          <w:color w:val="3B3B3B"/>
        </w:rPr>
        <w:t xml:space="preserve"> enforcement of </w:t>
      </w:r>
      <w:r>
        <w:rPr>
          <w:rFonts w:ascii="Arial" w:cs="Arial" w:eastAsia="Arial" w:hAnsi="Arial"/>
          <w:sz w:val="20"/>
          <w:szCs w:val="20"/>
          <w:color w:val="2A2A2A"/>
        </w:rPr>
        <w:t>this Agreement under the Federal</w:t>
      </w:r>
      <w:r>
        <w:rPr>
          <w:rFonts w:ascii="Arial" w:cs="Arial" w:eastAsia="Arial" w:hAnsi="Arial"/>
          <w:sz w:val="20"/>
          <w:szCs w:val="20"/>
          <w:color w:val="3B3B3B"/>
        </w:rPr>
        <w:t xml:space="preserve"> </w:t>
      </w:r>
      <w:r>
        <w:rPr>
          <w:rFonts w:ascii="Arial" w:cs="Arial" w:eastAsia="Arial" w:hAnsi="Arial"/>
          <w:sz w:val="20"/>
          <w:szCs w:val="20"/>
          <w:color w:val="2A2A2A"/>
        </w:rPr>
        <w:t xml:space="preserve">Arbitration Act and seek dismissal of any class, collective, or representative </w:t>
      </w:r>
      <w:r>
        <w:rPr>
          <w:rFonts w:ascii="Arial" w:cs="Arial" w:eastAsia="Arial" w:hAnsi="Arial"/>
          <w:sz w:val="20"/>
          <w:szCs w:val="20"/>
          <w:color w:val="3B3B3B"/>
        </w:rPr>
        <w:t>actions</w:t>
      </w:r>
      <w:r>
        <w:rPr>
          <w:rFonts w:ascii="Arial" w:cs="Arial" w:eastAsia="Arial" w:hAnsi="Arial"/>
          <w:sz w:val="20"/>
          <w:szCs w:val="20"/>
          <w:color w:val="2A2A2A"/>
        </w:rPr>
        <w:t xml:space="preserve"> or claims to </w:t>
      </w:r>
      <w:r>
        <w:rPr>
          <w:rFonts w:ascii="Arial" w:cs="Arial" w:eastAsia="Arial" w:hAnsi="Arial"/>
          <w:sz w:val="20"/>
          <w:szCs w:val="20"/>
          <w:color w:val="3B3B3B"/>
        </w:rPr>
        <w:t>the</w:t>
      </w:r>
      <w:r>
        <w:rPr>
          <w:rFonts w:ascii="Arial" w:cs="Arial" w:eastAsia="Arial" w:hAnsi="Arial"/>
          <w:sz w:val="20"/>
          <w:szCs w:val="20"/>
          <w:color w:val="2A2A2A"/>
        </w:rPr>
        <w:t xml:space="preserve"> fullest </w:t>
      </w:r>
      <w:r>
        <w:rPr>
          <w:rFonts w:ascii="Arial" w:cs="Arial" w:eastAsia="Arial" w:hAnsi="Arial"/>
          <w:sz w:val="20"/>
          <w:szCs w:val="20"/>
          <w:color w:val="3B3B3B"/>
        </w:rPr>
        <w:t>extent</w:t>
      </w:r>
      <w:r>
        <w:rPr>
          <w:rFonts w:ascii="Arial" w:cs="Arial" w:eastAsia="Arial" w:hAnsi="Arial"/>
          <w:sz w:val="20"/>
          <w:szCs w:val="20"/>
          <w:color w:val="2A2A2A"/>
        </w:rPr>
        <w:t xml:space="preserve"> allowed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483235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60"/>
          </w:cols>
          <w:pgMar w:left="820" w:top="649" w:right="1119" w:bottom="1440" w:gutter="0" w:footer="0" w:header="0"/>
        </w:sectPr>
      </w:pPr>
    </w:p>
    <w:bookmarkStart w:id="162" w:name="page163"/>
    <w:bookmarkEnd w:id="162"/>
    <w:p>
      <w:pPr>
        <w:ind w:left="393" w:hanging="393"/>
        <w:spacing w:after="0"/>
        <w:tabs>
          <w:tab w:leader="none" w:pos="393" w:val="left"/>
        </w:tabs>
        <w:numPr>
          <w:ilvl w:val="0"/>
          <w:numId w:val="185"/>
        </w:numPr>
        <w:rPr>
          <w:rFonts w:ascii="Arial" w:cs="Arial" w:eastAsia="Arial" w:hAnsi="Arial"/>
          <w:sz w:val="20"/>
          <w:szCs w:val="20"/>
          <w:b w:val="1"/>
          <w:bCs w:val="1"/>
          <w:color w:val="282828"/>
        </w:rPr>
      </w:pPr>
      <w:r>
        <w:rPr>
          <w:rFonts w:ascii="Arial" w:cs="Arial" w:eastAsia="Arial" w:hAnsi="Arial"/>
          <w:sz w:val="20"/>
          <w:szCs w:val="20"/>
          <w:b w:val="1"/>
          <w:bCs w:val="1"/>
          <w:color w:val="282828"/>
        </w:rPr>
        <w:t>Governing Law</w:t>
      </w:r>
    </w:p>
    <w:p>
      <w:pPr>
        <w:spacing w:after="0" w:line="222" w:lineRule="exact"/>
        <w:rPr>
          <w:sz w:val="20"/>
          <w:szCs w:val="20"/>
          <w:color w:val="auto"/>
        </w:rPr>
      </w:pPr>
    </w:p>
    <w:p>
      <w:pPr>
        <w:ind w:left="13" w:right="160" w:firstLine="352"/>
        <w:spacing w:after="0" w:line="246" w:lineRule="auto"/>
        <w:rPr>
          <w:sz w:val="20"/>
          <w:szCs w:val="20"/>
          <w:color w:val="auto"/>
        </w:rPr>
      </w:pPr>
      <w:r>
        <w:rPr>
          <w:rFonts w:ascii="Arial" w:cs="Arial" w:eastAsia="Arial" w:hAnsi="Arial"/>
          <w:sz w:val="20"/>
          <w:szCs w:val="20"/>
          <w:color w:val="282828"/>
        </w:rPr>
        <w:t xml:space="preserve">This Agreement </w:t>
      </w:r>
      <w:r>
        <w:rPr>
          <w:rFonts w:ascii="Arial" w:cs="Arial" w:eastAsia="Arial" w:hAnsi="Arial"/>
          <w:sz w:val="20"/>
          <w:szCs w:val="20"/>
          <w:color w:val="383838"/>
        </w:rPr>
        <w:t>shall</w:t>
      </w:r>
      <w:r>
        <w:rPr>
          <w:rFonts w:ascii="Arial" w:cs="Arial" w:eastAsia="Arial" w:hAnsi="Arial"/>
          <w:sz w:val="20"/>
          <w:szCs w:val="20"/>
          <w:color w:val="282828"/>
        </w:rPr>
        <w:t xml:space="preserve"> be </w:t>
      </w:r>
      <w:r>
        <w:rPr>
          <w:rFonts w:ascii="Arial" w:cs="Arial" w:eastAsia="Arial" w:hAnsi="Arial"/>
          <w:sz w:val="20"/>
          <w:szCs w:val="20"/>
          <w:color w:val="383838"/>
        </w:rPr>
        <w:t>governed</w:t>
      </w:r>
      <w:r>
        <w:rPr>
          <w:rFonts w:ascii="Arial" w:cs="Arial" w:eastAsia="Arial" w:hAnsi="Arial"/>
          <w:sz w:val="20"/>
          <w:szCs w:val="20"/>
          <w:color w:val="282828"/>
        </w:rPr>
        <w:t xml:space="preserve"> by </w:t>
      </w:r>
      <w:r>
        <w:rPr>
          <w:rFonts w:ascii="Arial" w:cs="Arial" w:eastAsia="Arial" w:hAnsi="Arial"/>
          <w:sz w:val="20"/>
          <w:szCs w:val="20"/>
          <w:color w:val="383838"/>
        </w:rPr>
        <w:t>and construed</w:t>
      </w:r>
      <w:r>
        <w:rPr>
          <w:rFonts w:ascii="Arial" w:cs="Arial" w:eastAsia="Arial" w:hAnsi="Arial"/>
          <w:sz w:val="20"/>
          <w:szCs w:val="20"/>
          <w:color w:val="282828"/>
        </w:rPr>
        <w:t xml:space="preserve"> in </w:t>
      </w:r>
      <w:r>
        <w:rPr>
          <w:rFonts w:ascii="Arial" w:cs="Arial" w:eastAsia="Arial" w:hAnsi="Arial"/>
          <w:sz w:val="20"/>
          <w:szCs w:val="20"/>
          <w:color w:val="383838"/>
        </w:rPr>
        <w:t>accordance with</w:t>
      </w:r>
      <w:r>
        <w:rPr>
          <w:rFonts w:ascii="Arial" w:cs="Arial" w:eastAsia="Arial" w:hAnsi="Arial"/>
          <w:sz w:val="20"/>
          <w:szCs w:val="20"/>
          <w:color w:val="282828"/>
        </w:rPr>
        <w:t xml:space="preserve"> the laws </w:t>
      </w:r>
      <w:r>
        <w:rPr>
          <w:rFonts w:ascii="Arial" w:cs="Arial" w:eastAsia="Arial" w:hAnsi="Arial"/>
          <w:sz w:val="20"/>
          <w:szCs w:val="20"/>
          <w:color w:val="383838"/>
        </w:rPr>
        <w:t>of</w:t>
      </w:r>
      <w:r>
        <w:rPr>
          <w:rFonts w:ascii="Arial" w:cs="Arial" w:eastAsia="Arial" w:hAnsi="Arial"/>
          <w:sz w:val="20"/>
          <w:szCs w:val="20"/>
          <w:color w:val="282828"/>
        </w:rPr>
        <w:t xml:space="preserve"> the </w:t>
      </w:r>
      <w:r>
        <w:rPr>
          <w:rFonts w:ascii="Arial" w:cs="Arial" w:eastAsia="Arial" w:hAnsi="Arial"/>
          <w:sz w:val="20"/>
          <w:szCs w:val="20"/>
          <w:color w:val="383838"/>
        </w:rPr>
        <w:t>State of California applicable</w:t>
      </w:r>
      <w:r>
        <w:rPr>
          <w:rFonts w:ascii="Arial" w:cs="Arial" w:eastAsia="Arial" w:hAnsi="Arial"/>
          <w:sz w:val="20"/>
          <w:szCs w:val="20"/>
          <w:color w:val="282828"/>
        </w:rPr>
        <w:t xml:space="preserve"> to contracts made and to be </w:t>
      </w:r>
      <w:r>
        <w:rPr>
          <w:rFonts w:ascii="Arial" w:cs="Arial" w:eastAsia="Arial" w:hAnsi="Arial"/>
          <w:sz w:val="20"/>
          <w:szCs w:val="20"/>
          <w:color w:val="383838"/>
        </w:rPr>
        <w:t>carried out in California. Each of</w:t>
      </w:r>
      <w:r>
        <w:rPr>
          <w:rFonts w:ascii="Arial" w:cs="Arial" w:eastAsia="Arial" w:hAnsi="Arial"/>
          <w:sz w:val="20"/>
          <w:szCs w:val="20"/>
          <w:color w:val="282828"/>
        </w:rPr>
        <w:t xml:space="preserve"> the parties agrees to </w:t>
      </w:r>
      <w:r>
        <w:rPr>
          <w:rFonts w:ascii="Arial" w:cs="Arial" w:eastAsia="Arial" w:hAnsi="Arial"/>
          <w:sz w:val="20"/>
          <w:szCs w:val="20"/>
          <w:color w:val="383838"/>
        </w:rPr>
        <w:t>submit</w:t>
      </w:r>
      <w:r>
        <w:rPr>
          <w:rFonts w:ascii="Arial" w:cs="Arial" w:eastAsia="Arial" w:hAnsi="Arial"/>
          <w:sz w:val="20"/>
          <w:szCs w:val="20"/>
          <w:color w:val="282828"/>
        </w:rPr>
        <w:t xml:space="preserve"> to the personal jurisdiction of any </w:t>
      </w:r>
      <w:r>
        <w:rPr>
          <w:rFonts w:ascii="Arial" w:cs="Arial" w:eastAsia="Arial" w:hAnsi="Arial"/>
          <w:sz w:val="20"/>
          <w:szCs w:val="20"/>
          <w:color w:val="383838"/>
        </w:rPr>
        <w:t xml:space="preserve">state or </w:t>
      </w:r>
      <w:r>
        <w:rPr>
          <w:rFonts w:ascii="Arial" w:cs="Arial" w:eastAsia="Arial" w:hAnsi="Arial"/>
          <w:sz w:val="20"/>
          <w:szCs w:val="20"/>
          <w:color w:val="282828"/>
        </w:rPr>
        <w:t>federal court</w:t>
      </w:r>
      <w:r>
        <w:rPr>
          <w:rFonts w:ascii="Arial" w:cs="Arial" w:eastAsia="Arial" w:hAnsi="Arial"/>
          <w:sz w:val="20"/>
          <w:szCs w:val="20"/>
          <w:color w:val="383838"/>
        </w:rPr>
        <w:t xml:space="preserve"> sitting in </w:t>
      </w:r>
      <w:r>
        <w:rPr>
          <w:rFonts w:ascii="Arial" w:cs="Arial" w:eastAsia="Arial" w:hAnsi="Arial"/>
          <w:sz w:val="20"/>
          <w:szCs w:val="20"/>
          <w:color w:val="282828"/>
        </w:rPr>
        <w:t>Los Angeles,</w:t>
      </w:r>
      <w:r>
        <w:rPr>
          <w:rFonts w:ascii="Arial" w:cs="Arial" w:eastAsia="Arial" w:hAnsi="Arial"/>
          <w:sz w:val="20"/>
          <w:szCs w:val="20"/>
          <w:color w:val="383838"/>
        </w:rPr>
        <w:t xml:space="preserve"> California in </w:t>
      </w:r>
      <w:r>
        <w:rPr>
          <w:rFonts w:ascii="Arial" w:cs="Arial" w:eastAsia="Arial" w:hAnsi="Arial"/>
          <w:sz w:val="20"/>
          <w:szCs w:val="20"/>
          <w:color w:val="282828"/>
        </w:rPr>
        <w:t>any</w:t>
      </w:r>
      <w:r>
        <w:rPr>
          <w:rFonts w:ascii="Arial" w:cs="Arial" w:eastAsia="Arial" w:hAnsi="Arial"/>
          <w:sz w:val="20"/>
          <w:szCs w:val="20"/>
          <w:color w:val="383838"/>
        </w:rPr>
        <w:t xml:space="preserve"> action </w:t>
      </w:r>
      <w:r>
        <w:rPr>
          <w:rFonts w:ascii="Arial" w:cs="Arial" w:eastAsia="Arial" w:hAnsi="Arial"/>
          <w:sz w:val="20"/>
          <w:szCs w:val="20"/>
          <w:color w:val="282828"/>
        </w:rPr>
        <w:t>or proceeding</w:t>
      </w:r>
      <w:r>
        <w:rPr>
          <w:rFonts w:ascii="Arial" w:cs="Arial" w:eastAsia="Arial" w:hAnsi="Arial"/>
          <w:sz w:val="20"/>
          <w:szCs w:val="20"/>
          <w:color w:val="383838"/>
        </w:rPr>
        <w:t xml:space="preserve"> arising </w:t>
      </w:r>
      <w:r>
        <w:rPr>
          <w:rFonts w:ascii="Arial" w:cs="Arial" w:eastAsia="Arial" w:hAnsi="Arial"/>
          <w:sz w:val="20"/>
          <w:szCs w:val="20"/>
          <w:color w:val="282828"/>
        </w:rPr>
        <w:t>out</w:t>
      </w:r>
      <w:r>
        <w:rPr>
          <w:rFonts w:ascii="Arial" w:cs="Arial" w:eastAsia="Arial" w:hAnsi="Arial"/>
          <w:sz w:val="20"/>
          <w:szCs w:val="20"/>
          <w:color w:val="383838"/>
        </w:rPr>
        <w:t xml:space="preserve"> of </w:t>
      </w:r>
      <w:r>
        <w:rPr>
          <w:rFonts w:ascii="Arial" w:cs="Arial" w:eastAsia="Arial" w:hAnsi="Arial"/>
          <w:sz w:val="20"/>
          <w:szCs w:val="20"/>
          <w:color w:val="282828"/>
        </w:rPr>
        <w:t>or relating to this</w:t>
      </w:r>
      <w:r>
        <w:rPr>
          <w:rFonts w:ascii="Arial" w:cs="Arial" w:eastAsia="Arial" w:hAnsi="Arial"/>
          <w:sz w:val="20"/>
          <w:szCs w:val="20"/>
          <w:color w:val="383838"/>
        </w:rPr>
        <w:t xml:space="preserve"> </w:t>
      </w:r>
      <w:r>
        <w:rPr>
          <w:rFonts w:ascii="Arial" w:cs="Arial" w:eastAsia="Arial" w:hAnsi="Arial"/>
          <w:sz w:val="20"/>
          <w:szCs w:val="20"/>
          <w:color w:val="282828"/>
        </w:rPr>
        <w:t>Agreement.</w:t>
      </w:r>
    </w:p>
    <w:p>
      <w:pPr>
        <w:spacing w:after="0" w:line="172" w:lineRule="exact"/>
        <w:rPr>
          <w:sz w:val="20"/>
          <w:szCs w:val="20"/>
          <w:color w:val="auto"/>
        </w:rPr>
      </w:pPr>
    </w:p>
    <w:p>
      <w:pPr>
        <w:ind w:left="413" w:hanging="413"/>
        <w:spacing w:after="0"/>
        <w:tabs>
          <w:tab w:leader="none" w:pos="413" w:val="left"/>
        </w:tabs>
        <w:numPr>
          <w:ilvl w:val="0"/>
          <w:numId w:val="186"/>
        </w:numPr>
        <w:rPr>
          <w:rFonts w:ascii="Arial" w:cs="Arial" w:eastAsia="Arial" w:hAnsi="Arial"/>
          <w:sz w:val="20"/>
          <w:szCs w:val="20"/>
          <w:b w:val="1"/>
          <w:bCs w:val="1"/>
          <w:color w:val="282828"/>
        </w:rPr>
      </w:pPr>
      <w:r>
        <w:rPr>
          <w:rFonts w:ascii="Arial" w:cs="Arial" w:eastAsia="Arial" w:hAnsi="Arial"/>
          <w:sz w:val="20"/>
          <w:szCs w:val="20"/>
          <w:b w:val="1"/>
          <w:bCs w:val="1"/>
          <w:color w:val="282828"/>
        </w:rPr>
        <w:t>Notice</w:t>
      </w:r>
    </w:p>
    <w:p>
      <w:pPr>
        <w:spacing w:after="0" w:line="222" w:lineRule="exact"/>
        <w:rPr>
          <w:sz w:val="20"/>
          <w:szCs w:val="20"/>
          <w:color w:val="auto"/>
        </w:rPr>
      </w:pPr>
    </w:p>
    <w:p>
      <w:pPr>
        <w:ind w:left="13" w:right="180" w:firstLine="345"/>
        <w:spacing w:after="0" w:line="291" w:lineRule="auto"/>
        <w:rPr>
          <w:sz w:val="20"/>
          <w:szCs w:val="20"/>
          <w:color w:val="auto"/>
        </w:rPr>
      </w:pPr>
      <w:r>
        <w:rPr>
          <w:rFonts w:ascii="Arial" w:cs="Arial" w:eastAsia="Arial" w:hAnsi="Arial"/>
          <w:sz w:val="18"/>
          <w:szCs w:val="18"/>
          <w:color w:val="282828"/>
        </w:rPr>
        <w:t xml:space="preserve">All notices and other communications under this Agreement </w:t>
      </w:r>
      <w:r>
        <w:rPr>
          <w:rFonts w:ascii="Arial" w:cs="Arial" w:eastAsia="Arial" w:hAnsi="Arial"/>
          <w:sz w:val="18"/>
          <w:szCs w:val="18"/>
          <w:color w:val="383838"/>
        </w:rPr>
        <w:t>shall</w:t>
      </w:r>
      <w:r>
        <w:rPr>
          <w:rFonts w:ascii="Arial" w:cs="Arial" w:eastAsia="Arial" w:hAnsi="Arial"/>
          <w:sz w:val="18"/>
          <w:szCs w:val="18"/>
          <w:color w:val="282828"/>
        </w:rPr>
        <w:t xml:space="preserve"> be in </w:t>
      </w:r>
      <w:r>
        <w:rPr>
          <w:rFonts w:ascii="Arial" w:cs="Arial" w:eastAsia="Arial" w:hAnsi="Arial"/>
          <w:sz w:val="18"/>
          <w:szCs w:val="18"/>
          <w:color w:val="383838"/>
        </w:rPr>
        <w:t>writing and</w:t>
      </w:r>
      <w:r>
        <w:rPr>
          <w:rFonts w:ascii="Arial" w:cs="Arial" w:eastAsia="Arial" w:hAnsi="Arial"/>
          <w:sz w:val="18"/>
          <w:szCs w:val="18"/>
          <w:color w:val="282828"/>
        </w:rPr>
        <w:t xml:space="preserve"> mailed, telegraphed</w:t>
      </w:r>
      <w:r>
        <w:rPr>
          <w:rFonts w:ascii="Arial" w:cs="Arial" w:eastAsia="Arial" w:hAnsi="Arial"/>
          <w:sz w:val="18"/>
          <w:szCs w:val="18"/>
          <w:color w:val="545454"/>
        </w:rPr>
        <w:t>,</w:t>
      </w:r>
      <w:r>
        <w:rPr>
          <w:rFonts w:ascii="Arial" w:cs="Arial" w:eastAsia="Arial" w:hAnsi="Arial"/>
          <w:sz w:val="18"/>
          <w:szCs w:val="18"/>
          <w:color w:val="282828"/>
        </w:rPr>
        <w:t xml:space="preserve"> telecopied</w:t>
      </w:r>
      <w:r>
        <w:rPr>
          <w:rFonts w:ascii="Arial" w:cs="Arial" w:eastAsia="Arial" w:hAnsi="Arial"/>
          <w:sz w:val="18"/>
          <w:szCs w:val="18"/>
          <w:color w:val="545454"/>
        </w:rPr>
        <w:t>,</w:t>
      </w:r>
      <w:r>
        <w:rPr>
          <w:rFonts w:ascii="Arial" w:cs="Arial" w:eastAsia="Arial" w:hAnsi="Arial"/>
          <w:sz w:val="18"/>
          <w:szCs w:val="18"/>
          <w:color w:val="282828"/>
        </w:rPr>
        <w:t xml:space="preserve"> or delivered </w:t>
      </w:r>
      <w:r>
        <w:rPr>
          <w:rFonts w:ascii="Arial" w:cs="Arial" w:eastAsia="Arial" w:hAnsi="Arial"/>
          <w:sz w:val="18"/>
          <w:szCs w:val="18"/>
          <w:color w:val="383838"/>
        </w:rPr>
        <w:t>by</w:t>
      </w:r>
      <w:r>
        <w:rPr>
          <w:rFonts w:ascii="Arial" w:cs="Arial" w:eastAsia="Arial" w:hAnsi="Arial"/>
          <w:sz w:val="18"/>
          <w:szCs w:val="18"/>
          <w:color w:val="282828"/>
        </w:rPr>
        <w:t xml:space="preserve"> hand </w:t>
      </w:r>
      <w:r>
        <w:rPr>
          <w:rFonts w:ascii="Arial" w:cs="Arial" w:eastAsia="Arial" w:hAnsi="Arial"/>
          <w:sz w:val="18"/>
          <w:szCs w:val="18"/>
          <w:color w:val="383838"/>
        </w:rPr>
        <w:t>(by a</w:t>
      </w:r>
      <w:r>
        <w:rPr>
          <w:rFonts w:ascii="Arial" w:cs="Arial" w:eastAsia="Arial" w:hAnsi="Arial"/>
          <w:sz w:val="18"/>
          <w:szCs w:val="18"/>
          <w:color w:val="282828"/>
        </w:rPr>
        <w:t xml:space="preserve"> party </w:t>
      </w:r>
      <w:r>
        <w:rPr>
          <w:rFonts w:ascii="Arial" w:cs="Arial" w:eastAsia="Arial" w:hAnsi="Arial"/>
          <w:sz w:val="18"/>
          <w:szCs w:val="18"/>
          <w:color w:val="383838"/>
        </w:rPr>
        <w:t>or a</w:t>
      </w:r>
      <w:r>
        <w:rPr>
          <w:rFonts w:ascii="Arial" w:cs="Arial" w:eastAsia="Arial" w:hAnsi="Arial"/>
          <w:sz w:val="18"/>
          <w:szCs w:val="18"/>
          <w:color w:val="282828"/>
        </w:rPr>
        <w:t xml:space="preserve"> recognized </w:t>
      </w:r>
      <w:r>
        <w:rPr>
          <w:rFonts w:ascii="Arial" w:cs="Arial" w:eastAsia="Arial" w:hAnsi="Arial"/>
          <w:sz w:val="18"/>
          <w:szCs w:val="18"/>
          <w:color w:val="383838"/>
        </w:rPr>
        <w:t>courier service)</w:t>
      </w:r>
      <w:r>
        <w:rPr>
          <w:rFonts w:ascii="Arial" w:cs="Arial" w:eastAsia="Arial" w:hAnsi="Arial"/>
          <w:sz w:val="18"/>
          <w:szCs w:val="18"/>
          <w:color w:val="282828"/>
        </w:rPr>
        <w:t xml:space="preserve"> to the other party at the following </w:t>
      </w:r>
      <w:r>
        <w:rPr>
          <w:rFonts w:ascii="Arial" w:cs="Arial" w:eastAsia="Arial" w:hAnsi="Arial"/>
          <w:sz w:val="18"/>
          <w:szCs w:val="18"/>
          <w:color w:val="383838"/>
        </w:rPr>
        <w:t>address (or to</w:t>
      </w:r>
      <w:r>
        <w:rPr>
          <w:rFonts w:ascii="Arial" w:cs="Arial" w:eastAsia="Arial" w:hAnsi="Arial"/>
          <w:sz w:val="18"/>
          <w:szCs w:val="18"/>
          <w:color w:val="282828"/>
        </w:rPr>
        <w:t xml:space="preserve"> such other </w:t>
      </w:r>
      <w:r>
        <w:rPr>
          <w:rFonts w:ascii="Arial" w:cs="Arial" w:eastAsia="Arial" w:hAnsi="Arial"/>
          <w:sz w:val="18"/>
          <w:szCs w:val="18"/>
          <w:color w:val="383838"/>
        </w:rPr>
        <w:t xml:space="preserve">address </w:t>
      </w:r>
      <w:r>
        <w:rPr>
          <w:rFonts w:ascii="Arial" w:cs="Arial" w:eastAsia="Arial" w:hAnsi="Arial"/>
          <w:sz w:val="18"/>
          <w:szCs w:val="18"/>
          <w:color w:val="282828"/>
        </w:rPr>
        <w:t>as</w:t>
      </w:r>
      <w:r>
        <w:rPr>
          <w:rFonts w:ascii="Arial" w:cs="Arial" w:eastAsia="Arial" w:hAnsi="Arial"/>
          <w:sz w:val="18"/>
          <w:szCs w:val="18"/>
          <w:color w:val="383838"/>
        </w:rPr>
        <w:t xml:space="preserve"> such </w:t>
      </w:r>
      <w:r>
        <w:rPr>
          <w:rFonts w:ascii="Arial" w:cs="Arial" w:eastAsia="Arial" w:hAnsi="Arial"/>
          <w:sz w:val="18"/>
          <w:szCs w:val="18"/>
          <w:color w:val="282828"/>
        </w:rPr>
        <w:t>party may have</w:t>
      </w:r>
      <w:r>
        <w:rPr>
          <w:rFonts w:ascii="Arial" w:cs="Arial" w:eastAsia="Arial" w:hAnsi="Arial"/>
          <w:sz w:val="18"/>
          <w:szCs w:val="18"/>
          <w:color w:val="383838"/>
        </w:rPr>
        <w:t xml:space="preserve"> specified </w:t>
      </w:r>
      <w:r>
        <w:rPr>
          <w:rFonts w:ascii="Arial" w:cs="Arial" w:eastAsia="Arial" w:hAnsi="Arial"/>
          <w:sz w:val="18"/>
          <w:szCs w:val="18"/>
          <w:color w:val="282828"/>
        </w:rPr>
        <w:t>by notice</w:t>
      </w:r>
      <w:r>
        <w:rPr>
          <w:rFonts w:ascii="Arial" w:cs="Arial" w:eastAsia="Arial" w:hAnsi="Arial"/>
          <w:sz w:val="18"/>
          <w:szCs w:val="18"/>
          <w:color w:val="383838"/>
        </w:rPr>
        <w:t xml:space="preserve"> given </w:t>
      </w:r>
      <w:r>
        <w:rPr>
          <w:rFonts w:ascii="Arial" w:cs="Arial" w:eastAsia="Arial" w:hAnsi="Arial"/>
          <w:sz w:val="18"/>
          <w:szCs w:val="18"/>
          <w:color w:val="282828"/>
        </w:rPr>
        <w:t>to the other party pursuant to</w:t>
      </w:r>
      <w:r>
        <w:rPr>
          <w:rFonts w:ascii="Arial" w:cs="Arial" w:eastAsia="Arial" w:hAnsi="Arial"/>
          <w:sz w:val="18"/>
          <w:szCs w:val="18"/>
          <w:color w:val="383838"/>
        </w:rPr>
        <w:t xml:space="preserve"> this </w:t>
      </w:r>
      <w:r>
        <w:rPr>
          <w:rFonts w:ascii="Arial" w:cs="Arial" w:eastAsia="Arial" w:hAnsi="Arial"/>
          <w:sz w:val="18"/>
          <w:szCs w:val="18"/>
          <w:color w:val="282828"/>
        </w:rPr>
        <w:t>provision):</w:t>
      </w:r>
    </w:p>
    <w:p>
      <w:pPr>
        <w:spacing w:after="0" w:line="155" w:lineRule="exact"/>
        <w:rPr>
          <w:sz w:val="20"/>
          <w:szCs w:val="20"/>
          <w:color w:val="auto"/>
        </w:rPr>
      </w:pPr>
    </w:p>
    <w:p>
      <w:pPr>
        <w:ind w:left="1233"/>
        <w:spacing w:after="0"/>
        <w:rPr>
          <w:sz w:val="20"/>
          <w:szCs w:val="20"/>
          <w:color w:val="auto"/>
        </w:rPr>
      </w:pPr>
      <w:r>
        <w:rPr>
          <w:rFonts w:ascii="Arial" w:cs="Arial" w:eastAsia="Arial" w:hAnsi="Arial"/>
          <w:sz w:val="21"/>
          <w:szCs w:val="21"/>
          <w:color w:val="282828"/>
        </w:rPr>
        <w:t xml:space="preserve">If </w:t>
      </w:r>
      <w:r>
        <w:rPr>
          <w:rFonts w:ascii="Arial" w:cs="Arial" w:eastAsia="Arial" w:hAnsi="Arial"/>
          <w:sz w:val="19"/>
          <w:szCs w:val="19"/>
          <w:color w:val="282828"/>
        </w:rPr>
        <w:t>to the Company:</w:t>
      </w:r>
    </w:p>
    <w:p>
      <w:pPr>
        <w:spacing w:after="0" w:line="14" w:lineRule="exact"/>
        <w:rPr>
          <w:sz w:val="20"/>
          <w:szCs w:val="20"/>
          <w:color w:val="auto"/>
        </w:rPr>
      </w:pPr>
    </w:p>
    <w:p>
      <w:pPr>
        <w:ind w:left="1213"/>
        <w:spacing w:after="0"/>
        <w:rPr>
          <w:sz w:val="20"/>
          <w:szCs w:val="20"/>
          <w:color w:val="auto"/>
        </w:rPr>
      </w:pPr>
      <w:r>
        <w:rPr>
          <w:rFonts w:ascii="Arial" w:cs="Arial" w:eastAsia="Arial" w:hAnsi="Arial"/>
          <w:sz w:val="20"/>
          <w:szCs w:val="20"/>
          <w:color w:val="383838"/>
        </w:rPr>
        <w:t xml:space="preserve">AVITA </w:t>
      </w:r>
      <w:r>
        <w:rPr>
          <w:rFonts w:ascii="Arial" w:cs="Arial" w:eastAsia="Arial" w:hAnsi="Arial"/>
          <w:sz w:val="20"/>
          <w:szCs w:val="20"/>
          <w:color w:val="282828"/>
        </w:rPr>
        <w:t>Medical Americas,</w:t>
      </w:r>
      <w:r>
        <w:rPr>
          <w:rFonts w:ascii="Arial" w:cs="Arial" w:eastAsia="Arial" w:hAnsi="Arial"/>
          <w:sz w:val="20"/>
          <w:szCs w:val="20"/>
          <w:color w:val="383838"/>
        </w:rPr>
        <w:t xml:space="preserve"> LLC</w:t>
      </w:r>
      <w:r>
        <w:rPr>
          <w:rFonts w:ascii="Arial" w:cs="Arial" w:eastAsia="Arial" w:hAnsi="Arial"/>
          <w:sz w:val="20"/>
          <w:szCs w:val="20"/>
          <w:color w:val="282828"/>
        </w:rPr>
        <w:t>28159</w:t>
      </w:r>
      <w:r>
        <w:rPr>
          <w:rFonts w:ascii="Arial" w:cs="Arial" w:eastAsia="Arial" w:hAnsi="Arial"/>
          <w:sz w:val="20"/>
          <w:szCs w:val="20"/>
          <w:color w:val="383838"/>
        </w:rPr>
        <w:t xml:space="preserve"> Avenue</w:t>
      </w:r>
    </w:p>
    <w:p>
      <w:pPr>
        <w:ind w:left="1213"/>
        <w:spacing w:after="0"/>
        <w:rPr>
          <w:sz w:val="20"/>
          <w:szCs w:val="20"/>
          <w:color w:val="auto"/>
        </w:rPr>
      </w:pPr>
      <w:r>
        <w:rPr>
          <w:rFonts w:ascii="Arial" w:cs="Arial" w:eastAsia="Arial" w:hAnsi="Arial"/>
          <w:sz w:val="20"/>
          <w:szCs w:val="20"/>
          <w:color w:val="282828"/>
        </w:rPr>
        <w:t>Stanford</w:t>
      </w:r>
    </w:p>
    <w:p>
      <w:pPr>
        <w:ind w:left="1233"/>
        <w:spacing w:after="0"/>
        <w:rPr>
          <w:sz w:val="20"/>
          <w:szCs w:val="20"/>
          <w:color w:val="auto"/>
        </w:rPr>
      </w:pPr>
      <w:r>
        <w:rPr>
          <w:rFonts w:ascii="Arial" w:cs="Arial" w:eastAsia="Arial" w:hAnsi="Arial"/>
          <w:sz w:val="20"/>
          <w:szCs w:val="20"/>
          <w:color w:val="383838"/>
        </w:rPr>
        <w:t>Suite 220</w:t>
      </w:r>
    </w:p>
    <w:p>
      <w:pPr>
        <w:ind w:left="1233"/>
        <w:spacing w:after="0"/>
        <w:rPr>
          <w:sz w:val="20"/>
          <w:szCs w:val="20"/>
          <w:color w:val="auto"/>
        </w:rPr>
      </w:pPr>
      <w:r>
        <w:rPr>
          <w:rFonts w:ascii="Arial" w:cs="Arial" w:eastAsia="Arial" w:hAnsi="Arial"/>
          <w:sz w:val="20"/>
          <w:szCs w:val="20"/>
          <w:color w:val="282828"/>
        </w:rPr>
        <w:t xml:space="preserve">Valencia, </w:t>
      </w:r>
      <w:r>
        <w:rPr>
          <w:rFonts w:ascii="Arial" w:cs="Arial" w:eastAsia="Arial" w:hAnsi="Arial"/>
          <w:sz w:val="20"/>
          <w:szCs w:val="20"/>
          <w:color w:val="383838"/>
        </w:rPr>
        <w:t>CA 91355</w:t>
      </w:r>
    </w:p>
    <w:p>
      <w:pPr>
        <w:spacing w:after="0" w:line="203" w:lineRule="exact"/>
        <w:rPr>
          <w:sz w:val="20"/>
          <w:szCs w:val="20"/>
          <w:color w:val="auto"/>
        </w:rPr>
      </w:pPr>
    </w:p>
    <w:p>
      <w:pPr>
        <w:ind w:left="1233"/>
        <w:spacing w:after="0"/>
        <w:rPr>
          <w:sz w:val="20"/>
          <w:szCs w:val="20"/>
          <w:color w:val="auto"/>
        </w:rPr>
      </w:pPr>
      <w:r>
        <w:rPr>
          <w:rFonts w:ascii="Arial" w:cs="Arial" w:eastAsia="Arial" w:hAnsi="Arial"/>
          <w:sz w:val="21"/>
          <w:szCs w:val="21"/>
          <w:color w:val="383838"/>
        </w:rPr>
        <w:t xml:space="preserve">If </w:t>
      </w:r>
      <w:r>
        <w:rPr>
          <w:rFonts w:ascii="Arial" w:cs="Arial" w:eastAsia="Arial" w:hAnsi="Arial"/>
          <w:sz w:val="19"/>
          <w:szCs w:val="19"/>
          <w:color w:val="282828"/>
        </w:rPr>
        <w:t>to</w:t>
      </w:r>
      <w:r>
        <w:rPr>
          <w:rFonts w:ascii="Arial" w:cs="Arial" w:eastAsia="Arial" w:hAnsi="Arial"/>
          <w:sz w:val="21"/>
          <w:szCs w:val="21"/>
          <w:color w:val="383838"/>
        </w:rPr>
        <w:t xml:space="preserve"> </w:t>
      </w:r>
      <w:r>
        <w:rPr>
          <w:rFonts w:ascii="Arial" w:cs="Arial" w:eastAsia="Arial" w:hAnsi="Arial"/>
          <w:sz w:val="19"/>
          <w:szCs w:val="19"/>
          <w:color w:val="383838"/>
        </w:rPr>
        <w:t>Executive:</w:t>
      </w:r>
    </w:p>
    <w:p>
      <w:pPr>
        <w:ind w:left="1233"/>
        <w:spacing w:after="0"/>
        <w:rPr>
          <w:sz w:val="20"/>
          <w:szCs w:val="20"/>
          <w:color w:val="auto"/>
        </w:rPr>
      </w:pPr>
      <w:r>
        <w:rPr>
          <w:rFonts w:ascii="Arial" w:cs="Arial" w:eastAsia="Arial" w:hAnsi="Arial"/>
          <w:sz w:val="20"/>
          <w:szCs w:val="20"/>
          <w:color w:val="383838"/>
        </w:rPr>
        <w:t xml:space="preserve">Michael </w:t>
      </w:r>
      <w:r>
        <w:rPr>
          <w:rFonts w:ascii="Arial" w:cs="Arial" w:eastAsia="Arial" w:hAnsi="Arial"/>
          <w:sz w:val="20"/>
          <w:szCs w:val="20"/>
          <w:color w:val="282828"/>
        </w:rPr>
        <w:t>Holder</w:t>
      </w:r>
    </w:p>
    <w:p>
      <w:pPr>
        <w:ind w:left="33" w:right="4720" w:firstLine="1211"/>
        <w:spacing w:after="0" w:line="449" w:lineRule="auto"/>
        <w:rPr>
          <w:sz w:val="20"/>
          <w:szCs w:val="20"/>
          <w:color w:val="auto"/>
        </w:rPr>
      </w:pPr>
      <w:r>
        <w:rPr>
          <w:rFonts w:ascii="Arial" w:cs="Arial" w:eastAsia="Arial" w:hAnsi="Arial"/>
          <w:sz w:val="20"/>
          <w:szCs w:val="20"/>
          <w:color w:val="282828"/>
        </w:rPr>
        <w:t xml:space="preserve">At current home address on file </w:t>
      </w:r>
      <w:r>
        <w:rPr>
          <w:rFonts w:ascii="Arial" w:cs="Arial" w:eastAsia="Arial" w:hAnsi="Arial"/>
          <w:sz w:val="20"/>
          <w:szCs w:val="20"/>
          <w:color w:val="383838"/>
        </w:rPr>
        <w:t>with</w:t>
      </w:r>
      <w:r>
        <w:rPr>
          <w:rFonts w:ascii="Arial" w:cs="Arial" w:eastAsia="Arial" w:hAnsi="Arial"/>
          <w:sz w:val="20"/>
          <w:szCs w:val="20"/>
          <w:color w:val="282828"/>
        </w:rPr>
        <w:t xml:space="preserve"> the </w:t>
      </w:r>
      <w:r>
        <w:rPr>
          <w:rFonts w:ascii="Arial" w:cs="Arial" w:eastAsia="Arial" w:hAnsi="Arial"/>
          <w:sz w:val="20"/>
          <w:szCs w:val="20"/>
          <w:color w:val="383838"/>
        </w:rPr>
        <w:t>Company</w:t>
      </w:r>
      <w:r>
        <w:rPr>
          <w:rFonts w:ascii="Arial" w:cs="Arial" w:eastAsia="Arial" w:hAnsi="Arial"/>
          <w:sz w:val="20"/>
          <w:szCs w:val="20"/>
          <w:color w:val="282828"/>
        </w:rPr>
        <w:t xml:space="preserve"> </w:t>
      </w:r>
      <w:r>
        <w:rPr>
          <w:rFonts w:ascii="Arial" w:cs="Arial" w:eastAsia="Arial" w:hAnsi="Arial"/>
          <w:sz w:val="20"/>
          <w:szCs w:val="20"/>
          <w:b w:val="1"/>
          <w:bCs w:val="1"/>
          <w:color w:val="282828"/>
        </w:rPr>
        <w:t>10. Miscellaneous</w:t>
      </w:r>
    </w:p>
    <w:tbl>
      <w:tblPr>
        <w:tblLayout w:type="fixed"/>
        <w:tblInd w:w="33" w:type="dxa"/>
        <w:tblCellMar>
          <w:top w:w="0" w:type="dxa"/>
          <w:left w:w="0" w:type="dxa"/>
          <w:bottom w:w="0" w:type="dxa"/>
          <w:right w:w="0" w:type="dxa"/>
        </w:tblCellMar>
      </w:tblPr>
      <w:tr>
        <w:trPr>
          <w:trHeight w:val="207"/>
        </w:trPr>
        <w:tc>
          <w:tcPr>
            <w:tcW w:w="1700" w:type="dxa"/>
            <w:vAlign w:val="bottom"/>
          </w:tcPr>
          <w:p>
            <w:pPr>
              <w:ind w:left="700"/>
              <w:spacing w:after="0" w:line="207" w:lineRule="exact"/>
              <w:rPr>
                <w:sz w:val="20"/>
                <w:szCs w:val="20"/>
                <w:color w:val="auto"/>
              </w:rPr>
            </w:pPr>
            <w:r>
              <w:rPr>
                <w:rFonts w:ascii="Arial" w:cs="Arial" w:eastAsia="Arial" w:hAnsi="Arial"/>
                <w:sz w:val="20"/>
                <w:szCs w:val="20"/>
                <w:color w:val="282828"/>
              </w:rPr>
              <w:t>10.1</w:t>
            </w:r>
          </w:p>
        </w:tc>
        <w:tc>
          <w:tcPr>
            <w:tcW w:w="8020" w:type="dxa"/>
            <w:vAlign w:val="bottom"/>
            <w:gridSpan w:val="4"/>
          </w:tcPr>
          <w:p>
            <w:pPr>
              <w:spacing w:after="0" w:line="207" w:lineRule="exact"/>
              <w:rPr>
                <w:sz w:val="20"/>
                <w:szCs w:val="20"/>
                <w:color w:val="auto"/>
              </w:rPr>
            </w:pPr>
            <w:r>
              <w:rPr>
                <w:rFonts w:ascii="Arial" w:cs="Arial" w:eastAsia="Arial" w:hAnsi="Arial"/>
                <w:sz w:val="20"/>
                <w:szCs w:val="20"/>
                <w:color w:val="282828"/>
                <w:w w:val="97"/>
              </w:rPr>
              <w:t xml:space="preserve">Binding Agreement. </w:t>
            </w:r>
            <w:r>
              <w:rPr>
                <w:rFonts w:ascii="Arial" w:cs="Arial" w:eastAsia="Arial" w:hAnsi="Arial"/>
                <w:sz w:val="20"/>
                <w:szCs w:val="20"/>
                <w:color w:val="383838"/>
                <w:w w:val="97"/>
              </w:rPr>
              <w:t>This Agreement shall</w:t>
            </w:r>
            <w:r>
              <w:rPr>
                <w:rFonts w:ascii="Arial" w:cs="Arial" w:eastAsia="Arial" w:hAnsi="Arial"/>
                <w:sz w:val="20"/>
                <w:szCs w:val="20"/>
                <w:color w:val="282828"/>
                <w:w w:val="97"/>
              </w:rPr>
              <w:t xml:space="preserve"> inure to </w:t>
            </w:r>
            <w:r>
              <w:rPr>
                <w:rFonts w:ascii="Arial" w:cs="Arial" w:eastAsia="Arial" w:hAnsi="Arial"/>
                <w:sz w:val="20"/>
                <w:szCs w:val="20"/>
                <w:color w:val="383838"/>
                <w:w w:val="97"/>
              </w:rPr>
              <w:t>the</w:t>
            </w:r>
            <w:r>
              <w:rPr>
                <w:rFonts w:ascii="Arial" w:cs="Arial" w:eastAsia="Arial" w:hAnsi="Arial"/>
                <w:sz w:val="20"/>
                <w:szCs w:val="20"/>
                <w:color w:val="282828"/>
                <w:w w:val="97"/>
              </w:rPr>
              <w:t xml:space="preserve"> benefit </w:t>
            </w:r>
            <w:r>
              <w:rPr>
                <w:rFonts w:ascii="Arial" w:cs="Arial" w:eastAsia="Arial" w:hAnsi="Arial"/>
                <w:sz w:val="20"/>
                <w:szCs w:val="20"/>
                <w:color w:val="383838"/>
                <w:w w:val="97"/>
              </w:rPr>
              <w:t>of and shall</w:t>
            </w:r>
            <w:r>
              <w:rPr>
                <w:rFonts w:ascii="Arial" w:cs="Arial" w:eastAsia="Arial" w:hAnsi="Arial"/>
                <w:sz w:val="20"/>
                <w:szCs w:val="20"/>
                <w:color w:val="282828"/>
                <w:w w:val="97"/>
              </w:rPr>
              <w:t xml:space="preserve">be </w:t>
            </w:r>
            <w:r>
              <w:rPr>
                <w:rFonts w:ascii="Arial" w:cs="Arial" w:eastAsia="Arial" w:hAnsi="Arial"/>
                <w:sz w:val="20"/>
                <w:szCs w:val="20"/>
                <w:color w:val="383838"/>
                <w:w w:val="97"/>
              </w:rPr>
              <w:t>binding</w:t>
            </w:r>
            <w:r>
              <w:rPr>
                <w:rFonts w:ascii="Arial" w:cs="Arial" w:eastAsia="Arial" w:hAnsi="Arial"/>
                <w:sz w:val="20"/>
                <w:szCs w:val="20"/>
                <w:color w:val="282828"/>
                <w:w w:val="97"/>
              </w:rPr>
              <w:t xml:space="preserve"> upon the</w:t>
            </w:r>
          </w:p>
        </w:tc>
      </w:tr>
      <w:tr>
        <w:trPr>
          <w:trHeight w:val="20"/>
        </w:trPr>
        <w:tc>
          <w:tcPr>
            <w:tcW w:w="1700" w:type="dxa"/>
            <w:vAlign w:val="bottom"/>
          </w:tcPr>
          <w:p>
            <w:pPr>
              <w:spacing w:after="0" w:line="20" w:lineRule="exact"/>
              <w:rPr>
                <w:sz w:val="1"/>
                <w:szCs w:val="1"/>
                <w:color w:val="auto"/>
              </w:rPr>
            </w:pPr>
          </w:p>
        </w:tc>
        <w:tc>
          <w:tcPr>
            <w:tcW w:w="540" w:type="dxa"/>
            <w:vAlign w:val="bottom"/>
            <w:shd w:val="clear" w:color="auto" w:fill="282828"/>
          </w:tcPr>
          <w:p>
            <w:pPr>
              <w:spacing w:after="0" w:line="20" w:lineRule="exact"/>
              <w:rPr>
                <w:sz w:val="1"/>
                <w:szCs w:val="1"/>
                <w:color w:val="auto"/>
              </w:rPr>
            </w:pPr>
          </w:p>
        </w:tc>
        <w:tc>
          <w:tcPr>
            <w:tcW w:w="940" w:type="dxa"/>
            <w:vAlign w:val="bottom"/>
            <w:shd w:val="clear" w:color="auto" w:fill="282828"/>
          </w:tcPr>
          <w:p>
            <w:pPr>
              <w:spacing w:after="0" w:line="20" w:lineRule="exact"/>
              <w:rPr>
                <w:sz w:val="1"/>
                <w:szCs w:val="1"/>
                <w:color w:val="auto"/>
              </w:rPr>
            </w:pPr>
          </w:p>
        </w:tc>
        <w:tc>
          <w:tcPr>
            <w:tcW w:w="140" w:type="dxa"/>
            <w:vAlign w:val="bottom"/>
            <w:shd w:val="clear" w:color="auto" w:fill="282828"/>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4"/>
        </w:trPr>
        <w:tc>
          <w:tcPr>
            <w:tcW w:w="9720" w:type="dxa"/>
            <w:vAlign w:val="bottom"/>
            <w:gridSpan w:val="5"/>
          </w:tcPr>
          <w:p>
            <w:pPr>
              <w:spacing w:after="0"/>
              <w:rPr>
                <w:sz w:val="20"/>
                <w:szCs w:val="20"/>
                <w:color w:val="auto"/>
              </w:rPr>
            </w:pPr>
            <w:r>
              <w:rPr>
                <w:rFonts w:ascii="Arial" w:cs="Arial" w:eastAsia="Arial" w:hAnsi="Arial"/>
                <w:sz w:val="20"/>
                <w:szCs w:val="20"/>
                <w:color w:val="383838"/>
              </w:rPr>
              <w:t>Company</w:t>
            </w:r>
            <w:r>
              <w:rPr>
                <w:rFonts w:ascii="Arial" w:cs="Arial" w:eastAsia="Arial" w:hAnsi="Arial"/>
                <w:sz w:val="20"/>
                <w:szCs w:val="20"/>
                <w:color w:val="545454"/>
              </w:rPr>
              <w:t>,</w:t>
            </w:r>
            <w:r>
              <w:rPr>
                <w:rFonts w:ascii="Arial" w:cs="Arial" w:eastAsia="Arial" w:hAnsi="Arial"/>
                <w:sz w:val="20"/>
                <w:szCs w:val="20"/>
                <w:color w:val="383838"/>
              </w:rPr>
              <w:t xml:space="preserve"> its successors </w:t>
            </w:r>
            <w:r>
              <w:rPr>
                <w:rFonts w:ascii="Arial" w:cs="Arial" w:eastAsia="Arial" w:hAnsi="Arial"/>
                <w:sz w:val="20"/>
                <w:szCs w:val="20"/>
                <w:color w:val="282828"/>
              </w:rPr>
              <w:t>and assigns.</w:t>
            </w:r>
          </w:p>
        </w:tc>
      </w:tr>
      <w:tr>
        <w:trPr>
          <w:trHeight w:val="360"/>
        </w:trPr>
        <w:tc>
          <w:tcPr>
            <w:tcW w:w="1700" w:type="dxa"/>
            <w:vAlign w:val="bottom"/>
          </w:tcPr>
          <w:p>
            <w:pPr>
              <w:ind w:left="720"/>
              <w:spacing w:after="0"/>
              <w:rPr>
                <w:sz w:val="20"/>
                <w:szCs w:val="20"/>
                <w:color w:val="auto"/>
              </w:rPr>
            </w:pPr>
            <w:r>
              <w:rPr>
                <w:rFonts w:ascii="Arial" w:cs="Arial" w:eastAsia="Arial" w:hAnsi="Arial"/>
                <w:sz w:val="20"/>
                <w:szCs w:val="20"/>
                <w:color w:val="383838"/>
              </w:rPr>
              <w:t>10.2</w:t>
            </w:r>
          </w:p>
        </w:tc>
        <w:tc>
          <w:tcPr>
            <w:tcW w:w="8020" w:type="dxa"/>
            <w:vAlign w:val="bottom"/>
            <w:gridSpan w:val="4"/>
          </w:tcPr>
          <w:p>
            <w:pPr>
              <w:spacing w:after="0"/>
              <w:rPr>
                <w:sz w:val="20"/>
                <w:szCs w:val="20"/>
                <w:color w:val="auto"/>
              </w:rPr>
            </w:pPr>
            <w:r>
              <w:rPr>
                <w:rFonts w:ascii="Arial" w:cs="Arial" w:eastAsia="Arial" w:hAnsi="Arial"/>
                <w:sz w:val="20"/>
                <w:szCs w:val="20"/>
                <w:color w:val="383838"/>
                <w:w w:val="89"/>
              </w:rPr>
              <w:t xml:space="preserve">Entire </w:t>
            </w:r>
            <w:r>
              <w:rPr>
                <w:rFonts w:ascii="Arial" w:cs="Arial" w:eastAsia="Arial" w:hAnsi="Arial"/>
                <w:sz w:val="20"/>
                <w:szCs w:val="20"/>
                <w:color w:val="282828"/>
                <w:w w:val="89"/>
              </w:rPr>
              <w:t>Agreement. This</w:t>
            </w:r>
            <w:r>
              <w:rPr>
                <w:rFonts w:ascii="Arial" w:cs="Arial" w:eastAsia="Arial" w:hAnsi="Arial"/>
                <w:sz w:val="20"/>
                <w:szCs w:val="20"/>
                <w:color w:val="383838"/>
                <w:w w:val="89"/>
              </w:rPr>
              <w:t xml:space="preserve"> Agreement contains </w:t>
            </w:r>
            <w:r>
              <w:rPr>
                <w:rFonts w:ascii="Arial" w:cs="Arial" w:eastAsia="Arial" w:hAnsi="Arial"/>
                <w:sz w:val="20"/>
                <w:szCs w:val="20"/>
                <w:color w:val="282828"/>
                <w:w w:val="89"/>
              </w:rPr>
              <w:t>the entire</w:t>
            </w:r>
            <w:r>
              <w:rPr>
                <w:rFonts w:ascii="Arial" w:cs="Arial" w:eastAsia="Arial" w:hAnsi="Arial"/>
                <w:sz w:val="20"/>
                <w:szCs w:val="20"/>
                <w:color w:val="383838"/>
                <w:w w:val="89"/>
              </w:rPr>
              <w:t xml:space="preserve"> agreement of </w:t>
            </w:r>
            <w:r>
              <w:rPr>
                <w:rFonts w:ascii="Arial" w:cs="Arial" w:eastAsia="Arial" w:hAnsi="Arial"/>
                <w:sz w:val="20"/>
                <w:szCs w:val="20"/>
                <w:color w:val="282828"/>
                <w:w w:val="89"/>
              </w:rPr>
              <w:t>the parties relating</w:t>
            </w:r>
            <w:r>
              <w:rPr>
                <w:rFonts w:ascii="Arial" w:cs="Arial" w:eastAsia="Arial" w:hAnsi="Arial"/>
                <w:sz w:val="20"/>
                <w:szCs w:val="20"/>
                <w:color w:val="383838"/>
                <w:w w:val="89"/>
              </w:rPr>
              <w:t xml:space="preserve"> to the subject</w:t>
            </w:r>
          </w:p>
        </w:tc>
      </w:tr>
      <w:tr>
        <w:trPr>
          <w:trHeight w:val="20"/>
        </w:trPr>
        <w:tc>
          <w:tcPr>
            <w:tcW w:w="1700" w:type="dxa"/>
            <w:vAlign w:val="bottom"/>
          </w:tcPr>
          <w:p>
            <w:pPr>
              <w:spacing w:after="0" w:line="20" w:lineRule="exact"/>
              <w:rPr>
                <w:sz w:val="1"/>
                <w:szCs w:val="1"/>
                <w:color w:val="auto"/>
              </w:rPr>
            </w:pPr>
          </w:p>
        </w:tc>
        <w:tc>
          <w:tcPr>
            <w:tcW w:w="540" w:type="dxa"/>
            <w:vAlign w:val="bottom"/>
            <w:shd w:val="clear" w:color="auto" w:fill="383838"/>
          </w:tcPr>
          <w:p>
            <w:pPr>
              <w:spacing w:after="0" w:line="20" w:lineRule="exact"/>
              <w:rPr>
                <w:sz w:val="1"/>
                <w:szCs w:val="1"/>
                <w:color w:val="auto"/>
              </w:rPr>
            </w:pPr>
          </w:p>
        </w:tc>
        <w:tc>
          <w:tcPr>
            <w:tcW w:w="940" w:type="dxa"/>
            <w:vAlign w:val="bottom"/>
            <w:shd w:val="clear" w:color="auto" w:fill="28282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10" w:lineRule="exact"/>
        <w:rPr>
          <w:sz w:val="20"/>
          <w:szCs w:val="20"/>
          <w:color w:val="auto"/>
        </w:rPr>
      </w:pPr>
    </w:p>
    <w:p>
      <w:pPr>
        <w:ind w:left="33"/>
        <w:spacing w:after="0" w:line="279" w:lineRule="auto"/>
        <w:rPr>
          <w:sz w:val="20"/>
          <w:szCs w:val="20"/>
          <w:color w:val="auto"/>
        </w:rPr>
      </w:pPr>
      <w:r>
        <w:rPr>
          <w:rFonts w:ascii="Arial" w:cs="Arial" w:eastAsia="Arial" w:hAnsi="Arial"/>
          <w:sz w:val="18"/>
          <w:szCs w:val="18"/>
          <w:color w:val="282828"/>
        </w:rPr>
        <w:t xml:space="preserve">matter hereof, </w:t>
      </w:r>
      <w:r>
        <w:rPr>
          <w:rFonts w:ascii="Arial" w:cs="Arial" w:eastAsia="Arial" w:hAnsi="Arial"/>
          <w:sz w:val="18"/>
          <w:szCs w:val="18"/>
          <w:color w:val="383838"/>
        </w:rPr>
        <w:t>and</w:t>
      </w:r>
      <w:r>
        <w:rPr>
          <w:rFonts w:ascii="Arial" w:cs="Arial" w:eastAsia="Arial" w:hAnsi="Arial"/>
          <w:sz w:val="18"/>
          <w:szCs w:val="18"/>
          <w:color w:val="282828"/>
        </w:rPr>
        <w:t xml:space="preserve"> the parties hereto have made no </w:t>
      </w:r>
      <w:r>
        <w:rPr>
          <w:rFonts w:ascii="Arial" w:cs="Arial" w:eastAsia="Arial" w:hAnsi="Arial"/>
          <w:sz w:val="18"/>
          <w:szCs w:val="18"/>
          <w:color w:val="383838"/>
        </w:rPr>
        <w:t>agreements, representations or warranties</w:t>
      </w:r>
      <w:r>
        <w:rPr>
          <w:rFonts w:ascii="Arial" w:cs="Arial" w:eastAsia="Arial" w:hAnsi="Arial"/>
          <w:sz w:val="18"/>
          <w:szCs w:val="18"/>
          <w:color w:val="282828"/>
        </w:rPr>
        <w:t xml:space="preserve"> relating to the </w:t>
      </w:r>
      <w:r>
        <w:rPr>
          <w:rFonts w:ascii="Arial" w:cs="Arial" w:eastAsia="Arial" w:hAnsi="Arial"/>
          <w:sz w:val="18"/>
          <w:szCs w:val="18"/>
          <w:color w:val="383838"/>
        </w:rPr>
        <w:t>subject</w:t>
      </w:r>
      <w:r>
        <w:rPr>
          <w:rFonts w:ascii="Arial" w:cs="Arial" w:eastAsia="Arial" w:hAnsi="Arial"/>
          <w:sz w:val="18"/>
          <w:szCs w:val="18"/>
          <w:color w:val="282828"/>
        </w:rPr>
        <w:t xml:space="preserve"> matter of this </w:t>
      </w:r>
      <w:r>
        <w:rPr>
          <w:rFonts w:ascii="Arial" w:cs="Arial" w:eastAsia="Arial" w:hAnsi="Arial"/>
          <w:sz w:val="18"/>
          <w:szCs w:val="18"/>
          <w:color w:val="383838"/>
        </w:rPr>
        <w:t>Agreement</w:t>
      </w:r>
      <w:r>
        <w:rPr>
          <w:rFonts w:ascii="Arial" w:cs="Arial" w:eastAsia="Arial" w:hAnsi="Arial"/>
          <w:sz w:val="18"/>
          <w:szCs w:val="18"/>
          <w:color w:val="282828"/>
        </w:rPr>
        <w:t xml:space="preserve"> that </w:t>
      </w:r>
      <w:r>
        <w:rPr>
          <w:rFonts w:ascii="Arial" w:cs="Arial" w:eastAsia="Arial" w:hAnsi="Arial"/>
          <w:sz w:val="18"/>
          <w:szCs w:val="18"/>
          <w:color w:val="383838"/>
        </w:rPr>
        <w:t>are not</w:t>
      </w:r>
      <w:r>
        <w:rPr>
          <w:rFonts w:ascii="Arial" w:cs="Arial" w:eastAsia="Arial" w:hAnsi="Arial"/>
          <w:sz w:val="18"/>
          <w:szCs w:val="18"/>
          <w:color w:val="282828"/>
        </w:rPr>
        <w:t xml:space="preserve"> </w:t>
      </w:r>
      <w:r>
        <w:rPr>
          <w:rFonts w:ascii="Arial" w:cs="Arial" w:eastAsia="Arial" w:hAnsi="Arial"/>
          <w:sz w:val="18"/>
          <w:szCs w:val="18"/>
          <w:color w:val="545454"/>
        </w:rPr>
        <w:t>s</w:t>
      </w:r>
      <w:r>
        <w:rPr>
          <w:rFonts w:ascii="Arial" w:cs="Arial" w:eastAsia="Arial" w:hAnsi="Arial"/>
          <w:sz w:val="18"/>
          <w:szCs w:val="18"/>
          <w:color w:val="383838"/>
        </w:rPr>
        <w:t>et forth otherwise herein.</w:t>
      </w:r>
      <w:r>
        <w:rPr>
          <w:rFonts w:ascii="Arial" w:cs="Arial" w:eastAsia="Arial" w:hAnsi="Arial"/>
          <w:sz w:val="18"/>
          <w:szCs w:val="18"/>
          <w:color w:val="282828"/>
        </w:rPr>
        <w:t xml:space="preserve"> In this </w:t>
      </w:r>
      <w:r>
        <w:rPr>
          <w:rFonts w:ascii="Arial" w:cs="Arial" w:eastAsia="Arial" w:hAnsi="Arial"/>
          <w:sz w:val="18"/>
          <w:szCs w:val="18"/>
          <w:color w:val="383838"/>
        </w:rPr>
        <w:t>regard</w:t>
      </w:r>
      <w:r>
        <w:rPr>
          <w:rFonts w:ascii="Arial" w:cs="Arial" w:eastAsia="Arial" w:hAnsi="Arial"/>
          <w:sz w:val="18"/>
          <w:szCs w:val="18"/>
          <w:color w:val="696969"/>
        </w:rPr>
        <w:t>,</w:t>
      </w:r>
      <w:r>
        <w:rPr>
          <w:rFonts w:ascii="Arial" w:cs="Arial" w:eastAsia="Arial" w:hAnsi="Arial"/>
          <w:sz w:val="18"/>
          <w:szCs w:val="18"/>
          <w:color w:val="282828"/>
        </w:rPr>
        <w:t xml:space="preserve"> </w:t>
      </w:r>
      <w:r>
        <w:rPr>
          <w:rFonts w:ascii="Arial" w:cs="Arial" w:eastAsia="Arial" w:hAnsi="Arial"/>
          <w:sz w:val="18"/>
          <w:szCs w:val="18"/>
          <w:color w:val="383838"/>
        </w:rPr>
        <w:t>each of the</w:t>
      </w:r>
      <w:r>
        <w:rPr>
          <w:rFonts w:ascii="Arial" w:cs="Arial" w:eastAsia="Arial" w:hAnsi="Arial"/>
          <w:sz w:val="18"/>
          <w:szCs w:val="18"/>
          <w:color w:val="282828"/>
        </w:rPr>
        <w:t xml:space="preserve"> parties </w:t>
      </w:r>
      <w:r>
        <w:rPr>
          <w:rFonts w:ascii="Arial" w:cs="Arial" w:eastAsia="Arial" w:hAnsi="Arial"/>
          <w:sz w:val="18"/>
          <w:szCs w:val="18"/>
          <w:color w:val="383838"/>
        </w:rPr>
        <w:t>represents and</w:t>
      </w:r>
      <w:r>
        <w:rPr>
          <w:rFonts w:ascii="Arial" w:cs="Arial" w:eastAsia="Arial" w:hAnsi="Arial"/>
          <w:sz w:val="18"/>
          <w:szCs w:val="18"/>
          <w:color w:val="282828"/>
        </w:rPr>
        <w:t xml:space="preserve"> warrants </w:t>
      </w:r>
      <w:r>
        <w:rPr>
          <w:rFonts w:ascii="Arial" w:cs="Arial" w:eastAsia="Arial" w:hAnsi="Arial"/>
          <w:sz w:val="18"/>
          <w:szCs w:val="18"/>
          <w:color w:val="383838"/>
        </w:rPr>
        <w:t>to th</w:t>
      </w:r>
      <w:r>
        <w:rPr>
          <w:rFonts w:ascii="Arial" w:cs="Arial" w:eastAsia="Arial" w:hAnsi="Arial"/>
          <w:sz w:val="18"/>
          <w:szCs w:val="18"/>
          <w:color w:val="545454"/>
        </w:rPr>
        <w:t>e</w:t>
      </w:r>
      <w:r>
        <w:rPr>
          <w:rFonts w:ascii="Arial" w:cs="Arial" w:eastAsia="Arial" w:hAnsi="Arial"/>
          <w:sz w:val="18"/>
          <w:szCs w:val="18"/>
          <w:color w:val="282828"/>
        </w:rPr>
        <w:t xml:space="preserve"> </w:t>
      </w:r>
      <w:r>
        <w:rPr>
          <w:rFonts w:ascii="Arial" w:cs="Arial" w:eastAsia="Arial" w:hAnsi="Arial"/>
          <w:sz w:val="18"/>
          <w:szCs w:val="18"/>
          <w:color w:val="383838"/>
        </w:rPr>
        <w:t>oth</w:t>
      </w:r>
      <w:r>
        <w:rPr>
          <w:rFonts w:ascii="Arial" w:cs="Arial" w:eastAsia="Arial" w:hAnsi="Arial"/>
          <w:sz w:val="18"/>
          <w:szCs w:val="18"/>
          <w:color w:val="545454"/>
        </w:rPr>
        <w:t>e</w:t>
      </w:r>
      <w:r>
        <w:rPr>
          <w:rFonts w:ascii="Arial" w:cs="Arial" w:eastAsia="Arial" w:hAnsi="Arial"/>
          <w:sz w:val="18"/>
          <w:szCs w:val="18"/>
          <w:color w:val="282828"/>
        </w:rPr>
        <w:t xml:space="preserve">r party that </w:t>
      </w:r>
      <w:r>
        <w:rPr>
          <w:rFonts w:ascii="Arial" w:cs="Arial" w:eastAsia="Arial" w:hAnsi="Arial"/>
          <w:sz w:val="18"/>
          <w:szCs w:val="18"/>
          <w:color w:val="383838"/>
        </w:rPr>
        <w:t>such</w:t>
      </w:r>
      <w:r>
        <w:rPr>
          <w:rFonts w:ascii="Arial" w:cs="Arial" w:eastAsia="Arial" w:hAnsi="Arial"/>
          <w:sz w:val="18"/>
          <w:szCs w:val="18"/>
          <w:color w:val="282828"/>
        </w:rPr>
        <w:t xml:space="preserve"> party is </w:t>
      </w:r>
      <w:r>
        <w:rPr>
          <w:rFonts w:ascii="Arial" w:cs="Arial" w:eastAsia="Arial" w:hAnsi="Arial"/>
          <w:sz w:val="18"/>
          <w:szCs w:val="18"/>
          <w:color w:val="383838"/>
        </w:rPr>
        <w:t>not</w:t>
      </w:r>
      <w:r>
        <w:rPr>
          <w:rFonts w:ascii="Arial" w:cs="Arial" w:eastAsia="Arial" w:hAnsi="Arial"/>
          <w:sz w:val="18"/>
          <w:szCs w:val="18"/>
          <w:color w:val="282828"/>
        </w:rPr>
        <w:t xml:space="preserve"> relying on any promises </w:t>
      </w:r>
      <w:r>
        <w:rPr>
          <w:rFonts w:ascii="Arial" w:cs="Arial" w:eastAsia="Arial" w:hAnsi="Arial"/>
          <w:sz w:val="18"/>
          <w:szCs w:val="18"/>
          <w:color w:val="383838"/>
        </w:rPr>
        <w:t>or</w:t>
      </w:r>
      <w:r>
        <w:rPr>
          <w:rFonts w:ascii="Arial" w:cs="Arial" w:eastAsia="Arial" w:hAnsi="Arial"/>
          <w:sz w:val="18"/>
          <w:szCs w:val="18"/>
          <w:color w:val="282828"/>
        </w:rPr>
        <w:t xml:space="preserve"> representations that do not </w:t>
      </w:r>
      <w:r>
        <w:rPr>
          <w:rFonts w:ascii="Arial" w:cs="Arial" w:eastAsia="Arial" w:hAnsi="Arial"/>
          <w:sz w:val="18"/>
          <w:szCs w:val="18"/>
          <w:color w:val="383838"/>
        </w:rPr>
        <w:t>appear</w:t>
      </w:r>
      <w:r>
        <w:rPr>
          <w:rFonts w:ascii="Arial" w:cs="Arial" w:eastAsia="Arial" w:hAnsi="Arial"/>
          <w:sz w:val="18"/>
          <w:szCs w:val="18"/>
          <w:color w:val="282828"/>
        </w:rPr>
        <w:t xml:space="preserve"> in writing herein. </w:t>
      </w:r>
      <w:r>
        <w:rPr>
          <w:rFonts w:ascii="Arial" w:cs="Arial" w:eastAsia="Arial" w:hAnsi="Arial"/>
          <w:sz w:val="18"/>
          <w:szCs w:val="18"/>
          <w:color w:val="383838"/>
        </w:rPr>
        <w:t>This Agreement</w:t>
      </w:r>
      <w:r>
        <w:rPr>
          <w:rFonts w:ascii="Arial" w:cs="Arial" w:eastAsia="Arial" w:hAnsi="Arial"/>
          <w:sz w:val="18"/>
          <w:szCs w:val="18"/>
          <w:color w:val="282828"/>
        </w:rPr>
        <w:t xml:space="preserve"> </w:t>
      </w:r>
      <w:r>
        <w:rPr>
          <w:rFonts w:ascii="Arial" w:cs="Arial" w:eastAsia="Arial" w:hAnsi="Arial"/>
          <w:sz w:val="18"/>
          <w:szCs w:val="18"/>
          <w:color w:val="383838"/>
        </w:rPr>
        <w:t xml:space="preserve">supersedes any </w:t>
      </w:r>
      <w:r>
        <w:rPr>
          <w:rFonts w:ascii="Arial" w:cs="Arial" w:eastAsia="Arial" w:hAnsi="Arial"/>
          <w:sz w:val="18"/>
          <w:szCs w:val="18"/>
          <w:color w:val="282828"/>
        </w:rPr>
        <w:t>prior</w:t>
      </w:r>
      <w:r>
        <w:rPr>
          <w:rFonts w:ascii="Arial" w:cs="Arial" w:eastAsia="Arial" w:hAnsi="Arial"/>
          <w:sz w:val="18"/>
          <w:szCs w:val="18"/>
          <w:color w:val="383838"/>
        </w:rPr>
        <w:t xml:space="preserve"> </w:t>
      </w:r>
      <w:r>
        <w:rPr>
          <w:rFonts w:ascii="Arial" w:cs="Arial" w:eastAsia="Arial" w:hAnsi="Arial"/>
          <w:sz w:val="18"/>
          <w:szCs w:val="18"/>
          <w:color w:val="545454"/>
        </w:rPr>
        <w:t>v</w:t>
      </w:r>
      <w:r>
        <w:rPr>
          <w:rFonts w:ascii="Arial" w:cs="Arial" w:eastAsia="Arial" w:hAnsi="Arial"/>
          <w:sz w:val="18"/>
          <w:szCs w:val="18"/>
          <w:color w:val="383838"/>
        </w:rPr>
        <w:t xml:space="preserve">erbal or written agreements with the Company </w:t>
      </w:r>
      <w:r>
        <w:rPr>
          <w:rFonts w:ascii="Arial" w:cs="Arial" w:eastAsia="Arial" w:hAnsi="Arial"/>
          <w:sz w:val="18"/>
          <w:szCs w:val="18"/>
          <w:color w:val="282828"/>
        </w:rPr>
        <w:t>regarding</w:t>
      </w:r>
      <w:r>
        <w:rPr>
          <w:rFonts w:ascii="Arial" w:cs="Arial" w:eastAsia="Arial" w:hAnsi="Arial"/>
          <w:sz w:val="18"/>
          <w:szCs w:val="18"/>
          <w:color w:val="383838"/>
        </w:rPr>
        <w:t xml:space="preserve"> Executive's employment or offer </w:t>
      </w:r>
      <w:r>
        <w:rPr>
          <w:rFonts w:ascii="Arial" w:cs="Arial" w:eastAsia="Arial" w:hAnsi="Arial"/>
          <w:sz w:val="18"/>
          <w:szCs w:val="18"/>
          <w:color w:val="282828"/>
        </w:rPr>
        <w:t>of</w:t>
      </w:r>
      <w:r>
        <w:rPr>
          <w:rFonts w:ascii="Arial" w:cs="Arial" w:eastAsia="Arial" w:hAnsi="Arial"/>
          <w:sz w:val="18"/>
          <w:szCs w:val="18"/>
          <w:color w:val="383838"/>
        </w:rPr>
        <w:t xml:space="preserve"> employment, except as specifically referenced </w:t>
      </w:r>
      <w:r>
        <w:rPr>
          <w:rFonts w:ascii="Arial" w:cs="Arial" w:eastAsia="Arial" w:hAnsi="Arial"/>
          <w:sz w:val="18"/>
          <w:szCs w:val="18"/>
          <w:color w:val="282828"/>
        </w:rPr>
        <w:t>herein.</w:t>
      </w:r>
      <w:r>
        <w:rPr>
          <w:rFonts w:ascii="Arial" w:cs="Arial" w:eastAsia="Arial" w:hAnsi="Arial"/>
          <w:sz w:val="18"/>
          <w:szCs w:val="18"/>
          <w:color w:val="383838"/>
        </w:rPr>
        <w:t xml:space="preserve"> Each of </w:t>
      </w:r>
      <w:r>
        <w:rPr>
          <w:rFonts w:ascii="Arial" w:cs="Arial" w:eastAsia="Arial" w:hAnsi="Arial"/>
          <w:sz w:val="18"/>
          <w:szCs w:val="18"/>
          <w:color w:val="282828"/>
        </w:rPr>
        <w:t>the parties further</w:t>
      </w:r>
      <w:r>
        <w:rPr>
          <w:rFonts w:ascii="Arial" w:cs="Arial" w:eastAsia="Arial" w:hAnsi="Arial"/>
          <w:sz w:val="18"/>
          <w:szCs w:val="18"/>
          <w:color w:val="383838"/>
        </w:rPr>
        <w:t xml:space="preserve"> agrees and </w:t>
      </w:r>
      <w:r>
        <w:rPr>
          <w:rFonts w:ascii="Arial" w:cs="Arial" w:eastAsia="Arial" w:hAnsi="Arial"/>
          <w:sz w:val="18"/>
          <w:szCs w:val="18"/>
          <w:color w:val="282828"/>
        </w:rPr>
        <w:t>understands that</w:t>
      </w:r>
      <w:r>
        <w:rPr>
          <w:rFonts w:ascii="Arial" w:cs="Arial" w:eastAsia="Arial" w:hAnsi="Arial"/>
          <w:sz w:val="18"/>
          <w:szCs w:val="18"/>
          <w:color w:val="383838"/>
        </w:rPr>
        <w:t xml:space="preserve"> this Agreement can</w:t>
      </w:r>
      <w:r>
        <w:rPr>
          <w:rFonts w:ascii="Arial" w:cs="Arial" w:eastAsia="Arial" w:hAnsi="Arial"/>
          <w:sz w:val="18"/>
          <w:szCs w:val="18"/>
          <w:color w:val="282828"/>
        </w:rPr>
        <w:t>be</w:t>
      </w:r>
      <w:r>
        <w:rPr>
          <w:rFonts w:ascii="Arial" w:cs="Arial" w:eastAsia="Arial" w:hAnsi="Arial"/>
          <w:sz w:val="18"/>
          <w:szCs w:val="18"/>
          <w:color w:val="383838"/>
        </w:rPr>
        <w:t xml:space="preserve"> amended </w:t>
      </w:r>
      <w:r>
        <w:rPr>
          <w:rFonts w:ascii="Arial" w:cs="Arial" w:eastAsia="Arial" w:hAnsi="Arial"/>
          <w:sz w:val="18"/>
          <w:szCs w:val="18"/>
          <w:color w:val="282828"/>
        </w:rPr>
        <w:t>or modified</w:t>
      </w:r>
      <w:r>
        <w:rPr>
          <w:rFonts w:ascii="Arial" w:cs="Arial" w:eastAsia="Arial" w:hAnsi="Arial"/>
          <w:sz w:val="18"/>
          <w:szCs w:val="18"/>
          <w:color w:val="383838"/>
        </w:rPr>
        <w:t xml:space="preserve"> only </w:t>
      </w:r>
      <w:r>
        <w:rPr>
          <w:rFonts w:ascii="Arial" w:cs="Arial" w:eastAsia="Arial" w:hAnsi="Arial"/>
          <w:sz w:val="18"/>
          <w:szCs w:val="18"/>
          <w:color w:val="282828"/>
        </w:rPr>
        <w:t>by</w:t>
      </w:r>
      <w:r>
        <w:rPr>
          <w:rFonts w:ascii="Arial" w:cs="Arial" w:eastAsia="Arial" w:hAnsi="Arial"/>
          <w:sz w:val="18"/>
          <w:szCs w:val="18"/>
          <w:color w:val="383838"/>
        </w:rPr>
        <w:t xml:space="preserve"> a written agreement signed </w:t>
      </w:r>
      <w:r>
        <w:rPr>
          <w:rFonts w:ascii="Arial" w:cs="Arial" w:eastAsia="Arial" w:hAnsi="Arial"/>
          <w:sz w:val="18"/>
          <w:szCs w:val="18"/>
          <w:color w:val="282828"/>
        </w:rPr>
        <w:t>by</w:t>
      </w:r>
      <w:r>
        <w:rPr>
          <w:rFonts w:ascii="Arial" w:cs="Arial" w:eastAsia="Arial" w:hAnsi="Arial"/>
          <w:sz w:val="18"/>
          <w:szCs w:val="18"/>
          <w:color w:val="383838"/>
        </w:rPr>
        <w:t xml:space="preserve"> all parties.</w:t>
      </w:r>
    </w:p>
    <w:p>
      <w:pPr>
        <w:spacing w:after="0" w:line="149" w:lineRule="exact"/>
        <w:rPr>
          <w:sz w:val="20"/>
          <w:szCs w:val="20"/>
          <w:color w:val="auto"/>
        </w:rPr>
      </w:pPr>
    </w:p>
    <w:p>
      <w:pPr>
        <w:ind w:left="753"/>
        <w:spacing w:after="0"/>
        <w:tabs>
          <w:tab w:leader="none" w:pos="1732" w:val="left"/>
        </w:tabs>
        <w:rPr>
          <w:sz w:val="20"/>
          <w:szCs w:val="20"/>
          <w:color w:val="auto"/>
        </w:rPr>
      </w:pPr>
      <w:r>
        <w:rPr>
          <w:rFonts w:ascii="Arial" w:cs="Arial" w:eastAsia="Arial" w:hAnsi="Arial"/>
          <w:sz w:val="20"/>
          <w:szCs w:val="20"/>
          <w:color w:val="282828"/>
        </w:rPr>
        <w:t>10.3</w:t>
      </w:r>
      <w:r>
        <w:rPr>
          <w:sz w:val="20"/>
          <w:szCs w:val="20"/>
          <w:color w:val="auto"/>
        </w:rPr>
        <w:tab/>
      </w:r>
      <w:r>
        <w:rPr>
          <w:rFonts w:ascii="Arial" w:cs="Arial" w:eastAsia="Arial" w:hAnsi="Arial"/>
          <w:sz w:val="16"/>
          <w:szCs w:val="16"/>
          <w:u w:val="single" w:color="auto"/>
          <w:color w:val="282828"/>
        </w:rPr>
        <w:t xml:space="preserve">Representations and Warranties. </w:t>
      </w:r>
      <w:r>
        <w:rPr>
          <w:rFonts w:ascii="Arial" w:cs="Arial" w:eastAsia="Arial" w:hAnsi="Arial"/>
          <w:sz w:val="16"/>
          <w:szCs w:val="16"/>
          <w:color w:val="383838"/>
        </w:rPr>
        <w:t>Executive</w:t>
      </w:r>
      <w:r>
        <w:rPr>
          <w:rFonts w:ascii="Arial" w:cs="Arial" w:eastAsia="Arial" w:hAnsi="Arial"/>
          <w:sz w:val="16"/>
          <w:szCs w:val="16"/>
          <w:u w:val="single" w:color="auto"/>
          <w:color w:val="282828"/>
        </w:rPr>
        <w:t xml:space="preserve"> </w:t>
      </w:r>
      <w:r>
        <w:rPr>
          <w:rFonts w:ascii="Arial" w:cs="Arial" w:eastAsia="Arial" w:hAnsi="Arial"/>
          <w:sz w:val="16"/>
          <w:szCs w:val="16"/>
          <w:color w:val="282828"/>
        </w:rPr>
        <w:t>and</w:t>
      </w:r>
      <w:r>
        <w:rPr>
          <w:rFonts w:ascii="Arial" w:cs="Arial" w:eastAsia="Arial" w:hAnsi="Arial"/>
          <w:sz w:val="16"/>
          <w:szCs w:val="16"/>
          <w:u w:val="single" w:color="auto"/>
          <w:color w:val="282828"/>
        </w:rPr>
        <w:t xml:space="preserve"> </w:t>
      </w:r>
      <w:r>
        <w:rPr>
          <w:rFonts w:ascii="Arial" w:cs="Arial" w:eastAsia="Arial" w:hAnsi="Arial"/>
          <w:sz w:val="16"/>
          <w:szCs w:val="16"/>
          <w:color w:val="383838"/>
        </w:rPr>
        <w:t>the Company</w:t>
      </w:r>
      <w:r>
        <w:rPr>
          <w:rFonts w:ascii="Arial" w:cs="Arial" w:eastAsia="Arial" w:hAnsi="Arial"/>
          <w:sz w:val="16"/>
          <w:szCs w:val="16"/>
          <w:u w:val="single" w:color="auto"/>
          <w:color w:val="282828"/>
        </w:rPr>
        <w:t xml:space="preserve"> </w:t>
      </w:r>
      <w:r>
        <w:rPr>
          <w:rFonts w:ascii="Arial" w:cs="Arial" w:eastAsia="Arial" w:hAnsi="Arial"/>
          <w:sz w:val="16"/>
          <w:szCs w:val="16"/>
          <w:color w:val="282828"/>
        </w:rPr>
        <w:t>hereby</w:t>
      </w:r>
      <w:r>
        <w:rPr>
          <w:rFonts w:ascii="Arial" w:cs="Arial" w:eastAsia="Arial" w:hAnsi="Arial"/>
          <w:sz w:val="16"/>
          <w:szCs w:val="16"/>
          <w:u w:val="single" w:color="auto"/>
          <w:color w:val="282828"/>
        </w:rPr>
        <w:t xml:space="preserve"> </w:t>
      </w:r>
      <w:r>
        <w:rPr>
          <w:rFonts w:ascii="Arial" w:cs="Arial" w:eastAsia="Arial" w:hAnsi="Arial"/>
          <w:sz w:val="16"/>
          <w:szCs w:val="16"/>
          <w:color w:val="383838"/>
        </w:rPr>
        <w:t>represent</w:t>
      </w:r>
      <w:r>
        <w:rPr>
          <w:rFonts w:ascii="Arial" w:cs="Arial" w:eastAsia="Arial" w:hAnsi="Arial"/>
          <w:sz w:val="16"/>
          <w:szCs w:val="16"/>
          <w:u w:val="single" w:color="auto"/>
          <w:color w:val="282828"/>
        </w:rPr>
        <w:t xml:space="preserve"> </w:t>
      </w:r>
      <w:r>
        <w:rPr>
          <w:rFonts w:ascii="Arial" w:cs="Arial" w:eastAsia="Arial" w:hAnsi="Arial"/>
          <w:sz w:val="16"/>
          <w:szCs w:val="16"/>
          <w:color w:val="282828"/>
        </w:rPr>
        <w:t>and</w:t>
      </w:r>
      <w:r>
        <w:rPr>
          <w:rFonts w:ascii="Arial" w:cs="Arial" w:eastAsia="Arial" w:hAnsi="Arial"/>
          <w:sz w:val="16"/>
          <w:szCs w:val="16"/>
          <w:u w:val="single" w:color="auto"/>
          <w:color w:val="282828"/>
        </w:rPr>
        <w:t xml:space="preserve"> </w:t>
      </w:r>
      <w:r>
        <w:rPr>
          <w:rFonts w:ascii="Arial" w:cs="Arial" w:eastAsia="Arial" w:hAnsi="Arial"/>
          <w:sz w:val="16"/>
          <w:szCs w:val="16"/>
          <w:color w:val="383838"/>
        </w:rPr>
        <w:t>warrant</w:t>
      </w:r>
      <w:r>
        <w:rPr>
          <w:rFonts w:ascii="Arial" w:cs="Arial" w:eastAsia="Arial" w:hAnsi="Arial"/>
          <w:sz w:val="16"/>
          <w:szCs w:val="16"/>
          <w:u w:val="single" w:color="auto"/>
          <w:color w:val="282828"/>
        </w:rPr>
        <w:t xml:space="preserve"> </w:t>
      </w:r>
      <w:r>
        <w:rPr>
          <w:rFonts w:ascii="Arial" w:cs="Arial" w:eastAsia="Arial" w:hAnsi="Arial"/>
          <w:sz w:val="16"/>
          <w:szCs w:val="16"/>
          <w:color w:val="282828"/>
        </w:rPr>
        <w:t>to</w:t>
      </w:r>
      <w:r>
        <w:rPr>
          <w:rFonts w:ascii="Arial" w:cs="Arial" w:eastAsia="Arial" w:hAnsi="Arial"/>
          <w:sz w:val="16"/>
          <w:szCs w:val="16"/>
          <w:u w:val="single" w:color="auto"/>
          <w:color w:val="282828"/>
        </w:rPr>
        <w:t xml:space="preserve"> </w:t>
      </w:r>
      <w:r>
        <w:rPr>
          <w:rFonts w:ascii="Arial" w:cs="Arial" w:eastAsia="Arial" w:hAnsi="Arial"/>
          <w:sz w:val="16"/>
          <w:szCs w:val="16"/>
          <w:color w:val="383838"/>
        </w:rPr>
        <w:t>the other</w:t>
      </w:r>
    </w:p>
    <w:p>
      <w:pPr>
        <w:spacing w:after="0" w:line="16" w:lineRule="exact"/>
        <w:rPr>
          <w:sz w:val="20"/>
          <w:szCs w:val="20"/>
          <w:color w:val="auto"/>
        </w:rPr>
      </w:pPr>
    </w:p>
    <w:p>
      <w:pPr>
        <w:ind w:left="33" w:right="80"/>
        <w:spacing w:after="0" w:line="274" w:lineRule="auto"/>
        <w:rPr>
          <w:sz w:val="20"/>
          <w:szCs w:val="20"/>
          <w:color w:val="auto"/>
        </w:rPr>
      </w:pPr>
      <w:r>
        <w:rPr>
          <w:rFonts w:ascii="Arial" w:cs="Arial" w:eastAsia="Arial" w:hAnsi="Arial"/>
          <w:sz w:val="18"/>
          <w:szCs w:val="18"/>
          <w:color w:val="383838"/>
        </w:rPr>
        <w:t xml:space="preserve">that: (a) </w:t>
      </w:r>
      <w:r>
        <w:rPr>
          <w:rFonts w:ascii="Arial" w:cs="Arial" w:eastAsia="Arial" w:hAnsi="Arial"/>
          <w:sz w:val="18"/>
          <w:szCs w:val="18"/>
          <w:color w:val="282828"/>
        </w:rPr>
        <w:t>he</w:t>
      </w:r>
      <w:r>
        <w:rPr>
          <w:rFonts w:ascii="Arial" w:cs="Arial" w:eastAsia="Arial" w:hAnsi="Arial"/>
          <w:sz w:val="18"/>
          <w:szCs w:val="18"/>
          <w:color w:val="383838"/>
        </w:rPr>
        <w:t xml:space="preserve"> or </w:t>
      </w:r>
      <w:r>
        <w:rPr>
          <w:rFonts w:ascii="Arial" w:cs="Arial" w:eastAsia="Arial" w:hAnsi="Arial"/>
          <w:sz w:val="18"/>
          <w:szCs w:val="18"/>
          <w:color w:val="282828"/>
        </w:rPr>
        <w:t>it has full power,</w:t>
      </w:r>
      <w:r>
        <w:rPr>
          <w:rFonts w:ascii="Arial" w:cs="Arial" w:eastAsia="Arial" w:hAnsi="Arial"/>
          <w:sz w:val="18"/>
          <w:szCs w:val="18"/>
          <w:color w:val="383838"/>
        </w:rPr>
        <w:t xml:space="preserve"> authority and capacity to execute and </w:t>
      </w:r>
      <w:r>
        <w:rPr>
          <w:rFonts w:ascii="Arial" w:cs="Arial" w:eastAsia="Arial" w:hAnsi="Arial"/>
          <w:sz w:val="18"/>
          <w:szCs w:val="18"/>
          <w:color w:val="282828"/>
        </w:rPr>
        <w:t>deliver this</w:t>
      </w:r>
      <w:r>
        <w:rPr>
          <w:rFonts w:ascii="Arial" w:cs="Arial" w:eastAsia="Arial" w:hAnsi="Arial"/>
          <w:sz w:val="18"/>
          <w:szCs w:val="18"/>
          <w:color w:val="383838"/>
        </w:rPr>
        <w:t xml:space="preserve"> Agreement</w:t>
      </w:r>
      <w:r>
        <w:rPr>
          <w:rFonts w:ascii="Arial" w:cs="Arial" w:eastAsia="Arial" w:hAnsi="Arial"/>
          <w:sz w:val="18"/>
          <w:szCs w:val="18"/>
          <w:color w:val="545454"/>
        </w:rPr>
        <w:t>,</w:t>
      </w:r>
      <w:r>
        <w:rPr>
          <w:rFonts w:ascii="Arial" w:cs="Arial" w:eastAsia="Arial" w:hAnsi="Arial"/>
          <w:sz w:val="18"/>
          <w:szCs w:val="18"/>
          <w:color w:val="383838"/>
        </w:rPr>
        <w:t xml:space="preserve"> and </w:t>
      </w:r>
      <w:r>
        <w:rPr>
          <w:rFonts w:ascii="Arial" w:cs="Arial" w:eastAsia="Arial" w:hAnsi="Arial"/>
          <w:sz w:val="18"/>
          <w:szCs w:val="18"/>
          <w:color w:val="282828"/>
        </w:rPr>
        <w:t>to perform his</w:t>
      </w:r>
      <w:r>
        <w:rPr>
          <w:rFonts w:ascii="Arial" w:cs="Arial" w:eastAsia="Arial" w:hAnsi="Arial"/>
          <w:sz w:val="18"/>
          <w:szCs w:val="18"/>
          <w:color w:val="383838"/>
        </w:rPr>
        <w:t xml:space="preserve"> or its obligations </w:t>
      </w:r>
      <w:r>
        <w:rPr>
          <w:rFonts w:ascii="Arial" w:cs="Arial" w:eastAsia="Arial" w:hAnsi="Arial"/>
          <w:sz w:val="18"/>
          <w:szCs w:val="18"/>
          <w:color w:val="282828"/>
        </w:rPr>
        <w:t>hereunder</w:t>
      </w:r>
      <w:r>
        <w:rPr>
          <w:rFonts w:ascii="Arial" w:cs="Arial" w:eastAsia="Arial" w:hAnsi="Arial"/>
          <w:sz w:val="18"/>
          <w:szCs w:val="18"/>
          <w:color w:val="545454"/>
        </w:rPr>
        <w:t>;</w:t>
      </w:r>
      <w:r>
        <w:rPr>
          <w:rFonts w:ascii="Arial" w:cs="Arial" w:eastAsia="Arial" w:hAnsi="Arial"/>
          <w:sz w:val="18"/>
          <w:szCs w:val="18"/>
          <w:color w:val="383838"/>
        </w:rPr>
        <w:t xml:space="preserve"> (b) suchexecution</w:t>
      </w:r>
      <w:r>
        <w:rPr>
          <w:rFonts w:ascii="Arial" w:cs="Arial" w:eastAsia="Arial" w:hAnsi="Arial"/>
          <w:sz w:val="18"/>
          <w:szCs w:val="18"/>
          <w:color w:val="545454"/>
        </w:rPr>
        <w:t>,</w:t>
      </w:r>
      <w:r>
        <w:rPr>
          <w:rFonts w:ascii="Arial" w:cs="Arial" w:eastAsia="Arial" w:hAnsi="Arial"/>
          <w:sz w:val="18"/>
          <w:szCs w:val="18"/>
          <w:color w:val="383838"/>
        </w:rPr>
        <w:t xml:space="preserve"> </w:t>
      </w:r>
      <w:r>
        <w:rPr>
          <w:rFonts w:ascii="Arial" w:cs="Arial" w:eastAsia="Arial" w:hAnsi="Arial"/>
          <w:sz w:val="18"/>
          <w:szCs w:val="18"/>
          <w:color w:val="282828"/>
        </w:rPr>
        <w:t>delivery</w:t>
      </w:r>
      <w:r>
        <w:rPr>
          <w:rFonts w:ascii="Arial" w:cs="Arial" w:eastAsia="Arial" w:hAnsi="Arial"/>
          <w:sz w:val="18"/>
          <w:szCs w:val="18"/>
          <w:color w:val="383838"/>
        </w:rPr>
        <w:t xml:space="preserve"> and </w:t>
      </w:r>
      <w:r>
        <w:rPr>
          <w:rFonts w:ascii="Arial" w:cs="Arial" w:eastAsia="Arial" w:hAnsi="Arial"/>
          <w:sz w:val="18"/>
          <w:szCs w:val="18"/>
          <w:color w:val="282828"/>
        </w:rPr>
        <w:t>performance</w:t>
      </w:r>
      <w:r>
        <w:rPr>
          <w:rFonts w:ascii="Arial" w:cs="Arial" w:eastAsia="Arial" w:hAnsi="Arial"/>
          <w:sz w:val="18"/>
          <w:szCs w:val="18"/>
          <w:color w:val="383838"/>
        </w:rPr>
        <w:t xml:space="preserve"> will not (and </w:t>
      </w:r>
      <w:r>
        <w:rPr>
          <w:rFonts w:ascii="Arial" w:cs="Arial" w:eastAsia="Arial" w:hAnsi="Arial"/>
          <w:sz w:val="18"/>
          <w:szCs w:val="18"/>
          <w:color w:val="282828"/>
        </w:rPr>
        <w:t>with the</w:t>
      </w:r>
      <w:r>
        <w:rPr>
          <w:rFonts w:ascii="Arial" w:cs="Arial" w:eastAsia="Arial" w:hAnsi="Arial"/>
          <w:sz w:val="18"/>
          <w:szCs w:val="18"/>
          <w:color w:val="383838"/>
        </w:rPr>
        <w:t xml:space="preserve"> giving of </w:t>
      </w:r>
      <w:r>
        <w:rPr>
          <w:rFonts w:ascii="Arial" w:cs="Arial" w:eastAsia="Arial" w:hAnsi="Arial"/>
          <w:sz w:val="18"/>
          <w:szCs w:val="18"/>
          <w:color w:val="282828"/>
        </w:rPr>
        <w:t>notice</w:t>
      </w:r>
      <w:r>
        <w:rPr>
          <w:rFonts w:ascii="Arial" w:cs="Arial" w:eastAsia="Arial" w:hAnsi="Arial"/>
          <w:sz w:val="18"/>
          <w:szCs w:val="18"/>
          <w:color w:val="383838"/>
        </w:rPr>
        <w:t xml:space="preserve"> or lapse of time or </w:t>
      </w:r>
      <w:r>
        <w:rPr>
          <w:rFonts w:ascii="Arial" w:cs="Arial" w:eastAsia="Arial" w:hAnsi="Arial"/>
          <w:sz w:val="18"/>
          <w:szCs w:val="18"/>
          <w:color w:val="282828"/>
        </w:rPr>
        <w:t>both</w:t>
      </w:r>
      <w:r>
        <w:rPr>
          <w:rFonts w:ascii="Arial" w:cs="Arial" w:eastAsia="Arial" w:hAnsi="Arial"/>
          <w:sz w:val="18"/>
          <w:szCs w:val="18"/>
          <w:color w:val="383838"/>
        </w:rPr>
        <w:t xml:space="preserve"> would </w:t>
      </w:r>
      <w:r>
        <w:rPr>
          <w:rFonts w:ascii="Arial" w:cs="Arial" w:eastAsia="Arial" w:hAnsi="Arial"/>
          <w:sz w:val="18"/>
          <w:szCs w:val="18"/>
          <w:color w:val="282828"/>
        </w:rPr>
        <w:t>not) result in the breach</w:t>
      </w:r>
      <w:r>
        <w:rPr>
          <w:rFonts w:ascii="Arial" w:cs="Arial" w:eastAsia="Arial" w:hAnsi="Arial"/>
          <w:sz w:val="18"/>
          <w:szCs w:val="18"/>
          <w:color w:val="383838"/>
        </w:rPr>
        <w:t xml:space="preserve"> of any agreements or </w:t>
      </w:r>
      <w:r>
        <w:rPr>
          <w:rFonts w:ascii="Arial" w:cs="Arial" w:eastAsia="Arial" w:hAnsi="Arial"/>
          <w:sz w:val="18"/>
          <w:szCs w:val="18"/>
          <w:color w:val="282828"/>
        </w:rPr>
        <w:t>other</w:t>
      </w:r>
      <w:r>
        <w:rPr>
          <w:rFonts w:ascii="Arial" w:cs="Arial" w:eastAsia="Arial" w:hAnsi="Arial"/>
          <w:sz w:val="18"/>
          <w:szCs w:val="18"/>
          <w:color w:val="383838"/>
        </w:rPr>
        <w:t xml:space="preserve"> obligations </w:t>
      </w:r>
      <w:r>
        <w:rPr>
          <w:rFonts w:ascii="Arial" w:cs="Arial" w:eastAsia="Arial" w:hAnsi="Arial"/>
          <w:sz w:val="18"/>
          <w:szCs w:val="18"/>
          <w:color w:val="282828"/>
        </w:rPr>
        <w:t>to</w:t>
      </w:r>
      <w:r>
        <w:rPr>
          <w:rFonts w:ascii="Arial" w:cs="Arial" w:eastAsia="Arial" w:hAnsi="Arial"/>
          <w:sz w:val="18"/>
          <w:szCs w:val="18"/>
          <w:color w:val="383838"/>
        </w:rPr>
        <w:t xml:space="preserve"> which </w:t>
      </w:r>
      <w:r>
        <w:rPr>
          <w:rFonts w:ascii="Arial" w:cs="Arial" w:eastAsia="Arial" w:hAnsi="Arial"/>
          <w:sz w:val="18"/>
          <w:szCs w:val="18"/>
          <w:color w:val="282828"/>
        </w:rPr>
        <w:t>he</w:t>
      </w:r>
      <w:r>
        <w:rPr>
          <w:rFonts w:ascii="Arial" w:cs="Arial" w:eastAsia="Arial" w:hAnsi="Arial"/>
          <w:sz w:val="18"/>
          <w:szCs w:val="18"/>
          <w:color w:val="383838"/>
        </w:rPr>
        <w:t xml:space="preserve"> orit </w:t>
      </w:r>
      <w:r>
        <w:rPr>
          <w:rFonts w:ascii="Arial" w:cs="Arial" w:eastAsia="Arial" w:hAnsi="Arial"/>
          <w:sz w:val="18"/>
          <w:szCs w:val="18"/>
          <w:color w:val="282828"/>
        </w:rPr>
        <w:t>is</w:t>
      </w:r>
      <w:r>
        <w:rPr>
          <w:rFonts w:ascii="Arial" w:cs="Arial" w:eastAsia="Arial" w:hAnsi="Arial"/>
          <w:sz w:val="18"/>
          <w:szCs w:val="18"/>
          <w:color w:val="383838"/>
        </w:rPr>
        <w:t xml:space="preserve"> a </w:t>
      </w:r>
      <w:r>
        <w:rPr>
          <w:rFonts w:ascii="Arial" w:cs="Arial" w:eastAsia="Arial" w:hAnsi="Arial"/>
          <w:sz w:val="18"/>
          <w:szCs w:val="18"/>
          <w:color w:val="282828"/>
        </w:rPr>
        <w:t>party or he or it is</w:t>
      </w:r>
      <w:r>
        <w:rPr>
          <w:rFonts w:ascii="Arial" w:cs="Arial" w:eastAsia="Arial" w:hAnsi="Arial"/>
          <w:sz w:val="18"/>
          <w:szCs w:val="18"/>
          <w:color w:val="383838"/>
        </w:rPr>
        <w:t xml:space="preserve"> otherwise </w:t>
      </w:r>
      <w:r>
        <w:rPr>
          <w:rFonts w:ascii="Arial" w:cs="Arial" w:eastAsia="Arial" w:hAnsi="Arial"/>
          <w:sz w:val="18"/>
          <w:szCs w:val="18"/>
          <w:color w:val="282828"/>
        </w:rPr>
        <w:t>bound</w:t>
      </w:r>
      <w:r>
        <w:rPr>
          <w:rFonts w:ascii="Arial" w:cs="Arial" w:eastAsia="Arial" w:hAnsi="Arial"/>
          <w:sz w:val="18"/>
          <w:szCs w:val="18"/>
          <w:color w:val="545454"/>
        </w:rPr>
        <w:t>;</w:t>
      </w:r>
      <w:r>
        <w:rPr>
          <w:rFonts w:ascii="Arial" w:cs="Arial" w:eastAsia="Arial" w:hAnsi="Arial"/>
          <w:sz w:val="18"/>
          <w:szCs w:val="18"/>
          <w:color w:val="383838"/>
        </w:rPr>
        <w:t xml:space="preserve"> (c) </w:t>
      </w:r>
      <w:r>
        <w:rPr>
          <w:rFonts w:ascii="Arial" w:cs="Arial" w:eastAsia="Arial" w:hAnsi="Arial"/>
          <w:sz w:val="18"/>
          <w:szCs w:val="18"/>
          <w:color w:val="282828"/>
        </w:rPr>
        <w:t>this Agreement is</w:t>
      </w:r>
      <w:r>
        <w:rPr>
          <w:rFonts w:ascii="Arial" w:cs="Arial" w:eastAsia="Arial" w:hAnsi="Arial"/>
          <w:sz w:val="18"/>
          <w:szCs w:val="18"/>
          <w:color w:val="383838"/>
        </w:rPr>
        <w:t xml:space="preserve"> a valid and </w:t>
      </w:r>
      <w:r>
        <w:rPr>
          <w:rFonts w:ascii="Arial" w:cs="Arial" w:eastAsia="Arial" w:hAnsi="Arial"/>
          <w:sz w:val="18"/>
          <w:szCs w:val="18"/>
          <w:color w:val="282828"/>
        </w:rPr>
        <w:t>binding</w:t>
      </w:r>
      <w:r>
        <w:rPr>
          <w:rFonts w:ascii="Arial" w:cs="Arial" w:eastAsia="Arial" w:hAnsi="Arial"/>
          <w:sz w:val="18"/>
          <w:szCs w:val="18"/>
          <w:color w:val="383838"/>
        </w:rPr>
        <w:t xml:space="preserve"> obligation </w:t>
      </w:r>
      <w:r>
        <w:rPr>
          <w:rFonts w:ascii="Arial" w:cs="Arial" w:eastAsia="Arial" w:hAnsi="Arial"/>
          <w:sz w:val="18"/>
          <w:szCs w:val="18"/>
          <w:color w:val="282828"/>
        </w:rPr>
        <w:t>in accordance with its terms</w:t>
      </w:r>
      <w:r>
        <w:rPr>
          <w:rFonts w:ascii="Arial" w:cs="Arial" w:eastAsia="Arial" w:hAnsi="Arial"/>
          <w:sz w:val="18"/>
          <w:szCs w:val="18"/>
          <w:color w:val="383838"/>
        </w:rPr>
        <w:t xml:space="preserve"> for </w:t>
      </w:r>
      <w:r>
        <w:rPr>
          <w:rFonts w:ascii="Arial" w:cs="Arial" w:eastAsia="Arial" w:hAnsi="Arial"/>
          <w:sz w:val="18"/>
          <w:szCs w:val="18"/>
          <w:color w:val="282828"/>
        </w:rPr>
        <w:t>both parties</w:t>
      </w:r>
      <w:r>
        <w:rPr>
          <w:rFonts w:ascii="Arial" w:cs="Arial" w:eastAsia="Arial" w:hAnsi="Arial"/>
          <w:sz w:val="18"/>
          <w:szCs w:val="18"/>
          <w:color w:val="545454"/>
        </w:rPr>
        <w:t>;</w:t>
      </w:r>
      <w:r>
        <w:rPr>
          <w:rFonts w:ascii="Arial" w:cs="Arial" w:eastAsia="Arial" w:hAnsi="Arial"/>
          <w:sz w:val="18"/>
          <w:szCs w:val="18"/>
          <w:color w:val="383838"/>
        </w:rPr>
        <w:t xml:space="preserve"> (d) Executive </w:t>
      </w:r>
      <w:r>
        <w:rPr>
          <w:rFonts w:ascii="Arial" w:cs="Arial" w:eastAsia="Arial" w:hAnsi="Arial"/>
          <w:sz w:val="18"/>
          <w:szCs w:val="18"/>
          <w:color w:val="282828"/>
        </w:rPr>
        <w:t>represents</w:t>
      </w:r>
      <w:r>
        <w:rPr>
          <w:rFonts w:ascii="Arial" w:cs="Arial" w:eastAsia="Arial" w:hAnsi="Arial"/>
          <w:sz w:val="18"/>
          <w:szCs w:val="18"/>
          <w:color w:val="383838"/>
        </w:rPr>
        <w:t xml:space="preserve"> and </w:t>
      </w:r>
      <w:r>
        <w:rPr>
          <w:rFonts w:ascii="Arial" w:cs="Arial" w:eastAsia="Arial" w:hAnsi="Arial"/>
          <w:sz w:val="18"/>
          <w:szCs w:val="18"/>
          <w:color w:val="282828"/>
        </w:rPr>
        <w:t>warrants that he is under no other obligations,</w:t>
      </w:r>
      <w:r>
        <w:rPr>
          <w:rFonts w:ascii="Arial" w:cs="Arial" w:eastAsia="Arial" w:hAnsi="Arial"/>
          <w:sz w:val="18"/>
          <w:szCs w:val="18"/>
          <w:color w:val="383838"/>
        </w:rPr>
        <w:t xml:space="preserve"> contractual or otherwise, </w:t>
      </w:r>
      <w:r>
        <w:rPr>
          <w:rFonts w:ascii="Arial" w:cs="Arial" w:eastAsia="Arial" w:hAnsi="Arial"/>
          <w:sz w:val="18"/>
          <w:szCs w:val="18"/>
          <w:color w:val="282828"/>
        </w:rPr>
        <w:t>that</w:t>
      </w:r>
      <w:r>
        <w:rPr>
          <w:rFonts w:ascii="Arial" w:cs="Arial" w:eastAsia="Arial" w:hAnsi="Arial"/>
          <w:sz w:val="18"/>
          <w:szCs w:val="18"/>
          <w:color w:val="383838"/>
        </w:rPr>
        <w:t xml:space="preserve"> could impair </w:t>
      </w:r>
      <w:r>
        <w:rPr>
          <w:rFonts w:ascii="Arial" w:cs="Arial" w:eastAsia="Arial" w:hAnsi="Arial"/>
          <w:sz w:val="18"/>
          <w:szCs w:val="18"/>
          <w:color w:val="282828"/>
        </w:rPr>
        <w: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463550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73"/>
          </w:cols>
          <w:pgMar w:left="827" w:top="670" w:right="1099" w:bottom="1440" w:gutter="0" w:footer="0" w:header="0"/>
        </w:sectPr>
      </w:pPr>
    </w:p>
    <w:bookmarkStart w:id="163" w:name="page164"/>
    <w:bookmarkEnd w:id="163"/>
    <w:p>
      <w:pPr>
        <w:ind w:left="20"/>
        <w:spacing w:after="0" w:line="268" w:lineRule="auto"/>
        <w:rPr>
          <w:sz w:val="20"/>
          <w:szCs w:val="20"/>
          <w:color w:val="auto"/>
        </w:rPr>
      </w:pPr>
      <w:r>
        <w:rPr>
          <w:rFonts w:ascii="Arial" w:cs="Arial" w:eastAsia="Arial" w:hAnsi="Arial"/>
          <w:sz w:val="19"/>
          <w:szCs w:val="19"/>
          <w:color w:val="2F2F2F"/>
        </w:rPr>
        <w:t>ability to perform fully and satisfactorily all of his obligations under this Agreement; (e) Executive has had full opportunity to review this Agreement, to obtain all legal advice he hasdeemed necessary or appropriate and has either done so</w:t>
      </w:r>
      <w:r>
        <w:rPr>
          <w:rFonts w:ascii="Arial" w:cs="Arial" w:eastAsia="Arial" w:hAnsi="Arial"/>
          <w:sz w:val="19"/>
          <w:szCs w:val="19"/>
          <w:color w:val="4B4B4B"/>
        </w:rPr>
        <w:t>,</w:t>
      </w:r>
      <w:r>
        <w:rPr>
          <w:rFonts w:ascii="Arial" w:cs="Arial" w:eastAsia="Arial" w:hAnsi="Arial"/>
          <w:sz w:val="19"/>
          <w:szCs w:val="19"/>
          <w:color w:val="2F2F2F"/>
        </w:rPr>
        <w:t xml:space="preserve"> or voluntarily and knowingl</w:t>
      </w:r>
      <w:r>
        <w:rPr>
          <w:rFonts w:ascii="Arial" w:cs="Arial" w:eastAsia="Arial" w:hAnsi="Arial"/>
          <w:sz w:val="19"/>
          <w:szCs w:val="19"/>
          <w:color w:val="4B4B4B"/>
        </w:rPr>
        <w:t>y</w:t>
      </w:r>
      <w:r>
        <w:rPr>
          <w:rFonts w:ascii="Arial" w:cs="Arial" w:eastAsia="Arial" w:hAnsi="Arial"/>
          <w:sz w:val="19"/>
          <w:szCs w:val="19"/>
          <w:color w:val="2F2F2F"/>
        </w:rPr>
        <w:t xml:space="preserve"> declined to do so</w:t>
      </w:r>
      <w:r>
        <w:rPr>
          <w:rFonts w:ascii="Arial" w:cs="Arial" w:eastAsia="Arial" w:hAnsi="Arial"/>
          <w:sz w:val="19"/>
          <w:szCs w:val="19"/>
          <w:color w:val="4B4B4B"/>
        </w:rPr>
        <w:t>;</w:t>
      </w:r>
      <w:r>
        <w:rPr>
          <w:rFonts w:ascii="Arial" w:cs="Arial" w:eastAsia="Arial" w:hAnsi="Arial"/>
          <w:sz w:val="19"/>
          <w:szCs w:val="19"/>
          <w:color w:val="2F2F2F"/>
        </w:rPr>
        <w:t xml:space="preserve"> and (f) neither party has been induced </w:t>
      </w:r>
      <w:r>
        <w:rPr>
          <w:rFonts w:ascii="Arial" w:cs="Arial" w:eastAsia="Arial" w:hAnsi="Arial"/>
          <w:sz w:val="19"/>
          <w:szCs w:val="19"/>
          <w:color w:val="4B4B4B"/>
        </w:rPr>
        <w:t>t</w:t>
      </w:r>
      <w:r>
        <w:rPr>
          <w:rFonts w:ascii="Arial" w:cs="Arial" w:eastAsia="Arial" w:hAnsi="Arial"/>
          <w:sz w:val="19"/>
          <w:szCs w:val="19"/>
          <w:color w:val="2F2F2F"/>
        </w:rPr>
        <w:t>o enter into this Agreement throughany promises</w:t>
      </w:r>
      <w:r>
        <w:rPr>
          <w:rFonts w:ascii="Arial" w:cs="Arial" w:eastAsia="Arial" w:hAnsi="Arial"/>
          <w:sz w:val="19"/>
          <w:szCs w:val="19"/>
          <w:color w:val="4B4B4B"/>
        </w:rPr>
        <w:t>,</w:t>
      </w:r>
      <w:r>
        <w:rPr>
          <w:rFonts w:ascii="Arial" w:cs="Arial" w:eastAsia="Arial" w:hAnsi="Arial"/>
          <w:sz w:val="19"/>
          <w:szCs w:val="19"/>
          <w:color w:val="2F2F2F"/>
        </w:rPr>
        <w:t xml:space="preserve"> threats</w:t>
      </w:r>
      <w:r>
        <w:rPr>
          <w:rFonts w:ascii="Arial" w:cs="Arial" w:eastAsia="Arial" w:hAnsi="Arial"/>
          <w:sz w:val="19"/>
          <w:szCs w:val="19"/>
          <w:color w:val="4B4B4B"/>
        </w:rPr>
        <w:t>,</w:t>
      </w:r>
      <w:r>
        <w:rPr>
          <w:rFonts w:ascii="Arial" w:cs="Arial" w:eastAsia="Arial" w:hAnsi="Arial"/>
          <w:sz w:val="19"/>
          <w:szCs w:val="19"/>
          <w:color w:val="2F2F2F"/>
        </w:rPr>
        <w:t xml:space="preserve"> coercion</w:t>
      </w:r>
      <w:r>
        <w:rPr>
          <w:rFonts w:ascii="Arial" w:cs="Arial" w:eastAsia="Arial" w:hAnsi="Arial"/>
          <w:sz w:val="19"/>
          <w:szCs w:val="19"/>
          <w:color w:val="4B4B4B"/>
        </w:rPr>
        <w:t>,</w:t>
      </w:r>
      <w:r>
        <w:rPr>
          <w:rFonts w:ascii="Arial" w:cs="Arial" w:eastAsia="Arial" w:hAnsi="Arial"/>
          <w:sz w:val="19"/>
          <w:szCs w:val="19"/>
          <w:color w:val="2F2F2F"/>
        </w:rPr>
        <w:t xml:space="preserve"> or benefit</w:t>
      </w:r>
      <w:r>
        <w:rPr>
          <w:rFonts w:ascii="Arial" w:cs="Arial" w:eastAsia="Arial" w:hAnsi="Arial"/>
          <w:sz w:val="19"/>
          <w:szCs w:val="19"/>
          <w:color w:val="4B4B4B"/>
        </w:rPr>
        <w:t>s</w:t>
      </w:r>
      <w:r>
        <w:rPr>
          <w:rFonts w:ascii="Arial" w:cs="Arial" w:eastAsia="Arial" w:hAnsi="Arial"/>
          <w:sz w:val="19"/>
          <w:szCs w:val="19"/>
          <w:color w:val="2F2F2F"/>
        </w:rPr>
        <w:t xml:space="preserve"> not set forth expre</w:t>
      </w:r>
      <w:r>
        <w:rPr>
          <w:rFonts w:ascii="Arial" w:cs="Arial" w:eastAsia="Arial" w:hAnsi="Arial"/>
          <w:sz w:val="19"/>
          <w:szCs w:val="19"/>
          <w:color w:val="4B4B4B"/>
        </w:rPr>
        <w:t>s</w:t>
      </w:r>
      <w:r>
        <w:rPr>
          <w:rFonts w:ascii="Arial" w:cs="Arial" w:eastAsia="Arial" w:hAnsi="Arial"/>
          <w:sz w:val="19"/>
          <w:szCs w:val="19"/>
          <w:color w:val="2F2F2F"/>
        </w:rPr>
        <w:t>sly in writing in this Agr</w:t>
      </w:r>
      <w:r>
        <w:rPr>
          <w:rFonts w:ascii="Arial" w:cs="Arial" w:eastAsia="Arial" w:hAnsi="Arial"/>
          <w:sz w:val="19"/>
          <w:szCs w:val="19"/>
          <w:color w:val="4B4B4B"/>
        </w:rPr>
        <w:t>e</w:t>
      </w:r>
      <w:r>
        <w:rPr>
          <w:rFonts w:ascii="Arial" w:cs="Arial" w:eastAsia="Arial" w:hAnsi="Arial"/>
          <w:sz w:val="19"/>
          <w:szCs w:val="19"/>
          <w:color w:val="2F2F2F"/>
        </w:rPr>
        <w:t>ement.</w:t>
      </w:r>
    </w:p>
    <w:p>
      <w:pPr>
        <w:spacing w:after="0" w:line="117" w:lineRule="exact"/>
        <w:rPr>
          <w:sz w:val="20"/>
          <w:szCs w:val="20"/>
          <w:color w:val="auto"/>
        </w:rPr>
      </w:pPr>
    </w:p>
    <w:p>
      <w:pPr>
        <w:ind w:right="440" w:firstLine="362"/>
        <w:spacing w:after="0" w:line="288" w:lineRule="auto"/>
        <w:rPr>
          <w:sz w:val="20"/>
          <w:szCs w:val="20"/>
          <w:color w:val="auto"/>
        </w:rPr>
      </w:pPr>
      <w:r>
        <w:rPr>
          <w:rFonts w:ascii="Arial" w:cs="Arial" w:eastAsia="Arial" w:hAnsi="Arial"/>
          <w:sz w:val="18"/>
          <w:szCs w:val="18"/>
          <w:color w:val="2F2F2F"/>
        </w:rPr>
        <w:t xml:space="preserve">10.4 </w:t>
      </w:r>
      <w:r>
        <w:rPr>
          <w:rFonts w:ascii="Arial" w:cs="Arial" w:eastAsia="Arial" w:hAnsi="Arial"/>
          <w:sz w:val="18"/>
          <w:szCs w:val="18"/>
          <w:u w:val="single" w:color="auto"/>
          <w:color w:val="2F2F2F"/>
        </w:rPr>
        <w:t>Attorney's Fees.</w:t>
      </w:r>
      <w:r>
        <w:rPr>
          <w:rFonts w:ascii="Arial" w:cs="Arial" w:eastAsia="Arial" w:hAnsi="Arial"/>
          <w:sz w:val="18"/>
          <w:szCs w:val="18"/>
          <w:color w:val="2F2F2F"/>
        </w:rPr>
        <w:t xml:space="preserve"> </w:t>
      </w:r>
      <w:r>
        <w:rPr>
          <w:rFonts w:ascii="Arial" w:cs="Arial" w:eastAsia="Arial" w:hAnsi="Arial"/>
          <w:sz w:val="20"/>
          <w:szCs w:val="20"/>
          <w:color w:val="2F2F2F"/>
        </w:rPr>
        <w:t>In</w:t>
      </w:r>
      <w:r>
        <w:rPr>
          <w:rFonts w:ascii="Arial" w:cs="Arial" w:eastAsia="Arial" w:hAnsi="Arial"/>
          <w:sz w:val="18"/>
          <w:szCs w:val="18"/>
          <w:color w:val="2F2F2F"/>
        </w:rPr>
        <w:t xml:space="preserve"> the event that any party shall bring an action or proceeding inconnection with the performance</w:t>
      </w:r>
      <w:r>
        <w:rPr>
          <w:rFonts w:ascii="Arial" w:cs="Arial" w:eastAsia="Arial" w:hAnsi="Arial"/>
          <w:sz w:val="18"/>
          <w:szCs w:val="18"/>
          <w:color w:val="4B4B4B"/>
        </w:rPr>
        <w:t>,</w:t>
      </w:r>
      <w:r>
        <w:rPr>
          <w:rFonts w:ascii="Arial" w:cs="Arial" w:eastAsia="Arial" w:hAnsi="Arial"/>
          <w:sz w:val="18"/>
          <w:szCs w:val="18"/>
          <w:color w:val="2F2F2F"/>
        </w:rPr>
        <w:t xml:space="preserve"> breach or interpretation of this Agreement, then the prevailing party in any such action or proceeding, as determined by the court, arbitrator or other bod</w:t>
      </w:r>
      <w:r>
        <w:rPr>
          <w:rFonts w:ascii="Arial" w:cs="Arial" w:eastAsia="Arial" w:hAnsi="Arial"/>
          <w:sz w:val="18"/>
          <w:szCs w:val="18"/>
          <w:color w:val="4B4B4B"/>
        </w:rPr>
        <w:t>y</w:t>
      </w:r>
      <w:r>
        <w:rPr>
          <w:rFonts w:ascii="Arial" w:cs="Arial" w:eastAsia="Arial" w:hAnsi="Arial"/>
          <w:sz w:val="18"/>
          <w:szCs w:val="18"/>
          <w:color w:val="2F2F2F"/>
        </w:rPr>
        <w:t xml:space="preserve"> having jurisdiction</w:t>
      </w:r>
      <w:r>
        <w:rPr>
          <w:rFonts w:ascii="Arial" w:cs="Arial" w:eastAsia="Arial" w:hAnsi="Arial"/>
          <w:sz w:val="18"/>
          <w:szCs w:val="18"/>
          <w:color w:val="4B4B4B"/>
        </w:rPr>
        <w:t>,</w:t>
      </w:r>
      <w:r>
        <w:rPr>
          <w:rFonts w:ascii="Arial" w:cs="Arial" w:eastAsia="Arial" w:hAnsi="Arial"/>
          <w:sz w:val="18"/>
          <w:szCs w:val="18"/>
          <w:color w:val="2F2F2F"/>
        </w:rPr>
        <w:t xml:space="preserve"> shall be entitled to recover from the losing party all reasonable costs and expenses of such action or proceeding</w:t>
      </w:r>
      <w:r>
        <w:rPr>
          <w:rFonts w:ascii="Arial" w:cs="Arial" w:eastAsia="Arial" w:hAnsi="Arial"/>
          <w:sz w:val="18"/>
          <w:szCs w:val="18"/>
          <w:color w:val="4B4B4B"/>
        </w:rPr>
        <w:t>,</w:t>
      </w:r>
      <w:r>
        <w:rPr>
          <w:rFonts w:ascii="Arial" w:cs="Arial" w:eastAsia="Arial" w:hAnsi="Arial"/>
          <w:sz w:val="18"/>
          <w:szCs w:val="18"/>
          <w:color w:val="2F2F2F"/>
        </w:rPr>
        <w:t xml:space="preserve"> including reasonable attorneys</w:t>
      </w:r>
      <w:r>
        <w:rPr>
          <w:rFonts w:ascii="Arial" w:cs="Arial" w:eastAsia="Arial" w:hAnsi="Arial"/>
          <w:sz w:val="18"/>
          <w:szCs w:val="18"/>
          <w:color w:val="4B4B4B"/>
        </w:rPr>
        <w:t>'</w:t>
      </w:r>
      <w:r>
        <w:rPr>
          <w:rFonts w:ascii="Arial" w:cs="Arial" w:eastAsia="Arial" w:hAnsi="Arial"/>
          <w:sz w:val="18"/>
          <w:szCs w:val="18"/>
          <w:color w:val="2F2F2F"/>
        </w:rPr>
        <w:t xml:space="preserve"> fees and court costs</w:t>
      </w:r>
      <w:r>
        <w:rPr>
          <w:rFonts w:ascii="Arial" w:cs="Arial" w:eastAsia="Arial" w:hAnsi="Arial"/>
          <w:sz w:val="18"/>
          <w:szCs w:val="18"/>
          <w:color w:val="4B4B4B"/>
        </w:rPr>
        <w:t>.</w:t>
      </w:r>
    </w:p>
    <w:p>
      <w:pPr>
        <w:spacing w:after="0" w:line="141" w:lineRule="exact"/>
        <w:rPr>
          <w:sz w:val="20"/>
          <w:szCs w:val="20"/>
          <w:color w:val="auto"/>
        </w:rPr>
      </w:pPr>
    </w:p>
    <w:p>
      <w:pPr>
        <w:ind w:left="20" w:right="580" w:firstLine="689"/>
        <w:spacing w:after="0" w:line="316" w:lineRule="auto"/>
        <w:rPr>
          <w:sz w:val="20"/>
          <w:szCs w:val="20"/>
          <w:color w:val="auto"/>
        </w:rPr>
      </w:pPr>
      <w:r>
        <w:rPr>
          <w:rFonts w:ascii="Arial" w:cs="Arial" w:eastAsia="Arial" w:hAnsi="Arial"/>
          <w:sz w:val="18"/>
          <w:szCs w:val="18"/>
          <w:color w:val="2F2F2F"/>
        </w:rPr>
        <w:t xml:space="preserve">10.5 </w:t>
      </w:r>
      <w:r>
        <w:rPr>
          <w:rFonts w:ascii="Arial" w:cs="Arial" w:eastAsia="Arial" w:hAnsi="Arial"/>
          <w:sz w:val="18"/>
          <w:szCs w:val="18"/>
          <w:u w:val="single" w:color="auto"/>
          <w:color w:val="2F2F2F"/>
        </w:rPr>
        <w:t>Counterparts.</w:t>
      </w:r>
      <w:r>
        <w:rPr>
          <w:rFonts w:ascii="Arial" w:cs="Arial" w:eastAsia="Arial" w:hAnsi="Arial"/>
          <w:sz w:val="18"/>
          <w:szCs w:val="18"/>
          <w:color w:val="2F2F2F"/>
        </w:rPr>
        <w:t xml:space="preserve"> This Agreement may be executed on separate </w:t>
      </w:r>
      <w:r>
        <w:rPr>
          <w:rFonts w:ascii="Arial" w:cs="Arial" w:eastAsia="Arial" w:hAnsi="Arial"/>
          <w:sz w:val="18"/>
          <w:szCs w:val="18"/>
          <w:color w:val="4B4B4B"/>
        </w:rPr>
        <w:t>c</w:t>
      </w:r>
      <w:r>
        <w:rPr>
          <w:rFonts w:ascii="Arial" w:cs="Arial" w:eastAsia="Arial" w:hAnsi="Arial"/>
          <w:sz w:val="18"/>
          <w:szCs w:val="18"/>
          <w:color w:val="2F2F2F"/>
        </w:rPr>
        <w:t>opies</w:t>
      </w:r>
      <w:r>
        <w:rPr>
          <w:rFonts w:ascii="Arial" w:cs="Arial" w:eastAsia="Arial" w:hAnsi="Arial"/>
          <w:sz w:val="18"/>
          <w:szCs w:val="18"/>
          <w:color w:val="4B4B4B"/>
        </w:rPr>
        <w:t>,</w:t>
      </w:r>
      <w:r>
        <w:rPr>
          <w:rFonts w:ascii="Arial" w:cs="Arial" w:eastAsia="Arial" w:hAnsi="Arial"/>
          <w:sz w:val="18"/>
          <w:szCs w:val="18"/>
          <w:color w:val="2F2F2F"/>
        </w:rPr>
        <w:t xml:space="preserve"> anyone of which need not contain signatures of more than one party but all of which tak</w:t>
      </w:r>
      <w:r>
        <w:rPr>
          <w:rFonts w:ascii="Arial" w:cs="Arial" w:eastAsia="Arial" w:hAnsi="Arial"/>
          <w:sz w:val="18"/>
          <w:szCs w:val="18"/>
          <w:color w:val="4B4B4B"/>
        </w:rPr>
        <w:t>e</w:t>
      </w:r>
      <w:r>
        <w:rPr>
          <w:rFonts w:ascii="Arial" w:cs="Arial" w:eastAsia="Arial" w:hAnsi="Arial"/>
          <w:sz w:val="18"/>
          <w:szCs w:val="18"/>
          <w:color w:val="2F2F2F"/>
        </w:rPr>
        <w:t>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920"/>
        <w:spacing w:after="0"/>
        <w:rPr>
          <w:sz w:val="20"/>
          <w:szCs w:val="20"/>
          <w:color w:val="auto"/>
        </w:rPr>
      </w:pPr>
      <w:r>
        <w:rPr>
          <w:rFonts w:ascii="Arial" w:cs="Arial" w:eastAsia="Arial" w:hAnsi="Arial"/>
          <w:sz w:val="20"/>
          <w:szCs w:val="20"/>
          <w:color w:val="2F2F2F"/>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640715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80"/>
          </w:cols>
          <w:pgMar w:left="840" w:top="676" w:right="1079" w:bottom="1440"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5631815" cy="54432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5631815" cy="544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10.15</w:t>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EXECUTIVE EMPLOYMENT AGREEMENT</w:t>
      </w:r>
    </w:p>
    <w:p>
      <w:pPr>
        <w:spacing w:after="0" w:line="307" w:lineRule="exact"/>
        <w:rPr>
          <w:sz w:val="20"/>
          <w:szCs w:val="20"/>
          <w:color w:val="auto"/>
        </w:rPr>
      </w:pPr>
    </w:p>
    <w:p>
      <w:pPr>
        <w:jc w:val="both"/>
        <w:ind w:right="420" w:firstLine="810"/>
        <w:spacing w:after="0"/>
        <w:rPr>
          <w:sz w:val="20"/>
          <w:szCs w:val="20"/>
          <w:color w:val="auto"/>
        </w:rPr>
      </w:pPr>
      <w:r>
        <w:rPr>
          <w:rFonts w:ascii="Arial" w:cs="Arial" w:eastAsia="Arial" w:hAnsi="Arial"/>
          <w:sz w:val="22"/>
          <w:szCs w:val="22"/>
          <w:color w:val="auto"/>
        </w:rPr>
        <w:t>This EXECUTIVE EMPLOYMENT AGREEMENT (the “Agreement”) is made and entered into by and between AVITA Medical Americas, LLC, (the “Company”) and Kathy McGee, an individual (the “Executive”) with reference to the following:</w:t>
      </w:r>
    </w:p>
    <w:p>
      <w:pPr>
        <w:spacing w:after="0" w:line="180"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RECITALS</w:t>
      </w:r>
    </w:p>
    <w:p>
      <w:pPr>
        <w:spacing w:after="0" w:line="307"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WHEREAS, the Company desires to employ Executive to serve as the Chief Operating Officer of the Company;</w:t>
      </w:r>
    </w:p>
    <w:p>
      <w:pPr>
        <w:spacing w:after="0" w:line="241" w:lineRule="exact"/>
        <w:rPr>
          <w:sz w:val="20"/>
          <w:szCs w:val="20"/>
          <w:color w:val="auto"/>
        </w:rPr>
      </w:pPr>
    </w:p>
    <w:p>
      <w:pPr>
        <w:ind w:right="160" w:firstLine="817"/>
        <w:spacing w:after="0" w:line="250" w:lineRule="auto"/>
        <w:rPr>
          <w:sz w:val="20"/>
          <w:szCs w:val="20"/>
          <w:color w:val="auto"/>
        </w:rPr>
      </w:pPr>
      <w:r>
        <w:rPr>
          <w:rFonts w:ascii="Arial" w:cs="Arial" w:eastAsia="Arial" w:hAnsi="Arial"/>
          <w:sz w:val="22"/>
          <w:szCs w:val="22"/>
          <w:color w:val="auto"/>
        </w:rPr>
        <w:t>WHEREAS, the Executive is willing to serve in the role of Chief Operating Officer of the Company and provide services to the Company and its subsidiaries and affiliates under the terms and conditions stated herein,</w:t>
      </w:r>
    </w:p>
    <w:p>
      <w:pPr>
        <w:spacing w:after="0" w:line="175" w:lineRule="exact"/>
        <w:rPr>
          <w:sz w:val="20"/>
          <w:szCs w:val="20"/>
          <w:color w:val="auto"/>
        </w:rPr>
      </w:pPr>
    </w:p>
    <w:p>
      <w:pPr>
        <w:ind w:right="820" w:firstLine="779"/>
        <w:spacing w:after="0" w:line="250" w:lineRule="auto"/>
        <w:rPr>
          <w:sz w:val="20"/>
          <w:szCs w:val="20"/>
          <w:color w:val="auto"/>
        </w:rPr>
      </w:pPr>
      <w:r>
        <w:rPr>
          <w:rFonts w:ascii="Arial" w:cs="Arial" w:eastAsia="Arial" w:hAnsi="Arial"/>
          <w:sz w:val="22"/>
          <w:szCs w:val="22"/>
          <w:color w:val="auto"/>
        </w:rPr>
        <w:t>WHEREAS, the Executive would serve as Chief Operating Officer, of the Company, effective as of December 1, 2020 (the “Effective Date”),</w:t>
      </w:r>
    </w:p>
    <w:p>
      <w:pPr>
        <w:spacing w:after="0" w:line="175" w:lineRule="exact"/>
        <w:rPr>
          <w:sz w:val="20"/>
          <w:szCs w:val="20"/>
          <w:color w:val="auto"/>
        </w:rPr>
      </w:pPr>
    </w:p>
    <w:p>
      <w:pPr>
        <w:ind w:right="400" w:firstLine="800"/>
        <w:spacing w:after="0" w:line="250" w:lineRule="auto"/>
        <w:rPr>
          <w:sz w:val="20"/>
          <w:szCs w:val="20"/>
          <w:color w:val="auto"/>
        </w:rPr>
      </w:pPr>
      <w:r>
        <w:rPr>
          <w:rFonts w:ascii="Arial" w:cs="Arial" w:eastAsia="Arial" w:hAnsi="Arial"/>
          <w:sz w:val="22"/>
          <w:szCs w:val="22"/>
          <w:color w:val="auto"/>
        </w:rPr>
        <w:t>NOW, THEREFORE, in consideration of the mutual covenants and promises contained herein, and intending to be legally bound, it is hereby agreed by and between the parties hereto as follows:</w:t>
      </w:r>
    </w:p>
    <w:p>
      <w:pPr>
        <w:spacing w:after="0" w:line="169" w:lineRule="exact"/>
        <w:rPr>
          <w:sz w:val="20"/>
          <w:szCs w:val="20"/>
          <w:color w:val="auto"/>
        </w:rPr>
      </w:pPr>
    </w:p>
    <w:p>
      <w:pPr>
        <w:ind w:left="840" w:hanging="837"/>
        <w:spacing w:after="0"/>
        <w:tabs>
          <w:tab w:leader="none" w:pos="840" w:val="left"/>
        </w:tabs>
        <w:numPr>
          <w:ilvl w:val="0"/>
          <w:numId w:val="187"/>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and Duties</w:t>
      </w:r>
    </w:p>
    <w:p>
      <w:pPr>
        <w:spacing w:after="0" w:line="212" w:lineRule="exact"/>
        <w:rPr>
          <w:sz w:val="20"/>
          <w:szCs w:val="20"/>
          <w:color w:val="auto"/>
        </w:rPr>
      </w:pPr>
    </w:p>
    <w:p>
      <w:pPr>
        <w:ind w:right="320" w:firstLine="817"/>
        <w:spacing w:after="0"/>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Employment</w:t>
      </w:r>
      <w:r>
        <w:rPr>
          <w:rFonts w:ascii="Arial" w:cs="Arial" w:eastAsia="Arial" w:hAnsi="Arial"/>
          <w:sz w:val="22"/>
          <w:szCs w:val="22"/>
          <w:color w:val="000000"/>
        </w:rPr>
        <w:t>. The Company hereby employs the Executive as the Chief Operating Officer of the</w:t>
      </w:r>
      <w:r>
        <w:rPr>
          <w:rFonts w:ascii="Arial" w:cs="Arial" w:eastAsia="Arial" w:hAnsi="Arial"/>
          <w:sz w:val="22"/>
          <w:szCs w:val="22"/>
          <w:color w:val="010000"/>
        </w:rPr>
        <w:t xml:space="preserve"> </w:t>
      </w:r>
      <w:r>
        <w:rPr>
          <w:rFonts w:ascii="Arial" w:cs="Arial" w:eastAsia="Arial" w:hAnsi="Arial"/>
          <w:sz w:val="22"/>
          <w:szCs w:val="22"/>
          <w:color w:val="000000"/>
        </w:rPr>
        <w:t>Company and the Executive hereby accepts such employment as of the Effective Date pursuant to the terms and conditions set forth herein. The Executive shall report directly to the Chief Executive Officer (“CEO”).</w:t>
      </w:r>
    </w:p>
    <w:p>
      <w:pPr>
        <w:spacing w:after="0" w:line="186" w:lineRule="exact"/>
        <w:rPr>
          <w:sz w:val="20"/>
          <w:szCs w:val="20"/>
          <w:color w:val="auto"/>
        </w:rPr>
      </w:pPr>
    </w:p>
    <w:p>
      <w:pPr>
        <w:ind w:right="280" w:firstLine="819"/>
        <w:spacing w:after="0" w:line="235"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Duties</w:t>
      </w:r>
      <w:r>
        <w:rPr>
          <w:rFonts w:ascii="Arial" w:cs="Arial" w:eastAsia="Arial" w:hAnsi="Arial"/>
          <w:sz w:val="22"/>
          <w:szCs w:val="22"/>
          <w:color w:val="000000"/>
        </w:rPr>
        <w:t>. The Executive shall perform, to the best of her ability and in a manner satisfactory to the</w:t>
      </w:r>
      <w:r>
        <w:rPr>
          <w:rFonts w:ascii="Arial" w:cs="Arial" w:eastAsia="Arial" w:hAnsi="Arial"/>
          <w:sz w:val="22"/>
          <w:szCs w:val="22"/>
          <w:color w:val="010000"/>
        </w:rPr>
        <w:t xml:space="preserve"> </w:t>
      </w:r>
      <w:r>
        <w:rPr>
          <w:rFonts w:ascii="Arial" w:cs="Arial" w:eastAsia="Arial" w:hAnsi="Arial"/>
          <w:sz w:val="22"/>
          <w:szCs w:val="22"/>
          <w:color w:val="000000"/>
        </w:rPr>
        <w:t>CEO, all such duties that are consistent with Executive’s title and position, and such other duties as may reasonably be assigned to her by the CEO. The Executive’s duties will be conducted principally from the Company’s North America office, currently located in Valencia, California, or at such other location as determined by the CEO (but subject to the terms of this Agreement), with travel to such other locations including the manufacturing facility in Ventura, California from time to time as reasonably required.</w:t>
      </w:r>
    </w:p>
    <w:p>
      <w:pPr>
        <w:spacing w:after="0" w:line="188" w:lineRule="exact"/>
        <w:rPr>
          <w:sz w:val="20"/>
          <w:szCs w:val="20"/>
          <w:color w:val="auto"/>
        </w:rPr>
      </w:pPr>
    </w:p>
    <w:p>
      <w:pPr>
        <w:ind w:right="320" w:firstLine="810"/>
        <w:spacing w:after="0" w:line="246" w:lineRule="auto"/>
        <w:rPr>
          <w:sz w:val="20"/>
          <w:szCs w:val="20"/>
          <w:color w:val="auto"/>
        </w:rPr>
      </w:pPr>
      <w:r>
        <w:rPr>
          <w:rFonts w:ascii="Arial" w:cs="Arial" w:eastAsia="Arial" w:hAnsi="Arial"/>
          <w:sz w:val="21"/>
          <w:szCs w:val="21"/>
          <w:color w:val="010000"/>
        </w:rPr>
        <w:t xml:space="preserve">1.3 </w:t>
      </w:r>
      <w:r>
        <w:rPr>
          <w:rFonts w:ascii="Arial" w:cs="Arial" w:eastAsia="Arial" w:hAnsi="Arial"/>
          <w:sz w:val="21"/>
          <w:szCs w:val="21"/>
          <w:u w:val="single" w:color="auto"/>
          <w:color w:val="000000"/>
        </w:rPr>
        <w:t>Time and Efforts</w:t>
      </w:r>
      <w:r>
        <w:rPr>
          <w:rFonts w:ascii="Arial" w:cs="Arial" w:eastAsia="Arial" w:hAnsi="Arial"/>
          <w:sz w:val="21"/>
          <w:szCs w:val="21"/>
          <w:color w:val="000000"/>
        </w:rPr>
        <w:t>. The Executive shall devote her full business time and provide her best efforts,</w:t>
      </w:r>
      <w:r>
        <w:rPr>
          <w:rFonts w:ascii="Arial" w:cs="Arial" w:eastAsia="Arial" w:hAnsi="Arial"/>
          <w:sz w:val="21"/>
          <w:szCs w:val="21"/>
          <w:color w:val="010000"/>
        </w:rPr>
        <w:t xml:space="preserve"> </w:t>
      </w:r>
      <w:r>
        <w:rPr>
          <w:rFonts w:ascii="Arial" w:cs="Arial" w:eastAsia="Arial" w:hAnsi="Arial"/>
          <w:sz w:val="21"/>
          <w:szCs w:val="21"/>
          <w:color w:val="000000"/>
        </w:rPr>
        <w:t>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 Company, and its subsidiaries and affiliates hereunder and such service is disclosed in advance by Executive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483870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112" w:right="339" w:bottom="1440" w:gutter="0" w:footer="0" w:header="0"/>
        </w:sectPr>
      </w:pPr>
    </w:p>
    <w:bookmarkStart w:id="166" w:name="page167"/>
    <w:bookmarkEnd w:id="166"/>
    <w:p>
      <w:pPr>
        <w:ind w:right="480" w:firstLine="800"/>
        <w:spacing w:after="0"/>
        <w:rPr>
          <w:sz w:val="20"/>
          <w:szCs w:val="20"/>
          <w:color w:val="auto"/>
        </w:rPr>
      </w:pPr>
      <w:r>
        <w:rPr>
          <w:rFonts w:ascii="Arial" w:cs="Arial" w:eastAsia="Arial" w:hAnsi="Arial"/>
          <w:sz w:val="22"/>
          <w:szCs w:val="22"/>
          <w:color w:val="auto"/>
        </w:rPr>
        <w:t>Executive further acknowledges that she owes the Company both a fiduciary duty and a duty of loyalty while employed during the employment period to act at all times in the best interests of the Company, and its subsidiaries and affiliates.</w:t>
      </w:r>
    </w:p>
    <w:p>
      <w:pPr>
        <w:spacing w:after="0" w:line="180" w:lineRule="exact"/>
        <w:rPr>
          <w:sz w:val="20"/>
          <w:szCs w:val="20"/>
          <w:color w:val="auto"/>
        </w:rPr>
      </w:pPr>
    </w:p>
    <w:p>
      <w:pPr>
        <w:ind w:left="840" w:hanging="837"/>
        <w:spacing w:after="0"/>
        <w:tabs>
          <w:tab w:leader="none" w:pos="840" w:val="left"/>
        </w:tabs>
        <w:numPr>
          <w:ilvl w:val="0"/>
          <w:numId w:val="188"/>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12" w:lineRule="exact"/>
        <w:rPr>
          <w:sz w:val="20"/>
          <w:szCs w:val="20"/>
          <w:color w:val="auto"/>
        </w:rPr>
      </w:pPr>
    </w:p>
    <w:p>
      <w:pPr>
        <w:ind w:right="760" w:firstLine="810"/>
        <w:spacing w:after="0" w:line="250" w:lineRule="auto"/>
        <w:rPr>
          <w:sz w:val="20"/>
          <w:szCs w:val="20"/>
          <w:color w:val="auto"/>
        </w:rPr>
      </w:pPr>
      <w:r>
        <w:rPr>
          <w:rFonts w:ascii="Arial" w:cs="Arial" w:eastAsia="Arial" w:hAnsi="Arial"/>
          <w:sz w:val="22"/>
          <w:szCs w:val="22"/>
          <w:color w:val="auto"/>
        </w:rPr>
        <w:t>As the total consideration for the Executive’s services rendered hereunder, Executive shall be entitled to the following:</w:t>
      </w:r>
    </w:p>
    <w:p>
      <w:pPr>
        <w:spacing w:after="0" w:line="175" w:lineRule="exact"/>
        <w:rPr>
          <w:sz w:val="20"/>
          <w:szCs w:val="20"/>
          <w:color w:val="auto"/>
        </w:rPr>
      </w:pPr>
    </w:p>
    <w:p>
      <w:pPr>
        <w:ind w:right="80" w:firstLine="809"/>
        <w:spacing w:after="0" w:line="236"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Base Salary</w:t>
      </w:r>
      <w:r>
        <w:rPr>
          <w:rFonts w:ascii="Arial" w:cs="Arial" w:eastAsia="Arial" w:hAnsi="Arial"/>
          <w:sz w:val="22"/>
          <w:szCs w:val="22"/>
          <w:color w:val="000000"/>
        </w:rPr>
        <w:t>. The Executive shall be paid an annual base salary of Three Hundred Forty Five</w:t>
      </w:r>
      <w:r>
        <w:rPr>
          <w:rFonts w:ascii="Arial" w:cs="Arial" w:eastAsia="Arial" w:hAnsi="Arial"/>
          <w:sz w:val="22"/>
          <w:szCs w:val="22"/>
          <w:color w:val="010000"/>
        </w:rPr>
        <w:t xml:space="preserve"> </w:t>
      </w:r>
      <w:r>
        <w:rPr>
          <w:rFonts w:ascii="Arial" w:cs="Arial" w:eastAsia="Arial" w:hAnsi="Arial"/>
          <w:sz w:val="22"/>
          <w:szCs w:val="22"/>
          <w:color w:val="000000"/>
        </w:rPr>
        <w:t>Thousand Dollars ($345,000.00)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860" w:type="dxa"/>
            <w:vAlign w:val="bottom"/>
          </w:tcPr>
          <w:p>
            <w:pPr>
              <w:ind w:left="20"/>
              <w:spacing w:after="0"/>
              <w:rPr>
                <w:sz w:val="20"/>
                <w:szCs w:val="20"/>
                <w:color w:val="auto"/>
              </w:rPr>
            </w:pPr>
            <w:r>
              <w:rPr>
                <w:rFonts w:ascii="Arial" w:cs="Arial" w:eastAsia="Arial" w:hAnsi="Arial"/>
                <w:sz w:val="22"/>
                <w:szCs w:val="22"/>
                <w:color w:val="010000"/>
              </w:rPr>
              <w:t>2.2</w:t>
            </w:r>
          </w:p>
        </w:tc>
        <w:tc>
          <w:tcPr>
            <w:tcW w:w="9120" w:type="dxa"/>
            <w:vAlign w:val="bottom"/>
            <w:gridSpan w:val="4"/>
          </w:tcPr>
          <w:p>
            <w:pPr>
              <w:spacing w:after="0"/>
              <w:rPr>
                <w:sz w:val="20"/>
                <w:szCs w:val="20"/>
                <w:color w:val="auto"/>
              </w:rPr>
            </w:pPr>
            <w:r>
              <w:rPr>
                <w:rFonts w:ascii="Arial" w:cs="Arial" w:eastAsia="Arial" w:hAnsi="Arial"/>
                <w:sz w:val="22"/>
                <w:szCs w:val="22"/>
                <w:color w:val="auto"/>
              </w:rPr>
              <w:t>Bonus and Relocation Expenses.</w:t>
            </w: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22"/>
                <w:szCs w:val="22"/>
                <w:color w:val="auto"/>
              </w:rPr>
              <w:t>(a)</w:t>
            </w:r>
          </w:p>
        </w:tc>
        <w:tc>
          <w:tcPr>
            <w:tcW w:w="760" w:type="dxa"/>
            <w:vAlign w:val="bottom"/>
          </w:tcPr>
          <w:p>
            <w:pPr>
              <w:spacing w:after="0"/>
              <w:rPr>
                <w:sz w:val="24"/>
                <w:szCs w:val="24"/>
                <w:color w:val="auto"/>
              </w:rPr>
            </w:pPr>
          </w:p>
        </w:tc>
        <w:tc>
          <w:tcPr>
            <w:tcW w:w="8360" w:type="dxa"/>
            <w:vAlign w:val="bottom"/>
            <w:gridSpan w:val="3"/>
          </w:tcPr>
          <w:p>
            <w:pPr>
              <w:spacing w:after="0"/>
              <w:rPr>
                <w:sz w:val="20"/>
                <w:szCs w:val="20"/>
                <w:color w:val="auto"/>
              </w:rPr>
            </w:pPr>
            <w:r>
              <w:rPr>
                <w:rFonts w:ascii="Arial" w:cs="Arial" w:eastAsia="Arial" w:hAnsi="Arial"/>
                <w:sz w:val="22"/>
                <w:szCs w:val="22"/>
                <w:color w:val="auto"/>
                <w:w w:val="89"/>
              </w:rPr>
              <w:t>Annual Performance Bonus. In addition to Base Salary, the Executive shall be eligible to receive</w:t>
            </w: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an annual performance bonus (“Annual Bonus”) based upon the Company’s performance and Executive’s performance for the preceding year as measured against certain performance targets as mutually established by the parties to this Agreement as determined by the Board of Directors (the “Board”) and CEO. The Annual Bonus, if earned, shall be paid on or around the March timeframe of the following year. The amount of the Annual Bonus shall be thirty percent (30%) of Executive’s Base Salary (“Target Bonus”). For 2020, Executive will be eligible to receive an Annual Bonus of up to thirty percent (30%) of the pro-rata share of the Base Salary (excluding any other bonus or compensation) Executive earned in 2020. For the Annual Bonus to be deemed earned, and in order to be eligible and entitled to receive any Annual Bonus payment, the Executive must be employed by, and not have given notice of resignation to the Company, or have been given notice of termination by the Company at the time the Annual Bonus is determined and paid to Executive.</w:t>
      </w:r>
    </w:p>
    <w:p>
      <w:pPr>
        <w:spacing w:after="0" w:line="158" w:lineRule="exact"/>
        <w:rPr>
          <w:sz w:val="20"/>
          <w:szCs w:val="20"/>
          <w:color w:val="auto"/>
        </w:rPr>
      </w:pPr>
    </w:p>
    <w:p>
      <w:pPr>
        <w:ind w:left="120" w:right="40" w:firstLine="696"/>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Relocation Expenses</w:t>
      </w:r>
      <w:r>
        <w:rPr>
          <w:rFonts w:ascii="Arial" w:cs="Arial" w:eastAsia="Arial" w:hAnsi="Arial"/>
          <w:sz w:val="22"/>
          <w:szCs w:val="22"/>
          <w:color w:val="auto"/>
        </w:rPr>
        <w:t>. Executive shall be given a lump sum of Twenty Five Thousand Dollars ($25,000) for housing and living expenses to relocate to the Los Angeles area, subject to applicable federal, state, local taxes and withholdings which will be paid to Executive in her first payroll check. Executive will be required to reimburse the Company in full should she fail to relocate to the Los Angeles area within three (3) months of the Company announcing the date of the return to workplace following the current pandemic.</w:t>
      </w:r>
    </w:p>
    <w:p>
      <w:pPr>
        <w:spacing w:after="0" w:line="187" w:lineRule="exact"/>
        <w:rPr>
          <w:sz w:val="20"/>
          <w:szCs w:val="20"/>
          <w:color w:val="auto"/>
        </w:rPr>
      </w:pPr>
    </w:p>
    <w:p>
      <w:pPr>
        <w:ind w:left="220" w:right="400" w:firstLine="592"/>
        <w:spacing w:after="0" w:line="250" w:lineRule="auto"/>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u w:val="single" w:color="auto"/>
          <w:color w:val="000000"/>
        </w:rPr>
        <w:t>Equity</w:t>
      </w:r>
      <w:r>
        <w:rPr>
          <w:rFonts w:ascii="Arial" w:cs="Arial" w:eastAsia="Arial" w:hAnsi="Arial"/>
          <w:sz w:val="22"/>
          <w:szCs w:val="22"/>
          <w:color w:val="000000"/>
        </w:rPr>
        <w:t>. Subject to approval of the Company’s Board, Executive shall be eligible for 128,000</w:t>
      </w:r>
      <w:r>
        <w:rPr>
          <w:rFonts w:ascii="Arial" w:cs="Arial" w:eastAsia="Arial" w:hAnsi="Arial"/>
          <w:sz w:val="22"/>
          <w:szCs w:val="22"/>
          <w:color w:val="010000"/>
        </w:rPr>
        <w:t xml:space="preserve"> </w:t>
      </w:r>
      <w:r>
        <w:rPr>
          <w:rFonts w:ascii="Arial" w:cs="Arial" w:eastAsia="Arial" w:hAnsi="Arial"/>
          <w:sz w:val="22"/>
          <w:szCs w:val="22"/>
          <w:color w:val="000000"/>
        </w:rPr>
        <w:t>options which will vest as follows:</w:t>
      </w:r>
    </w:p>
    <w:p>
      <w:pPr>
        <w:spacing w:after="0" w:line="175" w:lineRule="exact"/>
        <w:rPr>
          <w:sz w:val="20"/>
          <w:szCs w:val="20"/>
          <w:color w:val="auto"/>
        </w:rPr>
      </w:pPr>
    </w:p>
    <w:p>
      <w:pPr>
        <w:ind w:left="2100" w:right="160" w:hanging="842"/>
        <w:spacing w:after="0" w:line="250" w:lineRule="auto"/>
        <w:tabs>
          <w:tab w:leader="none" w:pos="21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95,000 options will vest based upon Executive achieving certain established metrics as agreed upon between Executive and the CEO;</w:t>
      </w:r>
    </w:p>
    <w:p>
      <w:pPr>
        <w:spacing w:after="0" w:line="174" w:lineRule="exact"/>
        <w:rPr>
          <w:rFonts w:ascii="Arial" w:cs="Arial" w:eastAsia="Arial" w:hAnsi="Arial"/>
          <w:sz w:val="22"/>
          <w:szCs w:val="22"/>
          <w:color w:val="auto"/>
        </w:rPr>
      </w:pPr>
    </w:p>
    <w:p>
      <w:pPr>
        <w:ind w:left="2100" w:right="140" w:hanging="842"/>
        <w:spacing w:after="0" w:line="250" w:lineRule="auto"/>
        <w:tabs>
          <w:tab w:leader="none" w:pos="21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33,000 options will vest based on Executive’s continued employment with the Company at a rate of 8,250 per year for four (4) years, commencing with the</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62865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460" w:top="645" w:right="639" w:bottom="1440" w:gutter="0" w:footer="0" w:header="0"/>
        </w:sectPr>
      </w:pPr>
    </w:p>
    <w:bookmarkStart w:id="167" w:name="page168"/>
    <w:bookmarkEnd w:id="167"/>
    <w:p>
      <w:pPr>
        <w:ind w:left="1900" w:right="1400"/>
        <w:spacing w:after="0" w:line="250" w:lineRule="auto"/>
        <w:rPr>
          <w:sz w:val="20"/>
          <w:szCs w:val="20"/>
          <w:color w:val="auto"/>
        </w:rPr>
      </w:pPr>
      <w:r>
        <w:rPr>
          <w:rFonts w:ascii="Arial" w:cs="Arial" w:eastAsia="Arial" w:hAnsi="Arial"/>
          <w:sz w:val="22"/>
          <w:szCs w:val="22"/>
          <w:color w:val="auto"/>
        </w:rPr>
        <w:t>first 8,250 option installment, which will vest upon the completion of Executive’s first year of service.</w:t>
      </w:r>
    </w:p>
    <w:p>
      <w:pPr>
        <w:spacing w:after="0" w:line="175" w:lineRule="exact"/>
        <w:rPr>
          <w:sz w:val="20"/>
          <w:szCs w:val="20"/>
          <w:color w:val="auto"/>
        </w:rPr>
      </w:pPr>
    </w:p>
    <w:p>
      <w:pPr>
        <w:ind w:left="20" w:right="460" w:firstLine="600"/>
        <w:spacing w:after="0" w:line="250" w:lineRule="auto"/>
        <w:rPr>
          <w:sz w:val="20"/>
          <w:szCs w:val="20"/>
          <w:color w:val="auto"/>
        </w:rPr>
      </w:pPr>
      <w:r>
        <w:rPr>
          <w:rFonts w:ascii="Arial" w:cs="Arial" w:eastAsia="Arial" w:hAnsi="Arial"/>
          <w:sz w:val="22"/>
          <w:szCs w:val="22"/>
          <w:color w:val="auto"/>
        </w:rPr>
        <w:t>Any such equity grants shall be subject to the terms of a Share Option Agreement and the governing equity plan which will be provided to the Executive within thirty (30) days of her Effective Date.</w:t>
      </w:r>
    </w:p>
    <w:p>
      <w:pPr>
        <w:spacing w:after="0" w:line="175" w:lineRule="exact"/>
        <w:rPr>
          <w:sz w:val="20"/>
          <w:szCs w:val="20"/>
          <w:color w:val="auto"/>
        </w:rPr>
      </w:pPr>
    </w:p>
    <w:p>
      <w:pPr>
        <w:ind w:left="20" w:right="520" w:firstLine="582"/>
        <w:spacing w:after="0" w:line="238" w:lineRule="auto"/>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u w:val="single" w:color="auto"/>
          <w:color w:val="000000"/>
        </w:rPr>
        <w:t>Business Expenses</w:t>
      </w:r>
      <w:r>
        <w:rPr>
          <w:rFonts w:ascii="Arial" w:cs="Arial" w:eastAsia="Arial" w:hAnsi="Arial"/>
          <w:sz w:val="22"/>
          <w:szCs w:val="22"/>
          <w:color w:val="000000"/>
        </w:rPr>
        <w:t>. During employment, the Executive is entitled to reimbursement for</w:t>
      </w:r>
      <w:r>
        <w:rPr>
          <w:rFonts w:ascii="Arial" w:cs="Arial" w:eastAsia="Arial" w:hAnsi="Arial"/>
          <w:sz w:val="22"/>
          <w:szCs w:val="22"/>
          <w:color w:val="010000"/>
        </w:rPr>
        <w:t xml:space="preserve"> </w:t>
      </w:r>
      <w:r>
        <w:rPr>
          <w:rFonts w:ascii="Arial" w:cs="Arial" w:eastAsia="Arial" w:hAnsi="Arial"/>
          <w:sz w:val="22"/>
          <w:szCs w:val="22"/>
          <w:color w:val="000000"/>
        </w:rPr>
        <w:t>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60" w:type="dxa"/>
            <w:vAlign w:val="bottom"/>
          </w:tcPr>
          <w:p>
            <w:pPr>
              <w:ind w:left="580"/>
              <w:spacing w:after="0"/>
              <w:rPr>
                <w:sz w:val="20"/>
                <w:szCs w:val="20"/>
                <w:color w:val="auto"/>
              </w:rPr>
            </w:pPr>
            <w:r>
              <w:rPr>
                <w:rFonts w:ascii="Arial" w:cs="Arial" w:eastAsia="Arial" w:hAnsi="Arial"/>
                <w:sz w:val="22"/>
                <w:szCs w:val="22"/>
                <w:color w:val="010000"/>
              </w:rPr>
              <w:t>2.5</w:t>
            </w:r>
          </w:p>
        </w:tc>
        <w:tc>
          <w:tcPr>
            <w:tcW w:w="8140" w:type="dxa"/>
            <w:vAlign w:val="bottom"/>
            <w:gridSpan w:val="3"/>
          </w:tcPr>
          <w:p>
            <w:pPr>
              <w:spacing w:after="0"/>
              <w:rPr>
                <w:sz w:val="20"/>
                <w:szCs w:val="20"/>
                <w:color w:val="auto"/>
              </w:rPr>
            </w:pPr>
            <w:r>
              <w:rPr>
                <w:rFonts w:ascii="Arial" w:cs="Arial" w:eastAsia="Arial" w:hAnsi="Arial"/>
                <w:sz w:val="22"/>
                <w:szCs w:val="22"/>
                <w:color w:val="auto"/>
                <w:w w:val="88"/>
              </w:rPr>
              <w:t>Fringe Benefits. The Executive shall be entitled to fringe benefits in accordance with the plans,</w:t>
            </w:r>
          </w:p>
        </w:tc>
      </w:tr>
      <w:tr>
        <w:trPr>
          <w:trHeight w:val="20"/>
        </w:trPr>
        <w:tc>
          <w:tcPr>
            <w:tcW w:w="22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74"/>
        </w:trPr>
        <w:tc>
          <w:tcPr>
            <w:tcW w:w="10400" w:type="dxa"/>
            <w:vAlign w:val="bottom"/>
            <w:gridSpan w:val="4"/>
          </w:tcPr>
          <w:p>
            <w:pPr>
              <w:spacing w:after="0"/>
              <w:rPr>
                <w:sz w:val="20"/>
                <w:szCs w:val="20"/>
                <w:color w:val="auto"/>
              </w:rPr>
            </w:pPr>
            <w:r>
              <w:rPr>
                <w:rFonts w:ascii="Arial" w:cs="Arial" w:eastAsia="Arial" w:hAnsi="Arial"/>
                <w:sz w:val="22"/>
                <w:szCs w:val="22"/>
                <w:color w:val="auto"/>
              </w:rPr>
              <w:t>practices, programs and policies applicable to other peer executives of the Company.</w:t>
            </w:r>
          </w:p>
        </w:tc>
      </w:tr>
      <w:tr>
        <w:trPr>
          <w:trHeight w:val="408"/>
        </w:trPr>
        <w:tc>
          <w:tcPr>
            <w:tcW w:w="2260" w:type="dxa"/>
            <w:vAlign w:val="bottom"/>
          </w:tcPr>
          <w:p>
            <w:pPr>
              <w:ind w:left="600"/>
              <w:spacing w:after="0"/>
              <w:rPr>
                <w:sz w:val="20"/>
                <w:szCs w:val="20"/>
                <w:color w:val="auto"/>
              </w:rPr>
            </w:pPr>
            <w:r>
              <w:rPr>
                <w:rFonts w:ascii="Arial" w:cs="Arial" w:eastAsia="Arial" w:hAnsi="Arial"/>
                <w:sz w:val="22"/>
                <w:szCs w:val="22"/>
                <w:color w:val="010000"/>
              </w:rPr>
              <w:t>2.6</w:t>
            </w:r>
          </w:p>
        </w:tc>
        <w:tc>
          <w:tcPr>
            <w:tcW w:w="8140" w:type="dxa"/>
            <w:vAlign w:val="bottom"/>
            <w:gridSpan w:val="3"/>
          </w:tcPr>
          <w:p>
            <w:pPr>
              <w:spacing w:after="0"/>
              <w:rPr>
                <w:sz w:val="20"/>
                <w:szCs w:val="20"/>
                <w:color w:val="auto"/>
              </w:rPr>
            </w:pPr>
            <w:r>
              <w:rPr>
                <w:rFonts w:ascii="Arial" w:cs="Arial" w:eastAsia="Arial" w:hAnsi="Arial"/>
                <w:sz w:val="22"/>
                <w:szCs w:val="22"/>
                <w:color w:val="auto"/>
                <w:w w:val="95"/>
              </w:rPr>
              <w:t>Vacation. The Executive shall be entitled each year to a vacation, during which time her</w:t>
            </w:r>
          </w:p>
        </w:tc>
      </w:tr>
      <w:tr>
        <w:trPr>
          <w:trHeight w:val="20"/>
        </w:trPr>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6" w:lineRule="exact"/>
        <w:rPr>
          <w:sz w:val="20"/>
          <w:szCs w:val="20"/>
          <w:color w:val="auto"/>
        </w:rPr>
      </w:pPr>
    </w:p>
    <w:p>
      <w:pPr>
        <w:ind w:left="20"/>
        <w:spacing w:after="0" w:line="236" w:lineRule="auto"/>
        <w:rPr>
          <w:sz w:val="20"/>
          <w:szCs w:val="20"/>
          <w:color w:val="auto"/>
        </w:rPr>
      </w:pPr>
      <w:r>
        <w:rPr>
          <w:rFonts w:ascii="Arial" w:cs="Arial" w:eastAsia="Arial" w:hAnsi="Arial"/>
          <w:sz w:val="22"/>
          <w:szCs w:val="22"/>
          <w:color w:val="auto"/>
        </w:rPr>
        <w:t>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spacing w:after="0" w:line="187" w:lineRule="exact"/>
        <w:rPr>
          <w:sz w:val="20"/>
          <w:szCs w:val="20"/>
          <w:color w:val="auto"/>
        </w:rPr>
      </w:pPr>
    </w:p>
    <w:p>
      <w:pPr>
        <w:ind w:left="20" w:right="60" w:firstLine="601"/>
        <w:spacing w:after="0" w:line="328" w:lineRule="auto"/>
        <w:rPr>
          <w:sz w:val="20"/>
          <w:szCs w:val="20"/>
          <w:color w:val="auto"/>
        </w:rPr>
      </w:pPr>
      <w:r>
        <w:rPr>
          <w:rFonts w:ascii="Arial" w:cs="Arial" w:eastAsia="Arial" w:hAnsi="Arial"/>
          <w:sz w:val="19"/>
          <w:szCs w:val="19"/>
          <w:color w:val="010000"/>
        </w:rPr>
        <w:t xml:space="preserve">2.7 </w:t>
      </w:r>
      <w:r>
        <w:rPr>
          <w:rFonts w:ascii="Arial" w:cs="Arial" w:eastAsia="Arial" w:hAnsi="Arial"/>
          <w:sz w:val="19"/>
          <w:szCs w:val="19"/>
          <w:u w:val="single" w:color="auto"/>
          <w:color w:val="000000"/>
        </w:rPr>
        <w:t>Health Insurance and Benefits</w:t>
      </w:r>
      <w:r>
        <w:rPr>
          <w:rFonts w:ascii="Arial" w:cs="Arial" w:eastAsia="Arial" w:hAnsi="Arial"/>
          <w:sz w:val="19"/>
          <w:szCs w:val="19"/>
          <w:color w:val="000000"/>
        </w:rPr>
        <w:t>. The Executive shall be eligible to participate in the Company’s</w:t>
      </w:r>
      <w:r>
        <w:rPr>
          <w:rFonts w:ascii="Arial" w:cs="Arial" w:eastAsia="Arial" w:hAnsi="Arial"/>
          <w:sz w:val="19"/>
          <w:szCs w:val="19"/>
          <w:color w:val="010000"/>
        </w:rPr>
        <w:t xml:space="preserve"> </w:t>
      </w:r>
      <w:r>
        <w:rPr>
          <w:rFonts w:ascii="Arial" w:cs="Arial" w:eastAsia="Arial" w:hAnsi="Arial"/>
          <w:sz w:val="19"/>
          <w:szCs w:val="19"/>
          <w:color w:val="000000"/>
        </w:rPr>
        <w:t>health, dental and vision plans, as well as the Company’s 401k program, pursuant to the terms of these plans and programs.</w:t>
      </w:r>
    </w:p>
    <w:p>
      <w:pPr>
        <w:spacing w:after="0" w:line="99" w:lineRule="exact"/>
        <w:rPr>
          <w:sz w:val="20"/>
          <w:szCs w:val="20"/>
          <w:color w:val="auto"/>
        </w:rPr>
      </w:pPr>
    </w:p>
    <w:p>
      <w:pPr>
        <w:ind w:left="620" w:hanging="615"/>
        <w:spacing w:after="0"/>
        <w:tabs>
          <w:tab w:leader="none" w:pos="620" w:val="left"/>
        </w:tabs>
        <w:numPr>
          <w:ilvl w:val="0"/>
          <w:numId w:val="190"/>
        </w:numPr>
        <w:rPr>
          <w:rFonts w:ascii="Arial" w:cs="Arial" w:eastAsia="Arial" w:hAnsi="Arial"/>
          <w:sz w:val="22"/>
          <w:szCs w:val="22"/>
          <w:b w:val="1"/>
          <w:bCs w:val="1"/>
          <w:color w:val="010000"/>
        </w:rPr>
      </w:pPr>
      <w:r>
        <w:rPr>
          <w:rFonts w:ascii="Arial" w:cs="Arial" w:eastAsia="Arial" w:hAnsi="Arial"/>
          <w:sz w:val="22"/>
          <w:szCs w:val="22"/>
          <w:b w:val="1"/>
          <w:bCs w:val="1"/>
          <w:color w:val="auto"/>
        </w:rPr>
        <w:t>Term and Termination of Employment</w:t>
      </w:r>
    </w:p>
    <w:p>
      <w:pPr>
        <w:spacing w:after="0" w:line="212" w:lineRule="exact"/>
        <w:rPr>
          <w:sz w:val="20"/>
          <w:szCs w:val="20"/>
          <w:color w:val="auto"/>
        </w:rPr>
      </w:pPr>
    </w:p>
    <w:p>
      <w:pPr>
        <w:ind w:left="20" w:right="520" w:firstLine="599"/>
        <w:spacing w:after="0" w:line="236"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u w:val="single" w:color="auto"/>
          <w:color w:val="000000"/>
        </w:rPr>
        <w:t>At-Will Employment</w:t>
      </w:r>
      <w:r>
        <w:rPr>
          <w:rFonts w:ascii="Arial" w:cs="Arial" w:eastAsia="Arial" w:hAnsi="Arial"/>
          <w:sz w:val="22"/>
          <w:szCs w:val="22"/>
          <w:color w:val="000000"/>
        </w:rPr>
        <w:t>. The Company and the Executive hereby agree that the Executive’s</w:t>
      </w:r>
      <w:r>
        <w:rPr>
          <w:rFonts w:ascii="Arial" w:cs="Arial" w:eastAsia="Arial" w:hAnsi="Arial"/>
          <w:sz w:val="22"/>
          <w:szCs w:val="22"/>
          <w:color w:val="010000"/>
        </w:rPr>
        <w:t xml:space="preserve"> </w:t>
      </w:r>
      <w:r>
        <w:rPr>
          <w:rFonts w:ascii="Arial" w:cs="Arial" w:eastAsia="Arial" w:hAnsi="Arial"/>
          <w:sz w:val="22"/>
          <w:szCs w:val="22"/>
          <w:color w:val="000000"/>
        </w:rPr>
        <w:t>employment by 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520" w:type="dxa"/>
            <w:vAlign w:val="bottom"/>
          </w:tcPr>
          <w:p>
            <w:pPr>
              <w:jc w:val="right"/>
              <w:ind w:right="132"/>
              <w:spacing w:after="0"/>
              <w:rPr>
                <w:sz w:val="20"/>
                <w:szCs w:val="20"/>
                <w:color w:val="auto"/>
              </w:rPr>
            </w:pPr>
            <w:r>
              <w:rPr>
                <w:rFonts w:ascii="Arial" w:cs="Arial" w:eastAsia="Arial" w:hAnsi="Arial"/>
                <w:sz w:val="22"/>
                <w:szCs w:val="22"/>
                <w:color w:val="010000"/>
                <w:w w:val="84"/>
              </w:rPr>
              <w:t>3.2</w:t>
            </w:r>
          </w:p>
        </w:tc>
        <w:tc>
          <w:tcPr>
            <w:tcW w:w="32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Definitions.</w:t>
            </w:r>
          </w:p>
        </w:tc>
        <w:tc>
          <w:tcPr>
            <w:tcW w:w="7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vMerge w:val="restart"/>
          </w:tcPr>
          <w:p>
            <w:pPr>
              <w:ind w:left="580"/>
              <w:spacing w:after="0"/>
              <w:rPr>
                <w:sz w:val="20"/>
                <w:szCs w:val="20"/>
                <w:color w:val="auto"/>
              </w:rPr>
            </w:pPr>
            <w:r>
              <w:rPr>
                <w:rFonts w:ascii="Arial" w:cs="Arial" w:eastAsia="Arial" w:hAnsi="Arial"/>
                <w:sz w:val="22"/>
                <w:szCs w:val="22"/>
                <w:b w:val="1"/>
                <w:bCs w:val="1"/>
                <w:color w:val="auto"/>
                <w:w w:val="87"/>
              </w:rPr>
              <w:t>Cause</w:t>
            </w:r>
            <w:r>
              <w:rPr>
                <w:rFonts w:ascii="Arial" w:cs="Arial" w:eastAsia="Arial" w:hAnsi="Arial"/>
                <w:sz w:val="22"/>
                <w:szCs w:val="22"/>
                <w:color w:val="auto"/>
                <w:w w:val="87"/>
              </w:rPr>
              <w:t>. For purposes of this Agreement, “Cause” shall mean the occurrence of</w:t>
            </w:r>
          </w:p>
        </w:tc>
        <w:tc>
          <w:tcPr>
            <w:tcW w:w="0" w:type="dxa"/>
            <w:vAlign w:val="bottom"/>
          </w:tcPr>
          <w:p>
            <w:pPr>
              <w:spacing w:after="0" w:line="20" w:lineRule="exact"/>
              <w:rPr>
                <w:sz w:val="1"/>
                <w:szCs w:val="1"/>
                <w:color w:val="auto"/>
              </w:rPr>
            </w:pPr>
          </w:p>
        </w:tc>
      </w:tr>
      <w:tr>
        <w:trPr>
          <w:trHeight w:val="476"/>
        </w:trPr>
        <w:tc>
          <w:tcPr>
            <w:tcW w:w="520" w:type="dxa"/>
            <w:vAlign w:val="bottom"/>
          </w:tcPr>
          <w:p>
            <w:pPr>
              <w:spacing w:after="0"/>
              <w:rPr>
                <w:sz w:val="24"/>
                <w:szCs w:val="24"/>
                <w:color w:val="auto"/>
              </w:rPr>
            </w:pPr>
          </w:p>
        </w:tc>
        <w:tc>
          <w:tcPr>
            <w:tcW w:w="1940" w:type="dxa"/>
            <w:vAlign w:val="bottom"/>
            <w:gridSpan w:val="3"/>
          </w:tcPr>
          <w:p>
            <w:pPr>
              <w:ind w:left="240"/>
              <w:spacing w:after="0"/>
              <w:rPr>
                <w:sz w:val="20"/>
                <w:szCs w:val="20"/>
                <w:color w:val="auto"/>
              </w:rPr>
            </w:pPr>
            <w:r>
              <w:rPr>
                <w:rFonts w:ascii="Arial" w:cs="Arial" w:eastAsia="Arial" w:hAnsi="Arial"/>
                <w:sz w:val="22"/>
                <w:szCs w:val="22"/>
                <w:color w:val="010000"/>
              </w:rPr>
              <w:t>(a)</w:t>
            </w:r>
          </w:p>
        </w:tc>
        <w:tc>
          <w:tcPr>
            <w:tcW w:w="7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20" w:right="220"/>
        <w:spacing w:after="0" w:line="277" w:lineRule="auto"/>
        <w:rPr>
          <w:sz w:val="20"/>
          <w:szCs w:val="20"/>
          <w:color w:val="auto"/>
        </w:rPr>
      </w:pPr>
      <w:r>
        <w:rPr>
          <w:rFonts w:ascii="Arial" w:cs="Arial" w:eastAsia="Arial" w:hAnsi="Arial"/>
          <w:sz w:val="19"/>
          <w:szCs w:val="19"/>
          <w:color w:val="auto"/>
        </w:rPr>
        <w:t>one or more of the following: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w:t>
      </w:r>
    </w:p>
    <w:p>
      <w:pPr>
        <w:spacing w:after="0" w:line="39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62865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660" w:top="645" w:right="519" w:bottom="1440" w:gutter="0" w:footer="0" w:header="0"/>
        </w:sectPr>
      </w:pPr>
    </w:p>
    <w:bookmarkStart w:id="168" w:name="page169"/>
    <w:bookmarkEnd w:id="168"/>
    <w:p>
      <w:pPr>
        <w:ind w:right="40" w:firstLine="1398"/>
        <w:spacing w:after="0" w:line="275"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b w:val="1"/>
          <w:bCs w:val="1"/>
          <w:color w:val="000000"/>
        </w:rPr>
        <w:t>Good Reason</w:t>
      </w:r>
      <w:r>
        <w:rPr>
          <w:rFonts w:ascii="Arial" w:cs="Arial" w:eastAsia="Arial" w:hAnsi="Arial"/>
          <w:sz w:val="19"/>
          <w:szCs w:val="19"/>
          <w:color w:val="000000"/>
        </w:rPr>
        <w:t>. For purposes of this Agreement, “Good Reason” shall mean: (i) a</w:t>
      </w:r>
      <w:r>
        <w:rPr>
          <w:rFonts w:ascii="Arial" w:cs="Arial" w:eastAsia="Arial" w:hAnsi="Arial"/>
          <w:sz w:val="19"/>
          <w:szCs w:val="19"/>
          <w:color w:val="010000"/>
        </w:rPr>
        <w:t xml:space="preserve"> </w:t>
      </w:r>
      <w:r>
        <w:rPr>
          <w:rFonts w:ascii="Arial" w:cs="Arial" w:eastAsia="Arial" w:hAnsi="Arial"/>
          <w:sz w:val="19"/>
          <w:szCs w:val="19"/>
          <w:color w:val="000000"/>
        </w:rPr>
        <w:t>material diminution in Executive’s authority, duties, 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or (v) the occurrence of a Change in Control of the Company as defined in Section 3.2(c) below,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and such notice shall be given within thirty (30) days of the occurrence of such event or conduct.</w:t>
      </w:r>
    </w:p>
    <w:p>
      <w:pPr>
        <w:spacing w:after="0" w:line="150" w:lineRule="exact"/>
        <w:rPr>
          <w:sz w:val="20"/>
          <w:szCs w:val="20"/>
          <w:color w:val="auto"/>
        </w:rPr>
      </w:pPr>
    </w:p>
    <w:p>
      <w:pPr>
        <w:ind w:firstLine="1401"/>
        <w:spacing w:after="0" w:line="236"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b w:val="1"/>
          <w:bCs w:val="1"/>
          <w:color w:val="000000"/>
        </w:rPr>
        <w:t>Change in Control</w:t>
      </w:r>
      <w:r>
        <w:rPr>
          <w:rFonts w:ascii="Arial" w:cs="Arial" w:eastAsia="Arial" w:hAnsi="Arial"/>
          <w:sz w:val="22"/>
          <w:szCs w:val="22"/>
          <w:color w:val="000000"/>
        </w:rPr>
        <w:t>. For purposes of this Agreement, “Change in Control” shall</w:t>
      </w:r>
      <w:r>
        <w:rPr>
          <w:rFonts w:ascii="Arial" w:cs="Arial" w:eastAsia="Arial" w:hAnsi="Arial"/>
          <w:sz w:val="22"/>
          <w:szCs w:val="22"/>
          <w:color w:val="010000"/>
        </w:rPr>
        <w:t xml:space="preserve"> </w:t>
      </w:r>
      <w:r>
        <w:rPr>
          <w:rFonts w:ascii="Arial" w:cs="Arial" w:eastAsia="Arial" w:hAnsi="Arial"/>
          <w:sz w:val="22"/>
          <w:szCs w:val="22"/>
          <w:color w:val="000000"/>
        </w:rPr>
        <w:t>mean any of the following events occurring after the 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 of Company in one or more related transactions such as a buy out or exit of the Company (but excluding any change in stock listing).</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520" w:type="dxa"/>
            <w:vAlign w:val="bottom"/>
          </w:tcPr>
          <w:p>
            <w:pPr>
              <w:jc w:val="right"/>
              <w:ind w:right="132"/>
              <w:spacing w:after="0"/>
              <w:rPr>
                <w:sz w:val="20"/>
                <w:szCs w:val="20"/>
                <w:color w:val="auto"/>
              </w:rPr>
            </w:pPr>
            <w:r>
              <w:rPr>
                <w:rFonts w:ascii="Arial" w:cs="Arial" w:eastAsia="Arial" w:hAnsi="Arial"/>
                <w:sz w:val="22"/>
                <w:szCs w:val="22"/>
                <w:color w:val="010000"/>
                <w:w w:val="84"/>
              </w:rPr>
              <w:t>3.3</w:t>
            </w:r>
          </w:p>
        </w:tc>
        <w:tc>
          <w:tcPr>
            <w:tcW w:w="32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Arial" w:cs="Arial" w:eastAsia="Arial" w:hAnsi="Arial"/>
                <w:sz w:val="22"/>
                <w:szCs w:val="22"/>
                <w:color w:val="auto"/>
              </w:rPr>
              <w:t>Termination.</w:t>
            </w:r>
          </w:p>
        </w:tc>
        <w:tc>
          <w:tcPr>
            <w:tcW w:w="7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60" w:type="dxa"/>
            <w:vAlign w:val="bottom"/>
            <w:vMerge w:val="restart"/>
          </w:tcPr>
          <w:p>
            <w:pPr>
              <w:ind w:left="540"/>
              <w:spacing w:after="0"/>
              <w:rPr>
                <w:sz w:val="20"/>
                <w:szCs w:val="20"/>
                <w:color w:val="auto"/>
              </w:rPr>
            </w:pPr>
            <w:r>
              <w:rPr>
                <w:rFonts w:ascii="Arial" w:cs="Arial" w:eastAsia="Arial" w:hAnsi="Arial"/>
                <w:sz w:val="22"/>
                <w:szCs w:val="22"/>
                <w:b w:val="1"/>
                <w:bCs w:val="1"/>
                <w:color w:val="auto"/>
                <w:w w:val="87"/>
              </w:rPr>
              <w:t>Termination for Cause or Resignation without Good Reason</w:t>
            </w:r>
            <w:r>
              <w:rPr>
                <w:rFonts w:ascii="Arial" w:cs="Arial" w:eastAsia="Arial" w:hAnsi="Arial"/>
                <w:sz w:val="22"/>
                <w:szCs w:val="22"/>
                <w:color w:val="auto"/>
                <w:w w:val="87"/>
              </w:rPr>
              <w:t>. In the event</w:t>
            </w:r>
          </w:p>
        </w:tc>
        <w:tc>
          <w:tcPr>
            <w:tcW w:w="0" w:type="dxa"/>
            <w:vAlign w:val="bottom"/>
          </w:tcPr>
          <w:p>
            <w:pPr>
              <w:spacing w:after="0" w:line="20" w:lineRule="exact"/>
              <w:rPr>
                <w:sz w:val="1"/>
                <w:szCs w:val="1"/>
                <w:color w:val="auto"/>
              </w:rPr>
            </w:pPr>
          </w:p>
        </w:tc>
      </w:tr>
      <w:tr>
        <w:trPr>
          <w:trHeight w:val="476"/>
        </w:trPr>
        <w:tc>
          <w:tcPr>
            <w:tcW w:w="520" w:type="dxa"/>
            <w:vAlign w:val="bottom"/>
          </w:tcPr>
          <w:p>
            <w:pPr>
              <w:spacing w:after="0"/>
              <w:rPr>
                <w:sz w:val="24"/>
                <w:szCs w:val="24"/>
                <w:color w:val="auto"/>
              </w:rPr>
            </w:pPr>
          </w:p>
        </w:tc>
        <w:tc>
          <w:tcPr>
            <w:tcW w:w="1960" w:type="dxa"/>
            <w:vAlign w:val="bottom"/>
            <w:gridSpan w:val="3"/>
          </w:tcPr>
          <w:p>
            <w:pPr>
              <w:ind w:left="240"/>
              <w:spacing w:after="0"/>
              <w:rPr>
                <w:sz w:val="20"/>
                <w:szCs w:val="20"/>
                <w:color w:val="auto"/>
              </w:rPr>
            </w:pPr>
            <w:r>
              <w:rPr>
                <w:rFonts w:ascii="Arial" w:cs="Arial" w:eastAsia="Arial" w:hAnsi="Arial"/>
                <w:sz w:val="22"/>
                <w:szCs w:val="22"/>
                <w:color w:val="010000"/>
              </w:rPr>
              <w:t>(a)</w:t>
            </w:r>
          </w:p>
        </w:tc>
        <w:tc>
          <w:tcPr>
            <w:tcW w:w="7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240"/>
        <w:spacing w:after="0" w:line="280" w:lineRule="auto"/>
        <w:rPr>
          <w:sz w:val="20"/>
          <w:szCs w:val="20"/>
          <w:color w:val="auto"/>
        </w:rPr>
      </w:pPr>
      <w:r>
        <w:rPr>
          <w:rFonts w:ascii="Arial" w:cs="Arial" w:eastAsia="Arial" w:hAnsi="Arial"/>
          <w:sz w:val="19"/>
          <w:szCs w:val="19"/>
          <w:color w:val="auto"/>
        </w:rPr>
        <w:t>that the Company terminates the Executive’s employment for Cause or the Executive resigns her employment without Good Reason, this Agreement will terminate without further obligations to Executive other than the following: Executive shall be entitled to receive he unpaid base salary earned through her last day of employment, accrued but unused vacation pay, and vested benefits through and including Executive’s last day of employment.</w:t>
      </w:r>
    </w:p>
    <w:p>
      <w:pPr>
        <w:spacing w:after="0" w:line="144" w:lineRule="exact"/>
        <w:rPr>
          <w:sz w:val="20"/>
          <w:szCs w:val="20"/>
          <w:color w:val="auto"/>
        </w:rPr>
      </w:pPr>
    </w:p>
    <w:p>
      <w:pPr>
        <w:ind w:left="1380"/>
        <w:spacing w:after="0"/>
        <w:tabs>
          <w:tab w:leader="none" w:pos="3640" w:val="left"/>
        </w:tabs>
        <w:rPr>
          <w:sz w:val="20"/>
          <w:szCs w:val="20"/>
          <w:color w:val="auto"/>
        </w:rPr>
      </w:pPr>
      <w:r>
        <w:rPr>
          <w:rFonts w:ascii="Arial" w:cs="Arial" w:eastAsia="Arial" w:hAnsi="Arial"/>
          <w:sz w:val="22"/>
          <w:szCs w:val="22"/>
          <w:color w:val="010000"/>
        </w:rPr>
        <w:t>(b)</w:t>
      </w:r>
      <w:r>
        <w:rPr>
          <w:sz w:val="20"/>
          <w:szCs w:val="20"/>
          <w:color w:val="auto"/>
        </w:rPr>
        <w:tab/>
      </w:r>
      <w:r>
        <w:rPr>
          <w:rFonts w:ascii="Arial" w:cs="Arial" w:eastAsia="Arial" w:hAnsi="Arial"/>
          <w:sz w:val="22"/>
          <w:szCs w:val="22"/>
          <w:b w:val="1"/>
          <w:bCs w:val="1"/>
          <w:color w:val="auto"/>
        </w:rPr>
        <w:t>Involuntary Termination Without Cause or Resignation With Good</w:t>
      </w:r>
    </w:p>
    <w:p>
      <w:pPr>
        <w:spacing w:after="0" w:line="14"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b w:val="1"/>
          <w:bCs w:val="1"/>
          <w:color w:val="auto"/>
        </w:rPr>
        <w:t>Reason</w:t>
      </w:r>
      <w:r>
        <w:rPr>
          <w:rFonts w:ascii="Arial" w:cs="Arial" w:eastAsia="Arial" w:hAnsi="Arial"/>
          <w:sz w:val="21"/>
          <w:szCs w:val="21"/>
          <w:color w:val="auto"/>
        </w:rPr>
        <w:t>. In the event of either an involuntary termination of the Executive’s employment Without Cause or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resignation by the Executive for Good Reason, in exchange for the Executive signing a separation and release of all claims agreement in a form acceptable to the Company, the Company shall provide the Executive with the following severance benefits in accordance with the timing set forth in Section 3.3(b)(iv) below:</w:t>
      </w:r>
    </w:p>
    <w:p>
      <w:pPr>
        <w:spacing w:after="0" w:line="180" w:lineRule="exact"/>
        <w:rPr>
          <w:sz w:val="20"/>
          <w:szCs w:val="20"/>
          <w:color w:val="auto"/>
        </w:rPr>
      </w:pPr>
    </w:p>
    <w:p>
      <w:pPr>
        <w:ind w:left="3140" w:right="260" w:hanging="833"/>
        <w:spacing w:after="0" w:line="238" w:lineRule="auto"/>
        <w:tabs>
          <w:tab w:leader="none" w:pos="3140" w:val="left"/>
        </w:tabs>
        <w:numPr>
          <w:ilvl w:val="0"/>
          <w:numId w:val="191"/>
        </w:numPr>
        <w:rPr>
          <w:rFonts w:ascii="Arial" w:cs="Arial" w:eastAsia="Arial" w:hAnsi="Arial"/>
          <w:sz w:val="22"/>
          <w:szCs w:val="22"/>
          <w:color w:val="010000"/>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the Executive the equivalent of nine (9) months of the Executive’s annual base salary in effect at the time of the termination Without Cause or resignation with Good Reason in one lump sum payment, less standard deductions and withholdings.</w:t>
      </w:r>
    </w:p>
    <w:p>
      <w:pPr>
        <w:spacing w:after="0" w:line="184" w:lineRule="exact"/>
        <w:rPr>
          <w:rFonts w:ascii="Arial" w:cs="Arial" w:eastAsia="Arial" w:hAnsi="Arial"/>
          <w:sz w:val="22"/>
          <w:szCs w:val="22"/>
          <w:color w:val="010000"/>
        </w:rPr>
      </w:pPr>
    </w:p>
    <w:p>
      <w:pPr>
        <w:ind w:left="3140" w:right="480" w:hanging="833"/>
        <w:spacing w:after="0" w:line="238" w:lineRule="auto"/>
        <w:tabs>
          <w:tab w:leader="none" w:pos="3140" w:val="left"/>
        </w:tabs>
        <w:numPr>
          <w:ilvl w:val="0"/>
          <w:numId w:val="191"/>
        </w:numPr>
        <w:rPr>
          <w:rFonts w:ascii="Arial" w:cs="Arial" w:eastAsia="Arial" w:hAnsi="Arial"/>
          <w:sz w:val="22"/>
          <w:szCs w:val="22"/>
          <w:color w:val="010000"/>
        </w:rPr>
      </w:pPr>
      <w:r>
        <w:rPr>
          <w:rFonts w:ascii="Arial" w:cs="Arial" w:eastAsia="Arial" w:hAnsi="Arial"/>
          <w:sz w:val="22"/>
          <w:szCs w:val="22"/>
          <w:u w:val="single" w:color="auto"/>
          <w:color w:val="auto"/>
        </w:rPr>
        <w:t>Three Months Notice</w:t>
      </w:r>
      <w:r>
        <w:rPr>
          <w:rFonts w:ascii="Arial" w:cs="Arial" w:eastAsia="Arial" w:hAnsi="Arial"/>
          <w:sz w:val="22"/>
          <w:szCs w:val="22"/>
          <w:color w:val="auto"/>
        </w:rPr>
        <w:t>: The Company shall provide the Executive three (3) months prior written notice in the event of an involuntary termination of the Executive’s employment Without Cause or a voluntary resignation by the Executive for Good Reason.</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40"/>
          </w:cols>
          <w:pgMar w:left="680" w:top="639" w:right="579" w:bottom="1440" w:gutter="0" w:footer="0" w:header="0"/>
        </w:sectPr>
      </w:pPr>
    </w:p>
    <w:bookmarkStart w:id="169" w:name="page170"/>
    <w:bookmarkEnd w:id="169"/>
    <w:p>
      <w:pPr>
        <w:ind w:left="3160" w:right="80" w:hanging="833"/>
        <w:spacing w:after="0" w:line="238" w:lineRule="auto"/>
        <w:tabs>
          <w:tab w:leader="none" w:pos="3160" w:val="left"/>
        </w:tabs>
        <w:numPr>
          <w:ilvl w:val="0"/>
          <w:numId w:val="192"/>
        </w:numPr>
        <w:rPr>
          <w:rFonts w:ascii="Arial" w:cs="Arial" w:eastAsia="Arial" w:hAnsi="Arial"/>
          <w:sz w:val="22"/>
          <w:szCs w:val="22"/>
          <w:color w:val="010000"/>
        </w:rPr>
      </w:pPr>
      <w:r>
        <w:rPr>
          <w:rFonts w:ascii="Arial" w:cs="Arial" w:eastAsia="Arial" w:hAnsi="Arial"/>
          <w:sz w:val="22"/>
          <w:szCs w:val="22"/>
          <w:u w:val="single" w:color="auto"/>
          <w:color w:val="auto"/>
        </w:rPr>
        <w:t>Benefits Coverage</w:t>
      </w:r>
      <w:r>
        <w:rPr>
          <w:rFonts w:ascii="Arial" w:cs="Arial" w:eastAsia="Arial" w:hAnsi="Arial"/>
          <w:sz w:val="22"/>
          <w:szCs w:val="22"/>
          <w:color w:val="auto"/>
        </w:rPr>
        <w:t>. The Company shall continue to provide group health, vision, and dental plan benefits to the Executive for a period of nine (9) months from and after the date of termination, with the cost of all regular premiums for such benefits paid by the Company (or its successor).</w:t>
      </w:r>
    </w:p>
    <w:p>
      <w:pPr>
        <w:spacing w:after="0" w:line="184" w:lineRule="exact"/>
        <w:rPr>
          <w:rFonts w:ascii="Arial" w:cs="Arial" w:eastAsia="Arial" w:hAnsi="Arial"/>
          <w:sz w:val="22"/>
          <w:szCs w:val="22"/>
          <w:color w:val="010000"/>
        </w:rPr>
      </w:pPr>
    </w:p>
    <w:p>
      <w:pPr>
        <w:ind w:left="3160" w:right="240" w:hanging="833"/>
        <w:spacing w:after="0" w:line="287" w:lineRule="auto"/>
        <w:tabs>
          <w:tab w:leader="none" w:pos="3160" w:val="left"/>
        </w:tabs>
        <w:numPr>
          <w:ilvl w:val="0"/>
          <w:numId w:val="192"/>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twelve (12) months</w:t>
      </w:r>
    </w:p>
    <w:p>
      <w:pPr>
        <w:spacing w:after="0" w:line="142" w:lineRule="exact"/>
        <w:rPr>
          <w:rFonts w:ascii="Arial" w:cs="Arial" w:eastAsia="Arial" w:hAnsi="Arial"/>
          <w:sz w:val="19"/>
          <w:szCs w:val="19"/>
          <w:color w:val="010000"/>
        </w:rPr>
      </w:pPr>
    </w:p>
    <w:p>
      <w:pPr>
        <w:ind w:left="3160" w:hanging="833"/>
        <w:spacing w:after="0"/>
        <w:tabs>
          <w:tab w:leader="none" w:pos="3160" w:val="left"/>
        </w:tabs>
        <w:numPr>
          <w:ilvl w:val="0"/>
          <w:numId w:val="192"/>
        </w:numPr>
        <w:rPr>
          <w:rFonts w:ascii="Arial" w:cs="Arial" w:eastAsia="Arial" w:hAnsi="Arial"/>
          <w:sz w:val="19"/>
          <w:szCs w:val="19"/>
          <w:color w:val="010000"/>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The severance benefits in the above subsection 3.3(b)(i) shall be</w:t>
      </w:r>
    </w:p>
    <w:p>
      <w:pPr>
        <w:spacing w:after="0" w:line="3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paid to Executive no later than fifteen</w:t>
      </w:r>
    </w:p>
    <w:p>
      <w:pPr>
        <w:ind w:left="3160" w:right="520" w:firstLine="9"/>
        <w:spacing w:after="0" w:line="236" w:lineRule="auto"/>
        <w:tabs>
          <w:tab w:leader="none" w:pos="357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days from the date the Executive signs the severance and release agreement and the revocation period, if any, has expired.</w:t>
      </w:r>
    </w:p>
    <w:p>
      <w:pPr>
        <w:spacing w:after="0" w:line="181" w:lineRule="exact"/>
        <w:rPr>
          <w:sz w:val="20"/>
          <w:szCs w:val="20"/>
          <w:color w:val="auto"/>
        </w:rPr>
      </w:pPr>
    </w:p>
    <w:p>
      <w:pPr>
        <w:ind w:left="1400"/>
        <w:spacing w:after="0"/>
        <w:tabs>
          <w:tab w:leader="none" w:pos="3660" w:val="left"/>
        </w:tabs>
        <w:rPr>
          <w:sz w:val="20"/>
          <w:szCs w:val="20"/>
          <w:color w:val="auto"/>
        </w:rPr>
      </w:pPr>
      <w:r>
        <w:rPr>
          <w:rFonts w:ascii="Arial" w:cs="Arial" w:eastAsia="Arial" w:hAnsi="Arial"/>
          <w:sz w:val="19"/>
          <w:szCs w:val="19"/>
          <w:color w:val="010000"/>
        </w:rPr>
        <w:t>(c)</w:t>
      </w:r>
      <w:r>
        <w:rPr>
          <w:sz w:val="20"/>
          <w:szCs w:val="20"/>
          <w:color w:val="auto"/>
        </w:rPr>
        <w:tab/>
      </w:r>
      <w:r>
        <w:rPr>
          <w:rFonts w:ascii="Arial" w:cs="Arial" w:eastAsia="Arial" w:hAnsi="Arial"/>
          <w:sz w:val="19"/>
          <w:szCs w:val="19"/>
          <w:b w:val="1"/>
          <w:bCs w:val="1"/>
          <w:color w:val="auto"/>
        </w:rPr>
        <w:t>Termination or Resignation In Connection With Change In Control</w:t>
      </w:r>
      <w:r>
        <w:rPr>
          <w:rFonts w:ascii="Arial" w:cs="Arial" w:eastAsia="Arial" w:hAnsi="Arial"/>
          <w:sz w:val="19"/>
          <w:szCs w:val="19"/>
          <w:color w:val="auto"/>
        </w:rPr>
        <w:t>. In the</w:t>
      </w:r>
    </w:p>
    <w:p>
      <w:pPr>
        <w:spacing w:after="0" w:line="49" w:lineRule="exact"/>
        <w:rPr>
          <w:sz w:val="20"/>
          <w:szCs w:val="20"/>
          <w:color w:val="auto"/>
        </w:rPr>
      </w:pPr>
    </w:p>
    <w:p>
      <w:pPr>
        <w:ind w:left="20" w:right="80"/>
        <w:spacing w:after="0" w:line="234" w:lineRule="auto"/>
        <w:rPr>
          <w:sz w:val="20"/>
          <w:szCs w:val="20"/>
          <w:color w:val="auto"/>
        </w:rPr>
      </w:pPr>
      <w:r>
        <w:rPr>
          <w:rFonts w:ascii="Arial" w:cs="Arial" w:eastAsia="Arial" w:hAnsi="Arial"/>
          <w:sz w:val="22"/>
          <w:szCs w:val="22"/>
          <w:color w:val="auto"/>
        </w:rPr>
        <w:t>event Executive is terminated or resigns in connection with or within one (1) year following a Change in Control or for Good Reason as defined in 3.2(b) and 3.2(c), respectively, the Executive shall be entitled to all of the severance benefits set forth in Section 3.3(b) above.</w:t>
      </w:r>
    </w:p>
    <w:p>
      <w:pPr>
        <w:spacing w:after="0" w:line="181" w:lineRule="exact"/>
        <w:rPr>
          <w:sz w:val="20"/>
          <w:szCs w:val="20"/>
          <w:color w:val="auto"/>
        </w:rPr>
      </w:pPr>
    </w:p>
    <w:p>
      <w:pPr>
        <w:ind w:left="620" w:hanging="615"/>
        <w:spacing w:after="0"/>
        <w:tabs>
          <w:tab w:leader="none" w:pos="620" w:val="left"/>
        </w:tabs>
        <w:numPr>
          <w:ilvl w:val="0"/>
          <w:numId w:val="194"/>
        </w:numPr>
        <w:rPr>
          <w:rFonts w:ascii="Arial" w:cs="Arial" w:eastAsia="Arial" w:hAnsi="Arial"/>
          <w:sz w:val="22"/>
          <w:szCs w:val="22"/>
          <w:b w:val="1"/>
          <w:bCs w:val="1"/>
          <w:color w:val="010000"/>
        </w:rPr>
      </w:pPr>
      <w:r>
        <w:rPr>
          <w:rFonts w:ascii="Arial" w:cs="Arial" w:eastAsia="Arial" w:hAnsi="Arial"/>
          <w:sz w:val="22"/>
          <w:szCs w:val="22"/>
          <w:b w:val="1"/>
          <w:bCs w:val="1"/>
          <w:color w:val="auto"/>
        </w:rPr>
        <w:t>Proprietary Information</w:t>
      </w:r>
    </w:p>
    <w:p>
      <w:pPr>
        <w:spacing w:after="0" w:line="212" w:lineRule="exact"/>
        <w:rPr>
          <w:sz w:val="20"/>
          <w:szCs w:val="20"/>
          <w:color w:val="auto"/>
        </w:rPr>
      </w:pPr>
    </w:p>
    <w:p>
      <w:pPr>
        <w:ind w:left="20" w:right="100" w:firstLine="596"/>
        <w:spacing w:after="0" w:line="234" w:lineRule="auto"/>
        <w:rPr>
          <w:sz w:val="20"/>
          <w:szCs w:val="20"/>
          <w:color w:val="auto"/>
        </w:rPr>
      </w:pPr>
      <w:r>
        <w:rPr>
          <w:rFonts w:ascii="Arial" w:cs="Arial" w:eastAsia="Arial" w:hAnsi="Arial"/>
          <w:sz w:val="22"/>
          <w:szCs w:val="22"/>
          <w:color w:val="auto"/>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spacing w:after="0" w:line="191" w:lineRule="exact"/>
        <w:rPr>
          <w:sz w:val="20"/>
          <w:szCs w:val="20"/>
          <w:color w:val="auto"/>
        </w:rPr>
      </w:pPr>
    </w:p>
    <w:p>
      <w:pPr>
        <w:ind w:left="20" w:firstLine="599"/>
        <w:spacing w:after="0" w:line="245"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Both during the term of the Executive’s employment under this Agreement and indefinitely after the Executive is no longer employed as Chief Operating Officer of the Company, the Executive shall not, directly or indirectly, (i) knowingly use for an improper personal benefit any “Confidential Information” that was acquired by, learned by or disclosed to Executive by reason of the Executive’s employment as Chief Operating Officer of the Company (before or after the date of this Agreement), or (ii) disclose any such Confidential Information to any person, business or entity, except in the proper course of the Executive’s duties as Chief Operating Officer,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 developmental, operating, performance, know-how, and process information, drawings and</w:t>
      </w: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62865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40"/>
          </w:cols>
          <w:pgMar w:left="660" w:top="645" w:right="599" w:bottom="1440" w:gutter="0" w:footer="0" w:header="0"/>
        </w:sectPr>
      </w:pPr>
    </w:p>
    <w:bookmarkStart w:id="170" w:name="page171"/>
    <w:bookmarkEnd w:id="170"/>
    <w:p>
      <w:pPr>
        <w:spacing w:after="0" w:line="269" w:lineRule="auto"/>
        <w:rPr>
          <w:sz w:val="20"/>
          <w:szCs w:val="20"/>
          <w:color w:val="auto"/>
        </w:rPr>
      </w:pPr>
      <w:r>
        <w:rPr>
          <w:rFonts w:ascii="Arial" w:cs="Arial" w:eastAsia="Arial" w:hAnsi="Arial"/>
          <w:sz w:val="19"/>
          <w:szCs w:val="19"/>
          <w:color w:val="auto"/>
        </w:rPr>
        <w:t xml:space="preserve">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 </w:t>
      </w:r>
      <w:r>
        <w:rPr>
          <w:rFonts w:ascii="Arial" w:cs="Arial" w:eastAsia="Arial" w:hAnsi="Arial"/>
          <w:sz w:val="19"/>
          <w:szCs w:val="19"/>
          <w:b w:val="1"/>
          <w:bCs w:val="1"/>
          <w:i w:val="1"/>
          <w:iCs w:val="1"/>
          <w:color w:val="323232"/>
        </w:rPr>
        <w:t>Defend Trade Secrets Act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i w:val="1"/>
          <w:iCs w:val="1"/>
          <w:color w:val="323232"/>
        </w:rPr>
        <w:t>Notice</w:t>
      </w:r>
      <w:r>
        <w:rPr>
          <w:rFonts w:ascii="Arial" w:cs="Arial" w:eastAsia="Arial" w:hAnsi="Arial"/>
          <w:sz w:val="19"/>
          <w:szCs w:val="19"/>
          <w:color w:val="323232"/>
        </w:rPr>
        <w:t>. Executive is hereby notified in accordance with the Defend Trade Secrets Act of 2016 that she will not be held</w:t>
      </w:r>
      <w:r>
        <w:rPr>
          <w:rFonts w:ascii="Arial" w:cs="Arial" w:eastAsia="Arial" w:hAnsi="Arial"/>
          <w:sz w:val="19"/>
          <w:szCs w:val="19"/>
          <w:b w:val="1"/>
          <w:bCs w:val="1"/>
          <w:i w:val="1"/>
          <w:iCs w:val="1"/>
          <w:color w:val="323232"/>
        </w:rPr>
        <w:t xml:space="preserve"> </w:t>
      </w:r>
      <w:r>
        <w:rPr>
          <w:rFonts w:ascii="Arial" w:cs="Arial" w:eastAsia="Arial" w:hAnsi="Arial"/>
          <w:sz w:val="19"/>
          <w:szCs w:val="19"/>
          <w:color w:val="323232"/>
        </w:rPr>
        <w:t>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Executive: (i) files any document containing the trade secret under seal; and (ii) does not disclose the trade secret, except pursuant to court order.</w:t>
      </w:r>
    </w:p>
    <w:p>
      <w:pPr>
        <w:spacing w:after="0" w:line="161" w:lineRule="exact"/>
        <w:rPr>
          <w:sz w:val="20"/>
          <w:szCs w:val="20"/>
          <w:color w:val="auto"/>
        </w:rPr>
      </w:pPr>
    </w:p>
    <w:p>
      <w:pPr>
        <w:ind w:left="100" w:right="180" w:firstLine="492"/>
        <w:spacing w:after="0" w:line="23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Duty of Loyalty and Non-Competition</w:t>
      </w:r>
      <w:r>
        <w:rPr>
          <w:rFonts w:ascii="Arial" w:cs="Arial" w:eastAsia="Arial" w:hAnsi="Arial"/>
          <w:sz w:val="22"/>
          <w:szCs w:val="22"/>
          <w:color w:val="auto"/>
        </w:rPr>
        <w:t>.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w:t>
      </w:r>
    </w:p>
    <w:p>
      <w:pPr>
        <w:spacing w:after="0" w:line="200" w:lineRule="exact"/>
        <w:rPr>
          <w:sz w:val="20"/>
          <w:szCs w:val="20"/>
          <w:color w:val="auto"/>
        </w:rPr>
      </w:pPr>
    </w:p>
    <w:p>
      <w:pPr>
        <w:spacing w:after="0" w:line="230"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680" w:top="645" w:right="479" w:bottom="1440" w:gutter="0" w:footer="0" w:header="0"/>
        </w:sectPr>
      </w:pPr>
    </w:p>
    <w:bookmarkStart w:id="171" w:name="page172"/>
    <w:bookmarkEnd w:id="171"/>
    <w:p>
      <w:pPr>
        <w:ind w:right="60"/>
        <w:spacing w:after="0" w:line="248" w:lineRule="auto"/>
        <w:rPr>
          <w:sz w:val="20"/>
          <w:szCs w:val="20"/>
          <w:color w:val="auto"/>
        </w:rPr>
      </w:pPr>
      <w:r>
        <w:rPr>
          <w:rFonts w:ascii="Arial" w:cs="Arial" w:eastAsia="Arial" w:hAnsi="Arial"/>
          <w:sz w:val="21"/>
          <w:szCs w:val="21"/>
          <w:color w:val="auto"/>
        </w:rPr>
        <w:t>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Chief Operating Officer of the Company for any reason, Executive shall not, either directly or indirectly, engage in any unlawful competitive activities or use confidential trade secret information for any purpose.</w:t>
      </w:r>
    </w:p>
    <w:p>
      <w:pPr>
        <w:spacing w:after="0" w:line="177"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19"/>
          <w:szCs w:val="19"/>
          <w:u w:val="single" w:color="auto"/>
          <w:color w:val="auto"/>
        </w:rPr>
        <w:t>Non-Solicitation</w:t>
      </w:r>
      <w:r>
        <w:rPr>
          <w:rFonts w:ascii="Arial" w:cs="Arial" w:eastAsia="Arial" w:hAnsi="Arial"/>
          <w:sz w:val="19"/>
          <w:szCs w:val="19"/>
          <w:color w:val="auto"/>
        </w:rPr>
        <w:t>. For a period beginning on the Effective Date and ending two</w:t>
      </w:r>
    </w:p>
    <w:p>
      <w:pPr>
        <w:spacing w:after="0" w:line="8" w:lineRule="exact"/>
        <w:rPr>
          <w:sz w:val="20"/>
          <w:szCs w:val="20"/>
          <w:color w:val="auto"/>
        </w:rPr>
      </w:pPr>
    </w:p>
    <w:p>
      <w:pPr>
        <w:ind w:firstLine="4"/>
        <w:spacing w:after="0" w:line="243" w:lineRule="auto"/>
        <w:tabs>
          <w:tab w:leader="none" w:pos="306" w:val="left"/>
        </w:tabs>
        <w:numPr>
          <w:ilvl w:val="0"/>
          <w:numId w:val="195"/>
        </w:numPr>
        <w:rPr>
          <w:rFonts w:ascii="Arial" w:cs="Arial" w:eastAsia="Arial" w:hAnsi="Arial"/>
          <w:sz w:val="21"/>
          <w:szCs w:val="21"/>
          <w:color w:val="auto"/>
        </w:rPr>
      </w:pPr>
      <w:r>
        <w:rPr>
          <w:rFonts w:ascii="Arial" w:cs="Arial" w:eastAsia="Arial" w:hAnsi="Arial"/>
          <w:sz w:val="21"/>
          <w:szCs w:val="21"/>
          <w:color w:val="auto"/>
        </w:rPr>
        <w:t>years after the date on which the Executive is no longer employed as Chief Operating Officer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 (6)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spacing w:after="0" w:line="185" w:lineRule="exact"/>
        <w:rPr>
          <w:sz w:val="20"/>
          <w:szCs w:val="20"/>
          <w:color w:val="auto"/>
        </w:rPr>
      </w:pPr>
    </w:p>
    <w:p>
      <w:pPr>
        <w:ind w:right="40" w:firstLine="490"/>
        <w:spacing w:after="0" w:line="272"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Non-disparagement</w:t>
      </w:r>
      <w:r>
        <w:rPr>
          <w:rFonts w:ascii="Arial" w:cs="Arial" w:eastAsia="Arial" w:hAnsi="Arial"/>
          <w:sz w:val="19"/>
          <w:szCs w:val="19"/>
          <w:color w:val="000000"/>
        </w:rPr>
        <w:t>. The Executive agrees (whether during or after Executive’s employment as</w:t>
      </w:r>
      <w:r>
        <w:rPr>
          <w:rFonts w:ascii="Arial" w:cs="Arial" w:eastAsia="Arial" w:hAnsi="Arial"/>
          <w:sz w:val="19"/>
          <w:szCs w:val="19"/>
          <w:color w:val="010000"/>
        </w:rPr>
        <w:t xml:space="preserve"> </w:t>
      </w:r>
      <w:r>
        <w:rPr>
          <w:rFonts w:ascii="Arial" w:cs="Arial" w:eastAsia="Arial" w:hAnsi="Arial"/>
          <w:sz w:val="19"/>
          <w:szCs w:val="19"/>
          <w:color w:val="000000"/>
        </w:rPr>
        <w:t>Chief Operating Officer 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200" w:lineRule="exact"/>
        <w:rPr>
          <w:sz w:val="20"/>
          <w:szCs w:val="20"/>
          <w:color w:val="auto"/>
        </w:rPr>
      </w:pPr>
    </w:p>
    <w:p>
      <w:pPr>
        <w:spacing w:after="0" w:line="204" w:lineRule="exact"/>
        <w:rPr>
          <w:sz w:val="20"/>
          <w:szCs w:val="20"/>
          <w:color w:val="auto"/>
        </w:rPr>
      </w:pPr>
    </w:p>
    <w:p>
      <w:pPr>
        <w:ind w:right="20" w:firstLine="488"/>
        <w:spacing w:after="0" w:line="248" w:lineRule="auto"/>
        <w:rPr>
          <w:sz w:val="20"/>
          <w:szCs w:val="20"/>
          <w:color w:val="auto"/>
        </w:rPr>
      </w:pPr>
      <w:r>
        <w:rPr>
          <w:rFonts w:ascii="Arial" w:cs="Arial" w:eastAsia="Arial" w:hAnsi="Arial"/>
          <w:sz w:val="21"/>
          <w:szCs w:val="21"/>
          <w:color w:val="010000"/>
        </w:rPr>
        <w:t xml:space="preserve">4.5 </w:t>
      </w:r>
      <w:r>
        <w:rPr>
          <w:rFonts w:ascii="Arial" w:cs="Arial" w:eastAsia="Arial" w:hAnsi="Arial"/>
          <w:sz w:val="21"/>
          <w:szCs w:val="21"/>
          <w:u w:val="single" w:color="auto"/>
          <w:color w:val="000000"/>
        </w:rPr>
        <w:t>Return of Property</w:t>
      </w:r>
      <w:r>
        <w:rPr>
          <w:rFonts w:ascii="Arial" w:cs="Arial" w:eastAsia="Arial" w:hAnsi="Arial"/>
          <w:sz w:val="21"/>
          <w:szCs w:val="21"/>
          <w:color w:val="000000"/>
        </w:rPr>
        <w:t>. Upon termination of her employment as Chief Operating Officer of the</w:t>
      </w:r>
      <w:r>
        <w:rPr>
          <w:rFonts w:ascii="Arial" w:cs="Arial" w:eastAsia="Arial" w:hAnsi="Arial"/>
          <w:sz w:val="21"/>
          <w:szCs w:val="21"/>
          <w:color w:val="010000"/>
        </w:rPr>
        <w:t xml:space="preserve"> </w:t>
      </w:r>
      <w:r>
        <w:rPr>
          <w:rFonts w:ascii="Arial" w:cs="Arial" w:eastAsia="Arial" w:hAnsi="Arial"/>
          <w:sz w:val="21"/>
          <w:szCs w:val="21"/>
          <w:color w:val="000000"/>
        </w:rPr>
        <w:t>Company 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200" w:lineRule="exact"/>
        <w:rPr>
          <w:sz w:val="20"/>
          <w:szCs w:val="20"/>
          <w:color w:val="auto"/>
        </w:rPr>
      </w:pPr>
    </w:p>
    <w:p>
      <w:pPr>
        <w:spacing w:after="0" w:line="220"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62865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00"/>
          </w:cols>
          <w:pgMar w:left="780" w:top="645" w:right="619" w:bottom="1440" w:gutter="0" w:footer="0" w:header="0"/>
        </w:sectPr>
      </w:pPr>
    </w:p>
    <w:bookmarkStart w:id="172" w:name="page173"/>
    <w:bookmarkEnd w:id="172"/>
    <w:p>
      <w:pPr>
        <w:ind w:left="7" w:firstLine="494"/>
        <w:spacing w:after="0" w:line="271" w:lineRule="auto"/>
        <w:rPr>
          <w:sz w:val="20"/>
          <w:szCs w:val="20"/>
          <w:color w:val="auto"/>
        </w:rPr>
      </w:pPr>
      <w:r>
        <w:rPr>
          <w:rFonts w:ascii="Arial" w:cs="Arial" w:eastAsia="Arial" w:hAnsi="Arial"/>
          <w:sz w:val="19"/>
          <w:szCs w:val="19"/>
          <w:color w:val="010000"/>
        </w:rPr>
        <w:t xml:space="preserve">4.6 </w:t>
      </w:r>
      <w:r>
        <w:rPr>
          <w:rFonts w:ascii="Arial" w:cs="Arial" w:eastAsia="Arial" w:hAnsi="Arial"/>
          <w:sz w:val="19"/>
          <w:szCs w:val="19"/>
          <w:u w:val="single" w:color="auto"/>
          <w:color w:val="000000"/>
        </w:rPr>
        <w:t>Remedies</w:t>
      </w:r>
      <w:r>
        <w:rPr>
          <w:rFonts w:ascii="Arial" w:cs="Arial" w:eastAsia="Arial" w:hAnsi="Arial"/>
          <w:sz w:val="19"/>
          <w:szCs w:val="19"/>
          <w:color w:val="000000"/>
        </w:rPr>
        <w:t>. The Executive acknowledges that (i) the Executive has had an opportunity to seek the</w:t>
      </w:r>
      <w:r>
        <w:rPr>
          <w:rFonts w:ascii="Arial" w:cs="Arial" w:eastAsia="Arial" w:hAnsi="Arial"/>
          <w:sz w:val="19"/>
          <w:szCs w:val="19"/>
          <w:color w:val="010000"/>
        </w:rPr>
        <w:t xml:space="preserve"> </w:t>
      </w:r>
      <w:r>
        <w:rPr>
          <w:rFonts w:ascii="Arial" w:cs="Arial" w:eastAsia="Arial" w:hAnsi="Arial"/>
          <w:sz w:val="19"/>
          <w:szCs w:val="19"/>
          <w:color w:val="000000"/>
        </w:rPr>
        <w:t>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w:t>
      </w:r>
    </w:p>
    <w:p>
      <w:pPr>
        <w:spacing w:after="0" w:line="3" w:lineRule="exact"/>
        <w:rPr>
          <w:sz w:val="20"/>
          <w:szCs w:val="20"/>
          <w:color w:val="auto"/>
        </w:rPr>
      </w:pPr>
    </w:p>
    <w:p>
      <w:pPr>
        <w:ind w:left="7" w:firstLine="4"/>
        <w:spacing w:after="0" w:line="233" w:lineRule="auto"/>
        <w:tabs>
          <w:tab w:leader="none" w:pos="312" w:val="left"/>
        </w:tabs>
        <w:numPr>
          <w:ilvl w:val="1"/>
          <w:numId w:val="196"/>
        </w:numPr>
        <w:rPr>
          <w:rFonts w:ascii="Arial" w:cs="Arial" w:eastAsia="Arial" w:hAnsi="Arial"/>
          <w:sz w:val="22"/>
          <w:szCs w:val="22"/>
          <w:color w:val="auto"/>
        </w:rPr>
      </w:pPr>
      <w:r>
        <w:rPr>
          <w:rFonts w:ascii="Arial" w:cs="Arial" w:eastAsia="Arial" w:hAnsi="Arial"/>
          <w:sz w:val="22"/>
          <w:szCs w:val="22"/>
          <w:color w:val="auto"/>
        </w:rPr>
        <w:t>specific performance in the form of injunctive relief would be an appropriate 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spacing w:after="0" w:line="181" w:lineRule="exact"/>
        <w:rPr>
          <w:rFonts w:ascii="Arial" w:cs="Arial" w:eastAsia="Arial" w:hAnsi="Arial"/>
          <w:sz w:val="22"/>
          <w:szCs w:val="22"/>
          <w:color w:val="auto"/>
        </w:rPr>
      </w:pPr>
    </w:p>
    <w:p>
      <w:pPr>
        <w:ind w:left="507" w:hanging="507"/>
        <w:spacing w:after="0"/>
        <w:tabs>
          <w:tab w:leader="none" w:pos="507" w:val="left"/>
        </w:tabs>
        <w:numPr>
          <w:ilvl w:val="0"/>
          <w:numId w:val="197"/>
        </w:numPr>
        <w:rPr>
          <w:rFonts w:ascii="Arial" w:cs="Arial" w:eastAsia="Arial" w:hAnsi="Arial"/>
          <w:sz w:val="22"/>
          <w:szCs w:val="22"/>
          <w:b w:val="1"/>
          <w:bCs w:val="1"/>
          <w:color w:val="010000"/>
        </w:rPr>
      </w:pPr>
      <w:r>
        <w:rPr>
          <w:rFonts w:ascii="Arial" w:cs="Arial" w:eastAsia="Arial" w:hAnsi="Arial"/>
          <w:sz w:val="22"/>
          <w:szCs w:val="22"/>
          <w:b w:val="1"/>
          <w:bCs w:val="1"/>
          <w:color w:val="auto"/>
        </w:rPr>
        <w:t>Assignment</w:t>
      </w:r>
    </w:p>
    <w:p>
      <w:pPr>
        <w:spacing w:after="0" w:line="212" w:lineRule="exact"/>
        <w:rPr>
          <w:sz w:val="20"/>
          <w:szCs w:val="20"/>
          <w:color w:val="auto"/>
        </w:rPr>
      </w:pPr>
    </w:p>
    <w:p>
      <w:pPr>
        <w:jc w:val="both"/>
        <w:ind w:left="107" w:right="460" w:firstLine="385"/>
        <w:spacing w:after="0" w:line="297" w:lineRule="auto"/>
        <w:rPr>
          <w:sz w:val="20"/>
          <w:szCs w:val="20"/>
          <w:color w:val="auto"/>
        </w:rPr>
      </w:pPr>
      <w:r>
        <w:rPr>
          <w:rFonts w:ascii="Arial" w:cs="Arial" w:eastAsia="Arial" w:hAnsi="Arial"/>
          <w:sz w:val="19"/>
          <w:szCs w:val="19"/>
          <w:color w:val="auto"/>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spacing w:after="0" w:line="128" w:lineRule="exact"/>
        <w:rPr>
          <w:sz w:val="20"/>
          <w:szCs w:val="20"/>
          <w:color w:val="auto"/>
        </w:rPr>
      </w:pPr>
    </w:p>
    <w:p>
      <w:pPr>
        <w:ind w:left="507" w:hanging="507"/>
        <w:spacing w:after="0"/>
        <w:tabs>
          <w:tab w:leader="none" w:pos="507" w:val="left"/>
        </w:tabs>
        <w:numPr>
          <w:ilvl w:val="0"/>
          <w:numId w:val="198"/>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left="107" w:right="280" w:firstLine="383"/>
        <w:spacing w:after="0" w:line="297" w:lineRule="auto"/>
        <w:rPr>
          <w:sz w:val="20"/>
          <w:szCs w:val="20"/>
          <w:color w:val="auto"/>
        </w:rPr>
      </w:pPr>
      <w:r>
        <w:rPr>
          <w:rFonts w:ascii="Arial" w:cs="Arial" w:eastAsia="Arial" w:hAnsi="Arial"/>
          <w:sz w:val="19"/>
          <w:szCs w:val="19"/>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28" w:lineRule="exact"/>
        <w:rPr>
          <w:sz w:val="20"/>
          <w:szCs w:val="20"/>
          <w:color w:val="auto"/>
        </w:rPr>
      </w:pPr>
    </w:p>
    <w:p>
      <w:pPr>
        <w:ind w:left="507" w:hanging="507"/>
        <w:spacing w:after="0"/>
        <w:tabs>
          <w:tab w:leader="none" w:pos="507" w:val="left"/>
        </w:tabs>
        <w:numPr>
          <w:ilvl w:val="0"/>
          <w:numId w:val="199"/>
        </w:numPr>
        <w:rPr>
          <w:rFonts w:ascii="Arial" w:cs="Arial" w:eastAsia="Arial" w:hAnsi="Arial"/>
          <w:sz w:val="22"/>
          <w:szCs w:val="22"/>
          <w:b w:val="1"/>
          <w:bCs w:val="1"/>
          <w:color w:val="010000"/>
        </w:rPr>
      </w:pPr>
      <w:r>
        <w:rPr>
          <w:rFonts w:ascii="Arial" w:cs="Arial" w:eastAsia="Arial" w:hAnsi="Arial"/>
          <w:sz w:val="22"/>
          <w:szCs w:val="22"/>
          <w:b w:val="1"/>
          <w:bCs w:val="1"/>
          <w:color w:val="auto"/>
        </w:rPr>
        <w:t>Binding Arbitration</w:t>
      </w:r>
    </w:p>
    <w:p>
      <w:pPr>
        <w:spacing w:after="0" w:line="212" w:lineRule="exact"/>
        <w:rPr>
          <w:sz w:val="20"/>
          <w:szCs w:val="20"/>
          <w:color w:val="auto"/>
        </w:rPr>
      </w:pPr>
    </w:p>
    <w:p>
      <w:pPr>
        <w:ind w:left="107" w:right="60" w:firstLine="390"/>
        <w:spacing w:after="0" w:line="269" w:lineRule="auto"/>
        <w:rPr>
          <w:sz w:val="20"/>
          <w:szCs w:val="20"/>
          <w:color w:val="auto"/>
        </w:rPr>
      </w:pPr>
      <w:r>
        <w:rPr>
          <w:rFonts w:ascii="Arial" w:cs="Arial" w:eastAsia="Arial" w:hAnsi="Arial"/>
          <w:sz w:val="19"/>
          <w:szCs w:val="19"/>
          <w:color w:val="auto"/>
        </w:rPr>
        <w:t>Any and all disputes which involve or relate in any way to this Agreement and/or to Executive’s employment or termination of employment as Chief Operating Officer of the Company, whether initiated by Executive or by the Company and whether based on contract, tort, statute, or common law, shall be submitted to and resolved by final, binding and confidential arbitration as the exclusive method for resolving all such disputes. The arbitration shall be private and confidential and conducted in Los Angeles, California pursuant to the Federal Arbitration Act and applicable California law, and pursuant to the applicable rules of the Judicial Arbitration and Mediation Services (“JAMS”) relating to employment disputes, unless the parties otherwise mutually agree to modify the JAMS Rules. A copy of the</w:t>
      </w:r>
    </w:p>
    <w:p>
      <w:pPr>
        <w:spacing w:after="0" w:line="5" w:lineRule="exact"/>
        <w:rPr>
          <w:sz w:val="20"/>
          <w:szCs w:val="20"/>
          <w:color w:val="auto"/>
        </w:rPr>
      </w:pPr>
    </w:p>
    <w:p>
      <w:pPr>
        <w:ind w:left="107" w:right="460" w:firstLine="7"/>
        <w:spacing w:after="0" w:line="236" w:lineRule="auto"/>
        <w:tabs>
          <w:tab w:leader="none" w:pos="62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Employment Rules are available for review at </w:t>
      </w:r>
      <w:r>
        <w:rPr>
          <w:rFonts w:ascii="Arial" w:cs="Arial" w:eastAsia="Arial" w:hAnsi="Arial"/>
          <w:sz w:val="22"/>
          <w:szCs w:val="22"/>
          <w:u w:val="single" w:color="auto"/>
          <w:color w:val="0000FF"/>
        </w:rPr>
        <w:t>https://www.jamsadr.com/rules-employment-arbitration</w:t>
      </w:r>
      <w:r>
        <w:rPr>
          <w:rFonts w:ascii="Arial" w:cs="Arial" w:eastAsia="Arial" w:hAnsi="Arial"/>
          <w:sz w:val="22"/>
          <w:szCs w:val="22"/>
          <w:color w:val="auto"/>
        </w:rPr>
        <w:t xml:space="preserve"> and are incorporated herein by reference.</w:t>
      </w:r>
    </w:p>
    <w:p>
      <w:pPr>
        <w:spacing w:after="0" w:line="187" w:lineRule="exact"/>
        <w:rPr>
          <w:sz w:val="20"/>
          <w:szCs w:val="20"/>
          <w:color w:val="auto"/>
        </w:rPr>
      </w:pPr>
    </w:p>
    <w:p>
      <w:pPr>
        <w:ind w:left="107" w:right="180" w:firstLine="390"/>
        <w:spacing w:after="0" w:line="235" w:lineRule="auto"/>
        <w:rPr>
          <w:sz w:val="20"/>
          <w:szCs w:val="20"/>
          <w:color w:val="auto"/>
        </w:rPr>
      </w:pPr>
      <w:r>
        <w:rPr>
          <w:rFonts w:ascii="Arial" w:cs="Arial" w:eastAsia="Arial" w:hAnsi="Arial"/>
          <w:sz w:val="22"/>
          <w:szCs w:val="22"/>
          <w:color w:val="auto"/>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Federal Arbitration Act relating to the arbitration of disputes, except as expressly limited or otherwise provided in this Agreement. The parties shall have the right to reasonable discovery. The parties agree</w:t>
      </w:r>
    </w:p>
    <w:p>
      <w:pPr>
        <w:spacing w:after="0" w:line="200" w:lineRule="exact"/>
        <w:rPr>
          <w:sz w:val="20"/>
          <w:szCs w:val="20"/>
          <w:color w:val="auto"/>
        </w:rPr>
      </w:pPr>
    </w:p>
    <w:p>
      <w:pPr>
        <w:spacing w:after="0" w:line="217" w:lineRule="exact"/>
        <w:rPr>
          <w:sz w:val="20"/>
          <w:szCs w:val="20"/>
          <w:color w:val="auto"/>
        </w:rPr>
      </w:pPr>
    </w:p>
    <w:p>
      <w:pPr>
        <w:jc w:val="center"/>
        <w:ind w:right="253"/>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62865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7"/>
          </w:cols>
          <w:pgMar w:left="773" w:top="645" w:right="519" w:bottom="1440" w:gutter="0" w:footer="0" w:header="0"/>
        </w:sectPr>
      </w:pPr>
    </w:p>
    <w:bookmarkStart w:id="173" w:name="page174"/>
    <w:bookmarkEnd w:id="173"/>
    <w:p>
      <w:pPr>
        <w:ind w:right="360"/>
        <w:spacing w:after="0" w:line="287" w:lineRule="auto"/>
        <w:rPr>
          <w:sz w:val="20"/>
          <w:szCs w:val="20"/>
          <w:color w:val="auto"/>
        </w:rPr>
      </w:pPr>
      <w:r>
        <w:rPr>
          <w:rFonts w:ascii="Arial" w:cs="Arial" w:eastAsia="Arial" w:hAnsi="Arial"/>
          <w:sz w:val="19"/>
          <w:szCs w:val="19"/>
          <w:color w:val="auto"/>
        </w:rPr>
        <w:t>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spacing w:after="0" w:line="143" w:lineRule="exact"/>
        <w:rPr>
          <w:sz w:val="20"/>
          <w:szCs w:val="20"/>
          <w:color w:val="auto"/>
        </w:rPr>
      </w:pPr>
    </w:p>
    <w:p>
      <w:pPr>
        <w:ind w:right="20" w:firstLine="391"/>
        <w:spacing w:after="0" w:line="271" w:lineRule="auto"/>
        <w:rPr>
          <w:sz w:val="20"/>
          <w:szCs w:val="20"/>
          <w:color w:val="auto"/>
        </w:rPr>
      </w:pPr>
      <w:r>
        <w:rPr>
          <w:rFonts w:ascii="Arial" w:cs="Arial" w:eastAsia="Arial" w:hAnsi="Arial"/>
          <w:sz w:val="19"/>
          <w:szCs w:val="19"/>
          <w:color w:val="auto"/>
        </w:rPr>
        <w:t>The arbitrator may award, if properly proven, any damages or remedy that a party could recover in a civil litigation and shall award costs and reasonable attorneys’ fees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Judgment upon the award of the arbitrator may be entered in any state or federal court sitting in Los Angeles, California.</w:t>
      </w:r>
    </w:p>
    <w:p>
      <w:pPr>
        <w:spacing w:after="0" w:line="223" w:lineRule="exact"/>
        <w:rPr>
          <w:sz w:val="20"/>
          <w:szCs w:val="20"/>
          <w:color w:val="auto"/>
        </w:rPr>
      </w:pPr>
    </w:p>
    <w:p>
      <w:pPr>
        <w:ind w:firstLine="393"/>
        <w:spacing w:after="0" w:line="275" w:lineRule="auto"/>
        <w:rPr>
          <w:sz w:val="20"/>
          <w:szCs w:val="20"/>
          <w:color w:val="auto"/>
        </w:rPr>
      </w:pPr>
      <w:r>
        <w:rPr>
          <w:rFonts w:ascii="Arial" w:cs="Arial" w:eastAsia="Arial" w:hAnsi="Arial"/>
          <w:sz w:val="19"/>
          <w:szCs w:val="19"/>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57" w:lineRule="exact"/>
        <w:rPr>
          <w:sz w:val="20"/>
          <w:szCs w:val="20"/>
          <w:color w:val="auto"/>
        </w:rPr>
      </w:pPr>
    </w:p>
    <w:p>
      <w:pPr>
        <w:ind w:right="180" w:firstLine="387"/>
        <w:spacing w:after="0" w:line="246" w:lineRule="auto"/>
        <w:rPr>
          <w:sz w:val="20"/>
          <w:szCs w:val="20"/>
          <w:color w:val="auto"/>
        </w:rPr>
      </w:pPr>
      <w:r>
        <w:rPr>
          <w:rFonts w:ascii="Arial" w:cs="Arial" w:eastAsia="Arial" w:hAnsi="Arial"/>
          <w:sz w:val="21"/>
          <w:szCs w:val="21"/>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74" w:lineRule="exact"/>
        <w:rPr>
          <w:sz w:val="20"/>
          <w:szCs w:val="20"/>
          <w:color w:val="auto"/>
        </w:rPr>
      </w:pPr>
    </w:p>
    <w:p>
      <w:pPr>
        <w:ind w:left="420" w:hanging="419"/>
        <w:spacing w:after="0"/>
        <w:tabs>
          <w:tab w:leader="none" w:pos="420" w:val="left"/>
        </w:tabs>
        <w:numPr>
          <w:ilvl w:val="0"/>
          <w:numId w:val="201"/>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right="200" w:firstLine="389"/>
        <w:spacing w:after="0" w:line="238" w:lineRule="auto"/>
        <w:rPr>
          <w:sz w:val="20"/>
          <w:szCs w:val="20"/>
          <w:color w:val="auto"/>
        </w:rPr>
      </w:pPr>
      <w:r>
        <w:rPr>
          <w:rFonts w:ascii="Arial" w:cs="Arial" w:eastAsia="Arial" w:hAnsi="Arial"/>
          <w:sz w:val="22"/>
          <w:szCs w:val="22"/>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200" w:lineRule="exact"/>
        <w:rPr>
          <w:sz w:val="20"/>
          <w:szCs w:val="20"/>
          <w:color w:val="auto"/>
        </w:rPr>
      </w:pPr>
    </w:p>
    <w:p>
      <w:pPr>
        <w:spacing w:after="0" w:line="21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62865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880" w:top="645" w:right="639" w:bottom="1440" w:gutter="0" w:footer="0" w:header="0"/>
        </w:sectPr>
      </w:pPr>
    </w:p>
    <w:bookmarkStart w:id="174" w:name="page175"/>
    <w:bookmarkEnd w:id="174"/>
    <w:p>
      <w:pPr>
        <w:ind w:left="420" w:hanging="419"/>
        <w:spacing w:after="0"/>
        <w:tabs>
          <w:tab w:leader="none" w:pos="420" w:val="left"/>
        </w:tabs>
        <w:numPr>
          <w:ilvl w:val="0"/>
          <w:numId w:val="202"/>
        </w:numPr>
        <w:rPr>
          <w:rFonts w:ascii="Arial" w:cs="Arial" w:eastAsia="Arial" w:hAnsi="Arial"/>
          <w:sz w:val="22"/>
          <w:szCs w:val="22"/>
          <w:b w:val="1"/>
          <w:bCs w:val="1"/>
          <w:color w:val="010000"/>
        </w:rPr>
      </w:pPr>
      <w:r>
        <w:rPr>
          <w:rFonts w:ascii="Arial" w:cs="Arial" w:eastAsia="Arial" w:hAnsi="Arial"/>
          <w:sz w:val="22"/>
          <w:szCs w:val="22"/>
          <w:b w:val="1"/>
          <w:bCs w:val="1"/>
          <w:color w:val="auto"/>
        </w:rPr>
        <w:t>Notice</w:t>
      </w:r>
    </w:p>
    <w:p>
      <w:pPr>
        <w:spacing w:after="0" w:line="212" w:lineRule="exact"/>
        <w:rPr>
          <w:sz w:val="20"/>
          <w:szCs w:val="20"/>
          <w:color w:val="auto"/>
        </w:rPr>
      </w:pPr>
    </w:p>
    <w:p>
      <w:pPr>
        <w:ind w:right="520" w:firstLine="374"/>
        <w:spacing w:after="0" w:line="238" w:lineRule="auto"/>
        <w:rPr>
          <w:sz w:val="20"/>
          <w:szCs w:val="20"/>
          <w:color w:val="auto"/>
        </w:rPr>
      </w:pPr>
      <w:r>
        <w:rPr>
          <w:rFonts w:ascii="Arial" w:cs="Arial" w:eastAsia="Arial" w:hAnsi="Arial"/>
          <w:sz w:val="22"/>
          <w:szCs w:val="22"/>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the Company:</w:t>
      </w:r>
    </w:p>
    <w:p>
      <w:pPr>
        <w:ind w:left="1260"/>
        <w:spacing w:after="0" w:line="238" w:lineRule="auto"/>
        <w:rPr>
          <w:sz w:val="20"/>
          <w:szCs w:val="20"/>
          <w:color w:val="auto"/>
        </w:rPr>
      </w:pPr>
      <w:r>
        <w:rPr>
          <w:rFonts w:ascii="Arial" w:cs="Arial" w:eastAsia="Arial" w:hAnsi="Arial"/>
          <w:sz w:val="22"/>
          <w:szCs w:val="22"/>
          <w:color w:val="auto"/>
        </w:rPr>
        <w:t>AVITA Medical Americas, LLC 28159</w:t>
      </w:r>
    </w:p>
    <w:p>
      <w:pPr>
        <w:ind w:left="1260"/>
        <w:spacing w:after="0" w:line="230" w:lineRule="auto"/>
        <w:rPr>
          <w:sz w:val="20"/>
          <w:szCs w:val="20"/>
          <w:color w:val="auto"/>
        </w:rPr>
      </w:pPr>
      <w:r>
        <w:rPr>
          <w:rFonts w:ascii="Arial" w:cs="Arial" w:eastAsia="Arial" w:hAnsi="Arial"/>
          <w:sz w:val="22"/>
          <w:szCs w:val="22"/>
          <w:color w:val="auto"/>
        </w:rPr>
        <w:t>Avenue Stanford</w:t>
      </w:r>
    </w:p>
    <w:p>
      <w:pPr>
        <w:ind w:left="1260"/>
        <w:spacing w:after="0" w:line="231" w:lineRule="auto"/>
        <w:rPr>
          <w:sz w:val="20"/>
          <w:szCs w:val="20"/>
          <w:color w:val="auto"/>
        </w:rPr>
      </w:pPr>
      <w:r>
        <w:rPr>
          <w:rFonts w:ascii="Arial" w:cs="Arial" w:eastAsia="Arial" w:hAnsi="Arial"/>
          <w:sz w:val="22"/>
          <w:szCs w:val="22"/>
          <w:color w:val="auto"/>
        </w:rPr>
        <w:t>Suite 220</w:t>
      </w:r>
    </w:p>
    <w:p>
      <w:pPr>
        <w:ind w:left="1260"/>
        <w:spacing w:after="0"/>
        <w:rPr>
          <w:sz w:val="20"/>
          <w:szCs w:val="20"/>
          <w:color w:val="auto"/>
        </w:rPr>
      </w:pPr>
      <w:r>
        <w:rPr>
          <w:rFonts w:ascii="Arial" w:cs="Arial" w:eastAsia="Arial" w:hAnsi="Arial"/>
          <w:sz w:val="22"/>
          <w:szCs w:val="22"/>
          <w:color w:val="auto"/>
        </w:rPr>
        <w:t>Valencia, CA 91355</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Executive:</w:t>
      </w:r>
    </w:p>
    <w:p>
      <w:pPr>
        <w:ind w:left="1260"/>
        <w:spacing w:after="0" w:line="238" w:lineRule="auto"/>
        <w:rPr>
          <w:sz w:val="20"/>
          <w:szCs w:val="20"/>
          <w:color w:val="auto"/>
        </w:rPr>
      </w:pPr>
      <w:r>
        <w:rPr>
          <w:rFonts w:ascii="Arial" w:cs="Arial" w:eastAsia="Arial" w:hAnsi="Arial"/>
          <w:sz w:val="22"/>
          <w:szCs w:val="22"/>
          <w:color w:val="auto"/>
        </w:rPr>
        <w:t>Kathy McGee</w:t>
      </w:r>
    </w:p>
    <w:p>
      <w:pPr>
        <w:ind w:left="1260"/>
        <w:spacing w:after="0"/>
        <w:rPr>
          <w:sz w:val="20"/>
          <w:szCs w:val="20"/>
          <w:color w:val="auto"/>
        </w:rPr>
      </w:pPr>
      <w:r>
        <w:rPr>
          <w:rFonts w:ascii="Arial" w:cs="Arial" w:eastAsia="Arial" w:hAnsi="Arial"/>
          <w:sz w:val="22"/>
          <w:szCs w:val="22"/>
          <w:color w:val="auto"/>
        </w:rPr>
        <w:t>At current home address on file with the Company</w:t>
      </w:r>
    </w:p>
    <w:p>
      <w:pPr>
        <w:spacing w:after="0" w:line="182" w:lineRule="exact"/>
        <w:rPr>
          <w:sz w:val="20"/>
          <w:szCs w:val="20"/>
          <w:color w:val="auto"/>
        </w:rPr>
      </w:pPr>
    </w:p>
    <w:p>
      <w:pPr>
        <w:ind w:left="420" w:hanging="419"/>
        <w:spacing w:after="0"/>
        <w:tabs>
          <w:tab w:leader="none" w:pos="420" w:val="left"/>
        </w:tabs>
        <w:numPr>
          <w:ilvl w:val="0"/>
          <w:numId w:val="203"/>
        </w:numPr>
        <w:rPr>
          <w:rFonts w:ascii="Arial" w:cs="Arial" w:eastAsia="Arial" w:hAnsi="Arial"/>
          <w:sz w:val="22"/>
          <w:szCs w:val="22"/>
          <w:b w:val="1"/>
          <w:bCs w:val="1"/>
          <w:color w:val="010000"/>
        </w:rPr>
      </w:pPr>
      <w:r>
        <w:rPr>
          <w:rFonts w:ascii="Arial" w:cs="Arial" w:eastAsia="Arial" w:hAnsi="Arial"/>
          <w:sz w:val="22"/>
          <w:szCs w:val="22"/>
          <w:b w:val="1"/>
          <w:bCs w:val="1"/>
          <w:color w:val="auto"/>
        </w:rPr>
        <w:t>Miscellaneous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jc w:val="right"/>
              <w:ind w:right="1952"/>
              <w:spacing w:after="0"/>
              <w:rPr>
                <w:sz w:val="20"/>
                <w:szCs w:val="20"/>
                <w:color w:val="auto"/>
              </w:rPr>
            </w:pPr>
            <w:r>
              <w:rPr>
                <w:rFonts w:ascii="Arial" w:cs="Arial" w:eastAsia="Arial" w:hAnsi="Arial"/>
                <w:sz w:val="22"/>
                <w:szCs w:val="22"/>
                <w:color w:val="010000"/>
              </w:rPr>
              <w:t>10.1</w:t>
            </w:r>
          </w:p>
        </w:tc>
        <w:tc>
          <w:tcPr>
            <w:tcW w:w="6800" w:type="dxa"/>
            <w:vAlign w:val="bottom"/>
            <w:gridSpan w:val="3"/>
          </w:tcPr>
          <w:p>
            <w:pPr>
              <w:spacing w:after="0"/>
              <w:rPr>
                <w:sz w:val="20"/>
                <w:szCs w:val="20"/>
                <w:color w:val="auto"/>
              </w:rPr>
            </w:pPr>
            <w:r>
              <w:rPr>
                <w:rFonts w:ascii="Arial" w:cs="Arial" w:eastAsia="Arial" w:hAnsi="Arial"/>
                <w:sz w:val="22"/>
                <w:szCs w:val="22"/>
                <w:color w:val="auto"/>
                <w:w w:val="91"/>
              </w:rPr>
              <w:t>Binding Agreement. This Agreement shall inure to the benefit of and shall be</w:t>
            </w:r>
          </w:p>
        </w:tc>
      </w:tr>
      <w:tr>
        <w:trPr>
          <w:trHeight w:val="20"/>
        </w:trPr>
        <w:tc>
          <w:tcPr>
            <w:tcW w:w="3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74"/>
        </w:trPr>
        <w:tc>
          <w:tcPr>
            <w:tcW w:w="10020" w:type="dxa"/>
            <w:vAlign w:val="bottom"/>
            <w:gridSpan w:val="4"/>
          </w:tcPr>
          <w:p>
            <w:pPr>
              <w:spacing w:after="0"/>
              <w:rPr>
                <w:sz w:val="20"/>
                <w:szCs w:val="20"/>
                <w:color w:val="auto"/>
              </w:rPr>
            </w:pPr>
            <w:r>
              <w:rPr>
                <w:rFonts w:ascii="Arial" w:cs="Arial" w:eastAsia="Arial" w:hAnsi="Arial"/>
                <w:sz w:val="22"/>
                <w:szCs w:val="22"/>
                <w:color w:val="auto"/>
              </w:rPr>
              <w:t>binding upon the Company, its successors and assigns.</w:t>
            </w:r>
          </w:p>
        </w:tc>
      </w:tr>
      <w:tr>
        <w:trPr>
          <w:trHeight w:val="408"/>
        </w:trPr>
        <w:tc>
          <w:tcPr>
            <w:tcW w:w="3220" w:type="dxa"/>
            <w:vAlign w:val="bottom"/>
          </w:tcPr>
          <w:p>
            <w:pPr>
              <w:jc w:val="right"/>
              <w:ind w:right="1952"/>
              <w:spacing w:after="0"/>
              <w:rPr>
                <w:sz w:val="20"/>
                <w:szCs w:val="20"/>
                <w:color w:val="auto"/>
              </w:rPr>
            </w:pPr>
            <w:r>
              <w:rPr>
                <w:rFonts w:ascii="Arial" w:cs="Arial" w:eastAsia="Arial" w:hAnsi="Arial"/>
                <w:sz w:val="22"/>
                <w:szCs w:val="22"/>
                <w:color w:val="010000"/>
              </w:rPr>
              <w:t>10.2</w:t>
            </w:r>
          </w:p>
        </w:tc>
        <w:tc>
          <w:tcPr>
            <w:tcW w:w="6800" w:type="dxa"/>
            <w:vAlign w:val="bottom"/>
            <w:gridSpan w:val="3"/>
          </w:tcPr>
          <w:p>
            <w:pPr>
              <w:spacing w:after="0"/>
              <w:rPr>
                <w:sz w:val="20"/>
                <w:szCs w:val="20"/>
                <w:color w:val="auto"/>
              </w:rPr>
            </w:pPr>
            <w:r>
              <w:rPr>
                <w:rFonts w:ascii="Arial" w:cs="Arial" w:eastAsia="Arial" w:hAnsi="Arial"/>
                <w:sz w:val="22"/>
                <w:szCs w:val="22"/>
                <w:color w:val="auto"/>
                <w:w w:val="88"/>
              </w:rPr>
              <w:t>Entire Agreement. This Agreement contains the entire agreement of the parties</w:t>
            </w:r>
          </w:p>
        </w:tc>
      </w:tr>
      <w:tr>
        <w:trPr>
          <w:trHeight w:val="20"/>
        </w:trPr>
        <w:tc>
          <w:tcPr>
            <w:tcW w:w="32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6"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91" w:lineRule="exact"/>
        <w:rPr>
          <w:sz w:val="20"/>
          <w:szCs w:val="20"/>
          <w:color w:val="auto"/>
        </w:rPr>
      </w:pPr>
    </w:p>
    <w:p>
      <w:pPr>
        <w:ind w:firstLine="786"/>
        <w:spacing w:after="0" w:line="273" w:lineRule="auto"/>
        <w:rPr>
          <w:sz w:val="20"/>
          <w:szCs w:val="20"/>
          <w:color w:val="auto"/>
        </w:rPr>
      </w:pPr>
      <w:r>
        <w:rPr>
          <w:rFonts w:ascii="Arial" w:cs="Arial" w:eastAsia="Arial" w:hAnsi="Arial"/>
          <w:sz w:val="19"/>
          <w:szCs w:val="19"/>
          <w:color w:val="010000"/>
        </w:rPr>
        <w:t xml:space="preserve">10.3 </w:t>
      </w:r>
      <w:r>
        <w:rPr>
          <w:rFonts w:ascii="Arial" w:cs="Arial" w:eastAsia="Arial" w:hAnsi="Arial"/>
          <w:sz w:val="19"/>
          <w:szCs w:val="19"/>
          <w:u w:val="single" w:color="auto"/>
          <w:color w:val="000000"/>
        </w:rPr>
        <w:t>Representations and Warranties</w:t>
      </w:r>
      <w:r>
        <w:rPr>
          <w:rFonts w:ascii="Arial" w:cs="Arial" w:eastAsia="Arial" w:hAnsi="Arial"/>
          <w:sz w:val="19"/>
          <w:szCs w:val="19"/>
          <w:color w:val="000000"/>
        </w:rPr>
        <w:t>. Executive and the Company hereby represent and</w:t>
      </w:r>
      <w:r>
        <w:rPr>
          <w:rFonts w:ascii="Arial" w:cs="Arial" w:eastAsia="Arial" w:hAnsi="Arial"/>
          <w:sz w:val="19"/>
          <w:szCs w:val="19"/>
          <w:color w:val="010000"/>
        </w:rPr>
        <w:t xml:space="preserve"> </w:t>
      </w:r>
      <w:r>
        <w:rPr>
          <w:rFonts w:ascii="Arial" w:cs="Arial" w:eastAsia="Arial" w:hAnsi="Arial"/>
          <w:sz w:val="19"/>
          <w:szCs w:val="19"/>
          <w:color w:val="000000"/>
        </w:rPr>
        <w:t>warrant to the other that: (a) she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she or it is a party or she or it is otherwise bound; (c) this Agreement is a valid and binding obligation in accordance with its terms for both parties;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62865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00"/>
          </w:cols>
          <w:pgMar w:left="880" w:top="639" w:right="519" w:bottom="1440" w:gutter="0" w:footer="0" w:header="0"/>
        </w:sectPr>
      </w:pPr>
    </w:p>
    <w:bookmarkStart w:id="175" w:name="page176"/>
    <w:bookmarkEnd w:id="175"/>
    <w:p>
      <w:pPr>
        <w:ind w:firstLine="391"/>
        <w:spacing w:after="0" w:line="236" w:lineRule="auto"/>
        <w:rPr>
          <w:sz w:val="20"/>
          <w:szCs w:val="20"/>
          <w:color w:val="auto"/>
        </w:rPr>
      </w:pPr>
      <w:r>
        <w:rPr>
          <w:rFonts w:ascii="Arial" w:cs="Arial" w:eastAsia="Arial" w:hAnsi="Arial"/>
          <w:sz w:val="22"/>
          <w:szCs w:val="22"/>
          <w:color w:val="010000"/>
        </w:rPr>
        <w:t xml:space="preserve">10.4 </w:t>
      </w:r>
      <w:r>
        <w:rPr>
          <w:rFonts w:ascii="Arial" w:cs="Arial" w:eastAsia="Arial" w:hAnsi="Arial"/>
          <w:sz w:val="22"/>
          <w:szCs w:val="22"/>
          <w:u w:val="single" w:color="auto"/>
          <w:color w:val="000000"/>
        </w:rPr>
        <w:t>Attorney’s Fees</w:t>
      </w:r>
      <w:r>
        <w:rPr>
          <w:rFonts w:ascii="Arial" w:cs="Arial" w:eastAsia="Arial" w:hAnsi="Arial"/>
          <w:sz w:val="22"/>
          <w:szCs w:val="22"/>
          <w:color w:val="000000"/>
        </w:rPr>
        <w:t>. In the event that any party shall bring an action or proceeding in connection</w:t>
      </w:r>
      <w:r>
        <w:rPr>
          <w:rFonts w:ascii="Arial" w:cs="Arial" w:eastAsia="Arial" w:hAnsi="Arial"/>
          <w:sz w:val="22"/>
          <w:szCs w:val="22"/>
          <w:color w:val="010000"/>
        </w:rPr>
        <w:t xml:space="preserve"> </w:t>
      </w:r>
      <w:r>
        <w:rPr>
          <w:rFonts w:ascii="Arial" w:cs="Arial" w:eastAsia="Arial" w:hAnsi="Arial"/>
          <w:sz w:val="22"/>
          <w:szCs w:val="22"/>
          <w:color w:val="000000"/>
        </w:rPr>
        <w:t>with the performance, breach or interpretation of this Agreement, then the prevailing 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spacing w:after="0" w:line="187" w:lineRule="exact"/>
        <w:rPr>
          <w:sz w:val="20"/>
          <w:szCs w:val="20"/>
          <w:color w:val="auto"/>
        </w:rPr>
      </w:pPr>
    </w:p>
    <w:p>
      <w:pPr>
        <w:ind w:right="280" w:firstLine="758"/>
        <w:spacing w:after="0"/>
        <w:rPr>
          <w:sz w:val="20"/>
          <w:szCs w:val="20"/>
          <w:color w:val="auto"/>
        </w:rPr>
      </w:pPr>
      <w:r>
        <w:rPr>
          <w:rFonts w:ascii="Arial" w:cs="Arial" w:eastAsia="Arial" w:hAnsi="Arial"/>
          <w:sz w:val="22"/>
          <w:szCs w:val="22"/>
          <w:color w:val="010000"/>
        </w:rPr>
        <w:t xml:space="preserve">10.5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on separate copies, any one of</w:t>
      </w:r>
      <w:r>
        <w:rPr>
          <w:rFonts w:ascii="Arial" w:cs="Arial" w:eastAsia="Arial" w:hAnsi="Arial"/>
          <w:sz w:val="22"/>
          <w:szCs w:val="22"/>
          <w:color w:val="010000"/>
        </w:rPr>
        <w:t xml:space="preserve"> </w:t>
      </w:r>
      <w:r>
        <w:rPr>
          <w:rFonts w:ascii="Arial" w:cs="Arial" w:eastAsia="Arial" w:hAnsi="Arial"/>
          <w:sz w:val="22"/>
          <w:szCs w:val="22"/>
          <w:color w:val="000000"/>
        </w:rPr>
        <w:t>which need not contain signatures of more than one party but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3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62865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880" w:top="645" w:right="65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543560</wp:posOffset>
            </wp:positionV>
            <wp:extent cx="5031740" cy="4594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5031740"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9019"/>
          </w:cols>
          <w:pgMar w:left="1440" w:top="1440"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10.16</w:t>
      </w:r>
    </w:p>
    <w:p>
      <w:pPr>
        <w:spacing w:after="0" w:line="286"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EXECUTIVE EMPLOYMENT AGREEMENT</w:t>
      </w:r>
    </w:p>
    <w:p>
      <w:pPr>
        <w:spacing w:after="0" w:line="345" w:lineRule="exact"/>
        <w:rPr>
          <w:sz w:val="20"/>
          <w:szCs w:val="20"/>
          <w:color w:val="auto"/>
        </w:rPr>
      </w:pPr>
    </w:p>
    <w:p>
      <w:pPr>
        <w:ind w:left="80" w:right="500" w:firstLine="793"/>
        <w:spacing w:after="0" w:line="252" w:lineRule="auto"/>
        <w:rPr>
          <w:sz w:val="20"/>
          <w:szCs w:val="20"/>
          <w:color w:val="auto"/>
        </w:rPr>
      </w:pPr>
      <w:r>
        <w:rPr>
          <w:rFonts w:ascii="Arial" w:cs="Arial" w:eastAsia="Arial" w:hAnsi="Arial"/>
          <w:sz w:val="21"/>
          <w:szCs w:val="21"/>
          <w:color w:val="auto"/>
        </w:rPr>
        <w:t>This EXECUTIVE EMPLOYMENT AGREEMENT ("Agreement") is made and enteredinto by and between Avita Medical Ltd., an Australian corporation (the "Company"), and Erin Liberto, an individual (the "Executive") with reference to the following:</w:t>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RECITALS</w:t>
      </w:r>
    </w:p>
    <w:p>
      <w:pPr>
        <w:spacing w:after="0" w:line="318" w:lineRule="exact"/>
        <w:rPr>
          <w:sz w:val="20"/>
          <w:szCs w:val="20"/>
          <w:color w:val="auto"/>
        </w:rPr>
      </w:pPr>
    </w:p>
    <w:p>
      <w:pPr>
        <w:ind w:left="80" w:right="740" w:firstLine="794"/>
        <w:spacing w:after="0" w:line="264" w:lineRule="auto"/>
        <w:rPr>
          <w:sz w:val="20"/>
          <w:szCs w:val="20"/>
          <w:color w:val="auto"/>
        </w:rPr>
      </w:pPr>
      <w:r>
        <w:rPr>
          <w:rFonts w:ascii="Arial" w:cs="Arial" w:eastAsia="Arial" w:hAnsi="Arial"/>
          <w:sz w:val="21"/>
          <w:szCs w:val="21"/>
          <w:color w:val="auto"/>
        </w:rPr>
        <w:t>WHEREAS, the Board of Directors of the Company (the "Board") desires to employExecutive to serve as the Chief Commercial Officer of the Company;</w:t>
      </w:r>
    </w:p>
    <w:p>
      <w:pPr>
        <w:spacing w:after="0" w:line="198" w:lineRule="exact"/>
        <w:rPr>
          <w:sz w:val="20"/>
          <w:szCs w:val="20"/>
          <w:color w:val="auto"/>
        </w:rPr>
      </w:pPr>
    </w:p>
    <w:p>
      <w:pPr>
        <w:ind w:left="60" w:right="900" w:firstLine="815"/>
        <w:spacing w:after="0" w:line="264" w:lineRule="auto"/>
        <w:rPr>
          <w:sz w:val="20"/>
          <w:szCs w:val="20"/>
          <w:color w:val="auto"/>
        </w:rPr>
      </w:pPr>
      <w:r>
        <w:rPr>
          <w:rFonts w:ascii="Arial" w:cs="Arial" w:eastAsia="Arial" w:hAnsi="Arial"/>
          <w:sz w:val="21"/>
          <w:szCs w:val="21"/>
          <w:color w:val="auto"/>
        </w:rPr>
        <w:t>WHEREAS, the Executive is willing to serve in the role of Chief Commercial Officer ofthe Company and provide services to the Company and its subsidiaries under the terms and conditions stated herein,</w:t>
      </w:r>
    </w:p>
    <w:p>
      <w:pPr>
        <w:spacing w:after="0" w:line="225" w:lineRule="exact"/>
        <w:rPr>
          <w:sz w:val="20"/>
          <w:szCs w:val="20"/>
          <w:color w:val="auto"/>
        </w:rPr>
      </w:pPr>
    </w:p>
    <w:p>
      <w:pPr>
        <w:ind w:left="60" w:right="560" w:firstLine="778"/>
        <w:spacing w:after="0" w:line="289" w:lineRule="auto"/>
        <w:rPr>
          <w:sz w:val="20"/>
          <w:szCs w:val="20"/>
          <w:color w:val="auto"/>
        </w:rPr>
      </w:pPr>
      <w:r>
        <w:rPr>
          <w:rFonts w:ascii="Arial" w:cs="Arial" w:eastAsia="Arial" w:hAnsi="Arial"/>
          <w:sz w:val="20"/>
          <w:szCs w:val="20"/>
          <w:color w:val="auto"/>
        </w:rPr>
        <w:t>WHEREAS, the Executive would serve as Chief Commercial Officer of the Company,but her direct employer shall be Avita Medical Americas, LLC ("Avita America"), effective as of August 28, 2017 (the Effective Date");</w:t>
      </w:r>
    </w:p>
    <w:p>
      <w:pPr>
        <w:spacing w:after="0" w:line="175" w:lineRule="exact"/>
        <w:rPr>
          <w:sz w:val="20"/>
          <w:szCs w:val="20"/>
          <w:color w:val="auto"/>
        </w:rPr>
      </w:pPr>
    </w:p>
    <w:p>
      <w:pPr>
        <w:ind w:left="40" w:right="500" w:firstLine="778"/>
        <w:spacing w:after="0" w:line="264" w:lineRule="auto"/>
        <w:rPr>
          <w:sz w:val="20"/>
          <w:szCs w:val="20"/>
          <w:color w:val="auto"/>
        </w:rPr>
      </w:pPr>
      <w:r>
        <w:rPr>
          <w:rFonts w:ascii="Arial" w:cs="Arial" w:eastAsia="Arial" w:hAnsi="Arial"/>
          <w:sz w:val="21"/>
          <w:szCs w:val="21"/>
          <w:color w:val="auto"/>
        </w:rPr>
        <w:t>NOW, THEREFORE, in consideration of the mutual covenants and promises contained herein, and intending to be legally bound, it is hereby agreed by and between the parties heretoas follows:</w:t>
      </w:r>
    </w:p>
    <w:p>
      <w:pPr>
        <w:spacing w:after="0" w:line="192" w:lineRule="exact"/>
        <w:rPr>
          <w:sz w:val="20"/>
          <w:szCs w:val="20"/>
          <w:color w:val="auto"/>
        </w:rPr>
      </w:pPr>
    </w:p>
    <w:p>
      <w:pPr>
        <w:ind w:left="840" w:hanging="803"/>
        <w:spacing w:after="0"/>
        <w:tabs>
          <w:tab w:leader="none" w:pos="840" w:val="left"/>
        </w:tabs>
        <w:numPr>
          <w:ilvl w:val="0"/>
          <w:numId w:val="204"/>
        </w:numPr>
        <w:rPr>
          <w:rFonts w:ascii="Arial" w:cs="Arial" w:eastAsia="Arial" w:hAnsi="Arial"/>
          <w:sz w:val="20"/>
          <w:szCs w:val="20"/>
          <w:b w:val="1"/>
          <w:bCs w:val="1"/>
          <w:color w:val="auto"/>
        </w:rPr>
      </w:pPr>
      <w:r>
        <w:rPr>
          <w:rFonts w:ascii="Arial" w:cs="Arial" w:eastAsia="Arial" w:hAnsi="Arial"/>
          <w:sz w:val="21"/>
          <w:szCs w:val="21"/>
          <w:b w:val="1"/>
          <w:bCs w:val="1"/>
          <w:color w:val="auto"/>
        </w:rPr>
        <w:t>Employment and Duties</w:t>
      </w:r>
    </w:p>
    <w:p>
      <w:pPr>
        <w:spacing w:after="0" w:line="251" w:lineRule="exact"/>
        <w:rPr>
          <w:sz w:val="20"/>
          <w:szCs w:val="20"/>
          <w:color w:val="auto"/>
        </w:rPr>
      </w:pPr>
    </w:p>
    <w:p>
      <w:pPr>
        <w:jc w:val="both"/>
        <w:ind w:left="20" w:right="620" w:firstLine="782"/>
        <w:spacing w:after="0" w:line="271"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Employment.</w:t>
      </w:r>
      <w:r>
        <w:rPr>
          <w:rFonts w:ascii="Arial" w:cs="Arial" w:eastAsia="Arial" w:hAnsi="Arial"/>
          <w:sz w:val="20"/>
          <w:szCs w:val="20"/>
          <w:color w:val="auto"/>
        </w:rPr>
        <w:t xml:space="preserve"> The Company hereby employs the Executive as the Chief Commercial Officer ("CCO") of the Company and the Executive hereby accepts such employment as of the Effective Date pursuant to the terms and conditions set forth herein. The Executive shall report directly to the Chief Executive Officer ("CEO").</w:t>
      </w:r>
    </w:p>
    <w:p>
      <w:pPr>
        <w:spacing w:after="0" w:line="179" w:lineRule="exact"/>
        <w:rPr>
          <w:sz w:val="20"/>
          <w:szCs w:val="20"/>
          <w:color w:val="auto"/>
        </w:rPr>
      </w:pPr>
    </w:p>
    <w:p>
      <w:pPr>
        <w:ind w:left="20" w:right="480" w:firstLine="793"/>
        <w:spacing w:after="0" w:line="262"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Duties.</w:t>
      </w:r>
      <w:r>
        <w:rPr>
          <w:rFonts w:ascii="Arial" w:cs="Arial" w:eastAsia="Arial" w:hAnsi="Arial"/>
          <w:sz w:val="20"/>
          <w:szCs w:val="20"/>
          <w:color w:val="auto"/>
        </w:rPr>
        <w:t xml:space="preserve"> The Executive shall perform, to the best of her ability and in a manner satisfactory to the CEO, all such duties that are consistent with her title and position, and such other duties as may reasonably be assigned to her by the CEO. The Executive's duties will be conducted principally from the Company's North America office, currently located in Valencia, California, or at such other location as determined by the CEO (but subject to the terms of this Agreement), with travel to such other locations from time to time as reasonably required.</w:t>
      </w:r>
    </w:p>
    <w:p>
      <w:pPr>
        <w:spacing w:after="0" w:line="176" w:lineRule="exact"/>
        <w:rPr>
          <w:sz w:val="20"/>
          <w:szCs w:val="20"/>
          <w:color w:val="auto"/>
        </w:rPr>
      </w:pPr>
    </w:p>
    <w:p>
      <w:pPr>
        <w:ind w:right="300" w:firstLine="819"/>
        <w:spacing w:after="0" w:line="259"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Time and Efforts.</w:t>
      </w:r>
      <w:r>
        <w:rPr>
          <w:rFonts w:ascii="Arial" w:cs="Arial" w:eastAsia="Arial" w:hAnsi="Arial"/>
          <w:sz w:val="20"/>
          <w:szCs w:val="20"/>
          <w:color w:val="auto"/>
        </w:rPr>
        <w:t xml:space="preserve"> The Executive shall devote her full business time and provide her best efforts, attention, and energies to the business of the Company and its subsidiaries and to the performance of Executive's duties hereunder, and Executive shall not engage in any other business, profession or occupation for compensation or otherwise during the employment period without the prior written consent of the Board;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herein shall preclude Executive from serving in any capacity with any civic, educational, or charitable organization,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each case, and in the aggregate, such services do not materially conflict or interfere with Executive's obligations to the Company or its subsidiaries hereunder and such service is disclosed in advance by Executive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478790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480" w:top="118" w:right="339" w:bottom="1440" w:gutter="0" w:footer="0" w:header="0"/>
        </w:sectPr>
      </w:pPr>
    </w:p>
    <w:bookmarkStart w:id="178" w:name="page179"/>
    <w:bookmarkEnd w:id="178"/>
    <w:p>
      <w:pPr>
        <w:ind w:left="140" w:right="120" w:firstLine="800"/>
        <w:spacing w:after="0" w:line="289" w:lineRule="auto"/>
        <w:rPr>
          <w:sz w:val="20"/>
          <w:szCs w:val="20"/>
          <w:color w:val="auto"/>
        </w:rPr>
      </w:pPr>
      <w:r>
        <w:rPr>
          <w:rFonts w:ascii="Arial" w:cs="Arial" w:eastAsia="Arial" w:hAnsi="Arial"/>
          <w:sz w:val="20"/>
          <w:szCs w:val="20"/>
          <w:color w:val="auto"/>
        </w:rPr>
        <w:t>Executive further acknowledges that she owes the Company both a fiduciary duty and aduty of loyalty while employed during the employment period to act at all times in the best interests of the Company and its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2.Compensation</w:t>
      </w:r>
    </w:p>
    <w:p>
      <w:pPr>
        <w:spacing w:after="0" w:line="247" w:lineRule="exact"/>
        <w:rPr>
          <w:sz w:val="20"/>
          <w:szCs w:val="20"/>
          <w:color w:val="auto"/>
        </w:rPr>
      </w:pPr>
    </w:p>
    <w:p>
      <w:pPr>
        <w:ind w:left="940"/>
        <w:spacing w:after="0"/>
        <w:rPr>
          <w:sz w:val="20"/>
          <w:szCs w:val="20"/>
          <w:color w:val="auto"/>
        </w:rPr>
      </w:pPr>
      <w:r>
        <w:rPr>
          <w:rFonts w:ascii="Arial" w:cs="Arial" w:eastAsia="Arial" w:hAnsi="Arial"/>
          <w:sz w:val="19"/>
          <w:szCs w:val="19"/>
          <w:color w:val="auto"/>
        </w:rPr>
        <w:t>As the total consideration for the Executive's services rendered hereunder, Executiveshall be entitled to the following:</w:t>
      </w:r>
    </w:p>
    <w:p>
      <w:pPr>
        <w:spacing w:after="0" w:line="268" w:lineRule="exact"/>
        <w:rPr>
          <w:sz w:val="20"/>
          <w:szCs w:val="20"/>
          <w:color w:val="auto"/>
        </w:rPr>
      </w:pPr>
    </w:p>
    <w:p>
      <w:pPr>
        <w:ind w:left="140" w:right="160" w:firstLine="789"/>
        <w:spacing w:after="0" w:line="247"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Base Salary</w:t>
      </w:r>
      <w:r>
        <w:rPr>
          <w:rFonts w:ascii="Arial" w:cs="Arial" w:eastAsia="Arial" w:hAnsi="Arial"/>
          <w:sz w:val="21"/>
          <w:szCs w:val="21"/>
          <w:color w:val="auto"/>
        </w:rPr>
        <w:t>. The Executive shall be paid an annual base salary of Two HundredEighty-Five Thousand Dollars ($285,000.00) per year ("Base Salary"), subject to applicable taxdeductions and withholdings, beginning on the Effective Date of the Agreement and payable in regular installments in accordance with the customary payroll practices of Avita America. The Executive's salary will be subject to annual review by the Board and may be increased in the sole discretion of the Board.</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21"/>
          <w:szCs w:val="21"/>
          <w:color w:val="auto"/>
        </w:rPr>
        <w:t>2.2</w:t>
      </w:r>
      <w:r>
        <w:rPr>
          <w:rFonts w:ascii="Arial" w:cs="Arial" w:eastAsia="Arial" w:hAnsi="Arial"/>
          <w:sz w:val="21"/>
          <w:szCs w:val="21"/>
          <w:u w:val="single" w:color="auto"/>
          <w:color w:val="auto"/>
        </w:rPr>
        <w:t>Bonus.</w:t>
      </w:r>
    </w:p>
    <w:p>
      <w:pPr>
        <w:spacing w:after="0" w:line="209" w:lineRule="exact"/>
        <w:rPr>
          <w:sz w:val="20"/>
          <w:szCs w:val="20"/>
          <w:color w:val="auto"/>
        </w:rPr>
      </w:pPr>
    </w:p>
    <w:p>
      <w:pPr>
        <w:jc w:val="both"/>
        <w:ind w:left="120" w:firstLine="803"/>
        <w:spacing w:after="0" w:line="289" w:lineRule="auto"/>
        <w:rPr>
          <w:sz w:val="20"/>
          <w:szCs w:val="20"/>
          <w:color w:val="auto"/>
        </w:rPr>
      </w:pPr>
      <w:r>
        <w:rPr>
          <w:rFonts w:ascii="Arial" w:cs="Arial" w:eastAsia="Arial" w:hAnsi="Arial"/>
          <w:sz w:val="18"/>
          <w:szCs w:val="18"/>
          <w:u w:val="single" w:color="auto"/>
          <w:color w:val="auto"/>
        </w:rPr>
        <w:t>Annual Performance Bonus.</w:t>
      </w:r>
      <w:r>
        <w:rPr>
          <w:rFonts w:ascii="Arial" w:cs="Arial" w:eastAsia="Arial" w:hAnsi="Arial"/>
          <w:sz w:val="18"/>
          <w:szCs w:val="18"/>
          <w:color w:val="auto"/>
        </w:rPr>
        <w:t xml:space="preserve"> In addition to Base Salary, the Executive shall be eligible to receive an annual performance bonus ("Annual Bonus") based upon the Executive's performance for the preceding year as measured against certain performance targets as mutually established by the parties to this Agreement. The Annual Bonus, if earned, shall be paid 60 daysafter the close of the fiscal year. The amount of the Annual Bonus shall be thirty percent (30%) of Executive's Base Salary ("Target Bonus").</w:t>
      </w:r>
    </w:p>
    <w:p>
      <w:pPr>
        <w:spacing w:after="0" w:line="1" w:lineRule="exact"/>
        <w:rPr>
          <w:sz w:val="20"/>
          <w:szCs w:val="20"/>
          <w:color w:val="auto"/>
        </w:rPr>
      </w:pPr>
    </w:p>
    <w:p>
      <w:pPr>
        <w:ind w:left="120" w:right="20"/>
        <w:spacing w:after="0" w:line="241" w:lineRule="auto"/>
        <w:rPr>
          <w:sz w:val="20"/>
          <w:szCs w:val="20"/>
          <w:color w:val="auto"/>
        </w:rPr>
      </w:pPr>
      <w:r>
        <w:rPr>
          <w:rFonts w:ascii="Arial" w:cs="Arial" w:eastAsia="Arial" w:hAnsi="Arial"/>
          <w:sz w:val="21"/>
          <w:szCs w:val="21"/>
          <w:color w:val="auto"/>
        </w:rPr>
        <w:t>For 2017, Executive will be eligible to receive an Annual Bonus that is equal to 30% of the pro-rata share of the Base Salary (excluding any other bonus or compensation) Executive earned in 2017. At the sole discretion of the Board, Executive may be entitled to an additional amount of up to fifty percent (150%) of the Target Bonus basedupon performance. For the Annual Bonus to be deemed earned, and in order to be eligible and</w:t>
      </w:r>
    </w:p>
    <w:p>
      <w:pPr>
        <w:spacing w:after="0" w:line="2" w:lineRule="exact"/>
        <w:rPr>
          <w:sz w:val="20"/>
          <w:szCs w:val="20"/>
          <w:color w:val="auto"/>
        </w:rPr>
      </w:pPr>
    </w:p>
    <w:p>
      <w:pPr>
        <w:ind w:left="120" w:right="40"/>
        <w:spacing w:after="0" w:line="246" w:lineRule="auto"/>
        <w:rPr>
          <w:sz w:val="20"/>
          <w:szCs w:val="20"/>
          <w:color w:val="auto"/>
        </w:rPr>
      </w:pPr>
      <w:r>
        <w:rPr>
          <w:rFonts w:ascii="Arial" w:cs="Arial" w:eastAsia="Arial" w:hAnsi="Arial"/>
          <w:sz w:val="21"/>
          <w:szCs w:val="21"/>
          <w:color w:val="auto"/>
        </w:rPr>
        <w:t>entitled to receive any Annual Bonus payment, the Executive must be employed by, and not have given notice of resignation to the Company or have been given notice of termination by the Company.</w:t>
      </w:r>
    </w:p>
    <w:p>
      <w:pPr>
        <w:spacing w:after="0" w:line="202" w:lineRule="exact"/>
        <w:rPr>
          <w:sz w:val="20"/>
          <w:szCs w:val="20"/>
          <w:color w:val="auto"/>
        </w:rPr>
      </w:pPr>
    </w:p>
    <w:p>
      <w:pPr>
        <w:ind w:left="100" w:right="140" w:firstLine="800"/>
        <w:spacing w:after="0" w:line="289" w:lineRule="auto"/>
        <w:rPr>
          <w:sz w:val="20"/>
          <w:szCs w:val="20"/>
          <w:color w:val="auto"/>
        </w:rPr>
      </w:pPr>
      <w:r>
        <w:rPr>
          <w:rFonts w:ascii="Arial" w:cs="Arial" w:eastAsia="Arial" w:hAnsi="Arial"/>
          <w:sz w:val="20"/>
          <w:szCs w:val="20"/>
          <w:u w:val="single" w:color="auto"/>
          <w:color w:val="auto"/>
        </w:rPr>
        <w:t>Retention Bonus.</w:t>
      </w:r>
      <w:r>
        <w:rPr>
          <w:rFonts w:ascii="Arial" w:cs="Arial" w:eastAsia="Arial" w:hAnsi="Arial"/>
          <w:sz w:val="20"/>
          <w:szCs w:val="20"/>
          <w:color w:val="auto"/>
        </w:rPr>
        <w:t xml:space="preserve"> In addition to Base Salary and Annual Performance Bonus, the Executive shall be eligible to receive a retention bonus ("Retention Bonus") of $150,000. TheRetention Bonus shall be paid as follows:</w:t>
      </w:r>
    </w:p>
    <w:p>
      <w:pPr>
        <w:spacing w:after="0" w:line="202" w:lineRule="exact"/>
        <w:rPr>
          <w:sz w:val="20"/>
          <w:szCs w:val="20"/>
          <w:color w:val="auto"/>
        </w:rPr>
      </w:pPr>
    </w:p>
    <w:p>
      <w:pPr>
        <w:ind w:left="1320" w:hanging="394"/>
        <w:spacing w:after="0" w:line="275" w:lineRule="auto"/>
        <w:tabs>
          <w:tab w:leader="none" w:pos="1320" w:val="left"/>
        </w:tabs>
        <w:numPr>
          <w:ilvl w:val="0"/>
          <w:numId w:val="205"/>
        </w:numPr>
        <w:rPr>
          <w:rFonts w:ascii="Arial" w:cs="Arial" w:eastAsia="Arial" w:hAnsi="Arial"/>
          <w:sz w:val="19"/>
          <w:szCs w:val="19"/>
          <w:color w:val="313134"/>
        </w:rPr>
      </w:pPr>
      <w:r>
        <w:rPr>
          <w:rFonts w:ascii="Arial" w:cs="Arial" w:eastAsia="Arial" w:hAnsi="Arial"/>
          <w:sz w:val="19"/>
          <w:szCs w:val="19"/>
          <w:color w:val="auto"/>
        </w:rPr>
        <w:t>Full amount of $150,000 shall be paid upon Executive' s completion of 60 days' employment with the Company with the express understanding that it is being paid with the expectation that Executive shall remain employed with the Company for at least one year following the Effective Date. Accordingly, despite its being paid after 60 days' employment, the Retention Bonus is an advance that will not be considered earned by either Executive or the Company until Executive has completed one year ofemployment with the Company. If Executive's employment is terminated either by Executive without Good Reason or the Company for Cause before Executive has completed a year of employment, Executive agrees to return the Retention Bonus to the Company.</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21"/>
          <w:szCs w:val="21"/>
          <w:color w:val="34343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288290</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60" w:top="639" w:right="679" w:bottom="1440" w:gutter="0" w:footer="0" w:header="0"/>
        </w:sectPr>
      </w:pPr>
    </w:p>
    <w:bookmarkStart w:id="179" w:name="page180"/>
    <w:bookmarkEnd w:id="179"/>
    <w:p>
      <w:pPr>
        <w:ind w:left="880"/>
        <w:spacing w:after="0"/>
        <w:tabs>
          <w:tab w:leader="none" w:pos="176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19"/>
          <w:szCs w:val="19"/>
          <w:u w:val="single" w:color="auto"/>
          <w:color w:val="auto"/>
        </w:rPr>
        <w:t xml:space="preserve">Equity. </w:t>
      </w:r>
      <w:r>
        <w:rPr>
          <w:rFonts w:ascii="Arial" w:cs="Arial" w:eastAsia="Arial" w:hAnsi="Arial"/>
          <w:sz w:val="19"/>
          <w:szCs w:val="19"/>
          <w:color w:val="auto"/>
        </w:rPr>
        <w:t>Executive shall be eligible for 4,000,000 options, which will vest asfollows:</w:t>
      </w:r>
    </w:p>
    <w:p>
      <w:pPr>
        <w:spacing w:after="0" w:line="285" w:lineRule="exact"/>
        <w:rPr>
          <w:sz w:val="20"/>
          <w:szCs w:val="20"/>
          <w:color w:val="auto"/>
        </w:rPr>
      </w:pPr>
    </w:p>
    <w:p>
      <w:pPr>
        <w:ind w:left="2180" w:right="1060" w:hanging="808"/>
        <w:spacing w:after="0" w:line="264" w:lineRule="auto"/>
        <w:tabs>
          <w:tab w:leader="none" w:pos="2180" w:val="left"/>
        </w:tabs>
        <w:numPr>
          <w:ilvl w:val="1"/>
          <w:numId w:val="206"/>
        </w:numPr>
        <w:rPr>
          <w:rFonts w:ascii="Arial" w:cs="Arial" w:eastAsia="Arial" w:hAnsi="Arial"/>
          <w:sz w:val="21"/>
          <w:szCs w:val="21"/>
          <w:color w:val="2F3133"/>
        </w:rPr>
      </w:pPr>
      <w:r>
        <w:rPr>
          <w:rFonts w:ascii="Arial" w:cs="Arial" w:eastAsia="Arial" w:hAnsi="Arial"/>
          <w:sz w:val="21"/>
          <w:szCs w:val="21"/>
          <w:color w:val="auto"/>
        </w:rPr>
        <w:t>3,000,000 options will vest based upon Executive's achieving certainestablished metrics as agreed upon between Executive and the CEO;</w:t>
      </w:r>
    </w:p>
    <w:p>
      <w:pPr>
        <w:spacing w:after="0" w:line="197" w:lineRule="exact"/>
        <w:rPr>
          <w:rFonts w:ascii="Arial" w:cs="Arial" w:eastAsia="Arial" w:hAnsi="Arial"/>
          <w:sz w:val="21"/>
          <w:szCs w:val="21"/>
          <w:color w:val="2F3133"/>
        </w:rPr>
      </w:pPr>
    </w:p>
    <w:p>
      <w:pPr>
        <w:ind w:left="2180" w:right="80" w:hanging="821"/>
        <w:spacing w:after="0" w:line="252" w:lineRule="auto"/>
        <w:tabs>
          <w:tab w:leader="none" w:pos="2180" w:val="left"/>
        </w:tabs>
        <w:numPr>
          <w:ilvl w:val="0"/>
          <w:numId w:val="206"/>
        </w:numPr>
        <w:rPr>
          <w:rFonts w:ascii="Arial" w:cs="Arial" w:eastAsia="Arial" w:hAnsi="Arial"/>
          <w:sz w:val="21"/>
          <w:szCs w:val="21"/>
          <w:color w:val="2F3133"/>
        </w:rPr>
      </w:pPr>
      <w:r>
        <w:rPr>
          <w:rFonts w:ascii="Arial" w:cs="Arial" w:eastAsia="Arial" w:hAnsi="Arial"/>
          <w:sz w:val="21"/>
          <w:szCs w:val="21"/>
          <w:color w:val="auto"/>
        </w:rPr>
        <w:t>1,000,000 options will vest based on Executive's continued employment withthe Company at a rate of 250,000 per year for four years, commencing with the first 250,000 option installment, which will vest upon the completion of Executive's first year of service.</w:t>
      </w:r>
    </w:p>
    <w:p>
      <w:pPr>
        <w:spacing w:after="0" w:line="198" w:lineRule="exact"/>
        <w:rPr>
          <w:sz w:val="20"/>
          <w:szCs w:val="20"/>
          <w:color w:val="auto"/>
        </w:rPr>
      </w:pPr>
    </w:p>
    <w:p>
      <w:pPr>
        <w:ind w:left="120" w:right="520" w:firstLine="762"/>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Business Expenses.</w:t>
      </w:r>
      <w:r>
        <w:rPr>
          <w:rFonts w:ascii="Arial" w:cs="Arial" w:eastAsia="Arial" w:hAnsi="Arial"/>
          <w:sz w:val="21"/>
          <w:szCs w:val="21"/>
          <w:color w:val="auto"/>
        </w:rPr>
        <w:t xml:space="preserve"> During employment, the Executive is entitled to reimbursement (through Avita America) for 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213" w:lineRule="exact"/>
        <w:rPr>
          <w:sz w:val="20"/>
          <w:szCs w:val="20"/>
          <w:color w:val="auto"/>
        </w:rPr>
      </w:pPr>
    </w:p>
    <w:p>
      <w:pPr>
        <w:ind w:left="100" w:right="120" w:firstLine="781"/>
        <w:spacing w:after="0" w:line="264"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Fringe Benefits.</w:t>
      </w:r>
      <w:r>
        <w:rPr>
          <w:rFonts w:ascii="Arial" w:cs="Arial" w:eastAsia="Arial" w:hAnsi="Arial"/>
          <w:sz w:val="21"/>
          <w:szCs w:val="21"/>
          <w:color w:val="auto"/>
        </w:rPr>
        <w:t xml:space="preserve"> The Executive shall be entitled to fringe benefits in accordance with the plans, practices, programs and policies as in effect generally with respect to other peer executives of the Company.</w:t>
      </w:r>
    </w:p>
    <w:p>
      <w:pPr>
        <w:spacing w:after="0" w:line="198" w:lineRule="exact"/>
        <w:rPr>
          <w:sz w:val="20"/>
          <w:szCs w:val="20"/>
          <w:color w:val="auto"/>
        </w:rPr>
      </w:pPr>
    </w:p>
    <w:p>
      <w:pPr>
        <w:ind w:left="100" w:right="400" w:firstLine="784"/>
        <w:spacing w:after="0" w:line="271"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Vacation</w:t>
      </w:r>
      <w:r>
        <w:rPr>
          <w:rFonts w:ascii="Arial" w:cs="Arial" w:eastAsia="Arial" w:hAnsi="Arial"/>
          <w:sz w:val="19"/>
          <w:szCs w:val="19"/>
          <w:color w:val="auto"/>
        </w:rPr>
        <w:t>. The Executive shall be entitled each year to a vacation, during which time her compensation shall be paid in full. The time allotted for such vacation shall be four (4)weeks per year. Executive can accrue up to six (6) weeks of vacation time, at which point no additional vacation may accrue beyond the six (6) weeks until a portion thereof is used. Any accrued vacation will roll over into the following calendar year and will not be forfeited. The</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Executive agrees to schedule planned vacation to be taken at a time mutually convenient to theExecutive and the Company.</w:t>
      </w:r>
    </w:p>
    <w:p>
      <w:pPr>
        <w:spacing w:after="0" w:line="250" w:lineRule="exact"/>
        <w:rPr>
          <w:sz w:val="20"/>
          <w:szCs w:val="20"/>
          <w:color w:val="auto"/>
        </w:rPr>
      </w:pPr>
    </w:p>
    <w:p>
      <w:pPr>
        <w:ind w:left="100" w:right="120" w:firstLine="788"/>
        <w:spacing w:after="0" w:line="264"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Health Insurance and Benefits.</w:t>
      </w:r>
      <w:r>
        <w:rPr>
          <w:rFonts w:ascii="Arial" w:cs="Arial" w:eastAsia="Arial" w:hAnsi="Arial"/>
          <w:sz w:val="21"/>
          <w:szCs w:val="21"/>
          <w:color w:val="auto"/>
        </w:rPr>
        <w:t xml:space="preserve"> The Executive shall be eligible to participate in the Company's health, dental and vision plans, as well as the Company's 401k program.</w:t>
      </w:r>
    </w:p>
    <w:p>
      <w:pPr>
        <w:spacing w:after="0" w:line="165" w:lineRule="exact"/>
        <w:rPr>
          <w:sz w:val="20"/>
          <w:szCs w:val="20"/>
          <w:color w:val="auto"/>
        </w:rPr>
      </w:pPr>
    </w:p>
    <w:p>
      <w:pPr>
        <w:ind w:left="920" w:hanging="830"/>
        <w:spacing w:after="0"/>
        <w:tabs>
          <w:tab w:leader="none" w:pos="920" w:val="left"/>
        </w:tabs>
        <w:numPr>
          <w:ilvl w:val="0"/>
          <w:numId w:val="207"/>
        </w:numPr>
        <w:rPr>
          <w:rFonts w:ascii="Arial" w:cs="Arial" w:eastAsia="Arial" w:hAnsi="Arial"/>
          <w:sz w:val="21"/>
          <w:szCs w:val="21"/>
          <w:b w:val="1"/>
          <w:bCs w:val="1"/>
          <w:color w:val="auto"/>
        </w:rPr>
      </w:pPr>
      <w:r>
        <w:rPr>
          <w:rFonts w:ascii="Arial" w:cs="Arial" w:eastAsia="Arial" w:hAnsi="Arial"/>
          <w:sz w:val="21"/>
          <w:szCs w:val="21"/>
          <w:b w:val="1"/>
          <w:bCs w:val="1"/>
          <w:color w:val="auto"/>
        </w:rPr>
        <w:t>Term and Termination of Employment</w:t>
      </w:r>
    </w:p>
    <w:p>
      <w:pPr>
        <w:spacing w:after="0" w:line="237" w:lineRule="exact"/>
        <w:rPr>
          <w:sz w:val="20"/>
          <w:szCs w:val="20"/>
          <w:color w:val="auto"/>
        </w:rPr>
      </w:pPr>
    </w:p>
    <w:p>
      <w:pPr>
        <w:ind w:left="80" w:right="160" w:firstLine="791"/>
        <w:spacing w:after="0" w:line="265"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At-Will Employment.</w:t>
      </w:r>
      <w:r>
        <w:rPr>
          <w:rFonts w:ascii="Arial" w:cs="Arial" w:eastAsia="Arial" w:hAnsi="Arial"/>
          <w:sz w:val="20"/>
          <w:szCs w:val="20"/>
          <w:color w:val="auto"/>
        </w:rPr>
        <w:t xml:space="preserve"> The Company and the Executive hereby agree that the Executive' s employment by the Company shall be "at-will" and for an indefinite period of time.Subject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59"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Definitions.</w:t>
      </w:r>
    </w:p>
    <w:p>
      <w:pPr>
        <w:spacing w:after="0" w:line="239" w:lineRule="exact"/>
        <w:rPr>
          <w:sz w:val="20"/>
          <w:szCs w:val="20"/>
          <w:color w:val="auto"/>
        </w:rPr>
      </w:pPr>
    </w:p>
    <w:p>
      <w:pPr>
        <w:ind w:left="2520" w:hanging="866"/>
        <w:spacing w:after="0"/>
        <w:tabs>
          <w:tab w:leader="none" w:pos="2520" w:val="left"/>
        </w:tabs>
        <w:numPr>
          <w:ilvl w:val="0"/>
          <w:numId w:val="208"/>
        </w:numPr>
        <w:rPr>
          <w:rFonts w:ascii="Arial" w:cs="Arial" w:eastAsia="Arial" w:hAnsi="Arial"/>
          <w:sz w:val="19"/>
          <w:szCs w:val="19"/>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For purposes of this Agreement, "Cause" shall mean the occurrence of one or more of the</w:t>
      </w:r>
    </w:p>
    <w:p>
      <w:pPr>
        <w:spacing w:after="0" w:line="48" w:lineRule="exact"/>
        <w:rPr>
          <w:rFonts w:ascii="Arial" w:cs="Arial" w:eastAsia="Arial" w:hAnsi="Arial"/>
          <w:sz w:val="19"/>
          <w:szCs w:val="19"/>
          <w:color w:val="auto"/>
        </w:rPr>
      </w:pPr>
    </w:p>
    <w:p>
      <w:pPr>
        <w:ind w:left="60"/>
        <w:spacing w:after="0" w:line="243" w:lineRule="auto"/>
        <w:rPr>
          <w:rFonts w:ascii="Arial" w:cs="Arial" w:eastAsia="Arial" w:hAnsi="Arial"/>
          <w:sz w:val="19"/>
          <w:szCs w:val="19"/>
          <w:color w:val="auto"/>
        </w:rPr>
      </w:pPr>
      <w:r>
        <w:rPr>
          <w:rFonts w:ascii="Arial" w:cs="Arial" w:eastAsia="Arial" w:hAnsi="Arial"/>
          <w:sz w:val="21"/>
          <w:szCs w:val="21"/>
          <w:color w:val="auto"/>
        </w:rPr>
        <w:t>following: (i) conviction of, or a plea of guilty or nolo contendere to, a felony or crime involving moral turpitude; (ii) participation in an act of fraud or theft against the Company; (iii) willful and material breach of Section 4.1 of this Agreement; (iv) willful and repeated failure to satisfactorily perform job duties; or (v) any willful act that is likelyto and which does in fact have the effect of injuring the reputation, business, or a business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34343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60"/>
          </w:cols>
          <w:pgMar w:left="400" w:top="653" w:right="739" w:bottom="1440" w:gutter="0" w:footer="0" w:header="0"/>
        </w:sectPr>
      </w:pPr>
    </w:p>
    <w:bookmarkStart w:id="180" w:name="page181"/>
    <w:bookmarkEnd w:id="180"/>
    <w:p>
      <w:pPr>
        <w:ind w:left="140" w:right="660"/>
        <w:spacing w:after="0" w:line="247" w:lineRule="auto"/>
        <w:rPr>
          <w:sz w:val="20"/>
          <w:szCs w:val="20"/>
          <w:color w:val="auto"/>
        </w:rPr>
      </w:pPr>
      <w:r>
        <w:rPr>
          <w:rFonts w:ascii="Arial" w:cs="Arial" w:eastAsia="Arial" w:hAnsi="Arial"/>
          <w:sz w:val="20"/>
          <w:szCs w:val="20"/>
          <w:color w:val="auto"/>
        </w:rPr>
        <w:t>relationship of the Company, provided however, that the conduct described in the foregoing subsections (ii) through (v) will only constitute Cause if such conduct is not cured within thirty</w:t>
      </w:r>
    </w:p>
    <w:p>
      <w:pPr>
        <w:spacing w:after="0" w:line="2" w:lineRule="exact"/>
        <w:rPr>
          <w:sz w:val="20"/>
          <w:szCs w:val="20"/>
          <w:color w:val="auto"/>
        </w:rPr>
      </w:pPr>
    </w:p>
    <w:p>
      <w:pPr>
        <w:ind w:left="140" w:right="760" w:firstLine="11"/>
        <w:spacing w:after="0" w:line="244" w:lineRule="auto"/>
        <w:tabs>
          <w:tab w:leader="none" w:pos="51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days after the Executive's receipt of written notice from the Company specifying theparticulars of the conduct the Company believes constitutes Cause.</w:t>
      </w:r>
    </w:p>
    <w:p>
      <w:pPr>
        <w:spacing w:after="0" w:line="188" w:lineRule="exact"/>
        <w:rPr>
          <w:rFonts w:ascii="Arial" w:cs="Arial" w:eastAsia="Arial" w:hAnsi="Arial"/>
          <w:sz w:val="20"/>
          <w:szCs w:val="20"/>
          <w:color w:val="auto"/>
        </w:rPr>
      </w:pPr>
    </w:p>
    <w:p>
      <w:pPr>
        <w:ind w:left="120" w:right="260" w:firstLine="1595"/>
        <w:spacing w:after="0" w:line="283" w:lineRule="auto"/>
        <w:tabs>
          <w:tab w:leader="none" w:pos="2584" w:val="left"/>
        </w:tabs>
        <w:numPr>
          <w:ilvl w:val="1"/>
          <w:numId w:val="209"/>
        </w:numPr>
        <w:rPr>
          <w:rFonts w:ascii="Arial" w:cs="Arial" w:eastAsia="Arial" w:hAnsi="Arial"/>
          <w:sz w:val="18"/>
          <w:szCs w:val="18"/>
          <w:color w:val="auto"/>
        </w:rPr>
      </w:pPr>
      <w:r>
        <w:rPr>
          <w:rFonts w:ascii="Arial" w:cs="Arial" w:eastAsia="Arial" w:hAnsi="Arial"/>
          <w:sz w:val="19"/>
          <w:szCs w:val="19"/>
          <w:b w:val="1"/>
          <w:bCs w:val="1"/>
          <w:color w:val="auto"/>
        </w:rPr>
        <w:t xml:space="preserve">Good Reason. </w:t>
      </w:r>
      <w:r>
        <w:rPr>
          <w:rFonts w:ascii="Arial" w:cs="Arial" w:eastAsia="Arial" w:hAnsi="Arial"/>
          <w:sz w:val="17"/>
          <w:szCs w:val="17"/>
          <w:color w:val="auto"/>
        </w:rPr>
        <w:t>For purposes of this Agreement, "Good Reason" shall mean: (i) a material diminution</w:t>
      </w:r>
      <w:r>
        <w:rPr>
          <w:rFonts w:ascii="Arial" w:cs="Arial" w:eastAsia="Arial" w:hAnsi="Arial"/>
          <w:sz w:val="19"/>
          <w:szCs w:val="19"/>
          <w:b w:val="1"/>
          <w:bCs w:val="1"/>
          <w:color w:val="auto"/>
        </w:rPr>
        <w:t xml:space="preserve"> </w:t>
      </w:r>
      <w:r>
        <w:rPr>
          <w:rFonts w:ascii="Arial" w:cs="Arial" w:eastAsia="Arial" w:hAnsi="Arial"/>
          <w:sz w:val="17"/>
          <w:szCs w:val="17"/>
          <w:color w:val="auto"/>
        </w:rPr>
        <w:t>in Executive' s authority, duties, or responsibilities in effect at thetime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w:t>
      </w:r>
    </w:p>
    <w:p>
      <w:pPr>
        <w:spacing w:after="0" w:line="1" w:lineRule="exact"/>
        <w:rPr>
          <w:sz w:val="20"/>
          <w:szCs w:val="20"/>
          <w:color w:val="auto"/>
        </w:rPr>
      </w:pPr>
    </w:p>
    <w:p>
      <w:pPr>
        <w:ind w:left="120" w:right="160"/>
        <w:spacing w:after="0" w:line="238" w:lineRule="auto"/>
        <w:rPr>
          <w:sz w:val="20"/>
          <w:szCs w:val="20"/>
          <w:color w:val="auto"/>
        </w:rPr>
      </w:pPr>
      <w:r>
        <w:rPr>
          <w:rFonts w:ascii="Arial" w:cs="Arial" w:eastAsia="Arial" w:hAnsi="Arial"/>
          <w:sz w:val="20"/>
          <w:szCs w:val="20"/>
          <w:color w:val="auto"/>
        </w:rPr>
        <w:t>Agreement; (v) material reduction ofthe Target Bonus for the then-current fiscal year before the end of the then-current fiscal year; or</w:t>
      </w:r>
    </w:p>
    <w:p>
      <w:pPr>
        <w:ind w:left="120" w:right="260" w:firstLine="8"/>
        <w:spacing w:after="0" w:line="242" w:lineRule="auto"/>
        <w:tabs>
          <w:tab w:leader="none" w:pos="46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occurrence of a Change in Control of the Company as defined in Section 3.3(c) below,</w:t>
      </w:r>
      <w:r>
        <w:rPr>
          <w:rFonts w:ascii="Arial" w:cs="Arial" w:eastAsia="Arial" w:hAnsi="Arial"/>
          <w:sz w:val="21"/>
          <w:szCs w:val="21"/>
          <w:i w:val="1"/>
          <w:iCs w:val="1"/>
          <w:color w:val="auto"/>
        </w:rPr>
        <w:t>provided,</w:t>
      </w:r>
      <w:r>
        <w:rPr>
          <w:rFonts w:ascii="Arial" w:cs="Arial" w:eastAsia="Arial" w:hAnsi="Arial"/>
          <w:sz w:val="20"/>
          <w:szCs w:val="20"/>
          <w:color w:val="auto"/>
        </w:rPr>
        <w:t xml:space="preserve"> however, that the conduct described in the foregoing subsections (i) through (v) will only constitute Good Reason if such conduct is not cured within thirty (30) days after the Company's receipt of written notice from the Executive specifying the particulars of the conductthe Executive believes constitutes Good Reason.</w:t>
      </w:r>
    </w:p>
    <w:p>
      <w:pPr>
        <w:spacing w:after="0" w:line="192" w:lineRule="exact"/>
        <w:rPr>
          <w:rFonts w:ascii="Arial" w:cs="Arial" w:eastAsia="Arial" w:hAnsi="Arial"/>
          <w:sz w:val="20"/>
          <w:szCs w:val="20"/>
          <w:color w:val="auto"/>
        </w:rPr>
      </w:pPr>
    </w:p>
    <w:p>
      <w:pPr>
        <w:ind w:left="100" w:firstLine="1619"/>
        <w:spacing w:after="0" w:line="259" w:lineRule="auto"/>
        <w:tabs>
          <w:tab w:leader="none" w:pos="2574" w:val="left"/>
        </w:tabs>
        <w:numPr>
          <w:ilvl w:val="1"/>
          <w:numId w:val="210"/>
        </w:numPr>
        <w:rPr>
          <w:rFonts w:ascii="Arial" w:cs="Arial" w:eastAsia="Arial" w:hAnsi="Arial"/>
          <w:sz w:val="19"/>
          <w:szCs w:val="19"/>
          <w:color w:val="auto"/>
        </w:rPr>
      </w:pPr>
      <w:r>
        <w:rPr>
          <w:rFonts w:ascii="Arial" w:cs="Arial" w:eastAsia="Arial" w:hAnsi="Arial"/>
          <w:sz w:val="20"/>
          <w:szCs w:val="20"/>
          <w:b w:val="1"/>
          <w:bCs w:val="1"/>
          <w:color w:val="auto"/>
        </w:rPr>
        <w:t xml:space="preserve">Change in Control. </w:t>
      </w:r>
      <w:r>
        <w:rPr>
          <w:rFonts w:ascii="Arial" w:cs="Arial" w:eastAsia="Arial" w:hAnsi="Arial"/>
          <w:sz w:val="18"/>
          <w:szCs w:val="18"/>
          <w:color w:val="auto"/>
        </w:rPr>
        <w:t>For purposes of this Agreement, "Change in Control"shall mean any of the following</w:t>
      </w:r>
      <w:r>
        <w:rPr>
          <w:rFonts w:ascii="Arial" w:cs="Arial" w:eastAsia="Arial" w:hAnsi="Arial"/>
          <w:sz w:val="20"/>
          <w:szCs w:val="20"/>
          <w:b w:val="1"/>
          <w:bCs w:val="1"/>
          <w:color w:val="auto"/>
        </w:rPr>
        <w:t xml:space="preserve"> </w:t>
      </w:r>
      <w:r>
        <w:rPr>
          <w:rFonts w:ascii="Arial" w:cs="Arial" w:eastAsia="Arial" w:hAnsi="Arial"/>
          <w:sz w:val="18"/>
          <w:szCs w:val="18"/>
          <w:color w:val="auto"/>
        </w:rPr>
        <w:t>events occurring after the date of this Agreement: (i) a sale or transfer of all or substantially all of the assets of the Company; (ii) any merger, consolidation or acquisition of the Company with, by or into another corporation, entity or person; (iii) any</w:t>
      </w:r>
    </w:p>
    <w:p>
      <w:pPr>
        <w:ind w:left="100" w:right="200"/>
        <w:spacing w:after="0" w:line="244" w:lineRule="auto"/>
        <w:rPr>
          <w:rFonts w:ascii="Arial" w:cs="Arial" w:eastAsia="Arial" w:hAnsi="Arial"/>
          <w:sz w:val="19"/>
          <w:szCs w:val="19"/>
          <w:color w:val="auto"/>
        </w:rPr>
      </w:pPr>
      <w:r>
        <w:rPr>
          <w:rFonts w:ascii="Arial" w:cs="Arial" w:eastAsia="Arial" w:hAnsi="Arial"/>
          <w:sz w:val="20"/>
          <w:szCs w:val="20"/>
          <w:color w:val="auto"/>
        </w:rPr>
        <w:t>change in ownership of more than fifty percent (50%) of the voting capital stock of Company inone or more related transactions such as a buy out or exit of the Company (but excluding any change in stock listing).</w:t>
      </w:r>
    </w:p>
    <w:p>
      <w:pPr>
        <w:spacing w:after="0" w:line="191" w:lineRule="exact"/>
        <w:rPr>
          <w:sz w:val="20"/>
          <w:szCs w:val="20"/>
          <w:color w:val="auto"/>
        </w:rPr>
      </w:pPr>
    </w:p>
    <w:p>
      <w:pPr>
        <w:ind w:left="920"/>
        <w:spacing w:after="0"/>
        <w:tabs>
          <w:tab w:leader="none" w:pos="17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Termination.</w:t>
      </w:r>
    </w:p>
    <w:p>
      <w:pPr>
        <w:spacing w:after="0" w:line="240" w:lineRule="exact"/>
        <w:rPr>
          <w:sz w:val="20"/>
          <w:szCs w:val="20"/>
          <w:color w:val="auto"/>
        </w:rPr>
      </w:pPr>
    </w:p>
    <w:p>
      <w:pPr>
        <w:ind w:left="80" w:right="280" w:firstLine="1597"/>
        <w:spacing w:after="0" w:line="251" w:lineRule="auto"/>
        <w:tabs>
          <w:tab w:leader="none" w:pos="2535" w:val="left"/>
        </w:tabs>
        <w:numPr>
          <w:ilvl w:val="0"/>
          <w:numId w:val="211"/>
        </w:numPr>
        <w:rPr>
          <w:rFonts w:ascii="Arial" w:cs="Arial" w:eastAsia="Arial" w:hAnsi="Arial"/>
          <w:sz w:val="20"/>
          <w:szCs w:val="20"/>
          <w:color w:val="auto"/>
        </w:rPr>
      </w:pPr>
      <w:r>
        <w:rPr>
          <w:rFonts w:ascii="Arial" w:cs="Arial" w:eastAsia="Arial" w:hAnsi="Arial"/>
          <w:sz w:val="21"/>
          <w:szCs w:val="21"/>
          <w:b w:val="1"/>
          <w:bCs w:val="1"/>
          <w:color w:val="auto"/>
        </w:rPr>
        <w:t xml:space="preserve">Termination for Cause or Resignation without Good Reason. </w:t>
      </w:r>
      <w:r>
        <w:rPr>
          <w:rFonts w:ascii="Arial" w:cs="Arial" w:eastAsia="Arial" w:hAnsi="Arial"/>
          <w:sz w:val="19"/>
          <w:szCs w:val="19"/>
          <w:color w:val="auto"/>
        </w:rPr>
        <w:t>In the event that the Company</w:t>
      </w:r>
      <w:r>
        <w:rPr>
          <w:rFonts w:ascii="Arial" w:cs="Arial" w:eastAsia="Arial" w:hAnsi="Arial"/>
          <w:sz w:val="21"/>
          <w:szCs w:val="21"/>
          <w:b w:val="1"/>
          <w:bCs w:val="1"/>
          <w:color w:val="auto"/>
        </w:rPr>
        <w:t xml:space="preserve"> </w:t>
      </w:r>
      <w:r>
        <w:rPr>
          <w:rFonts w:ascii="Arial" w:cs="Arial" w:eastAsia="Arial" w:hAnsi="Arial"/>
          <w:sz w:val="19"/>
          <w:szCs w:val="19"/>
          <w:color w:val="auto"/>
        </w:rPr>
        <w:t>terminates the Executive' s employment for Cause or the Executive resigns her employment without Good Reason, this Agreement will terminate without further obligations to Executive other than the following: Executive shall be entitled to receive her unpaid base salary earned through her last day of employment, accrued but unused vacation pay,and vested benefits through and including Executive's last day of employment.</w:t>
      </w:r>
    </w:p>
    <w:p>
      <w:pPr>
        <w:spacing w:after="0" w:line="201" w:lineRule="exact"/>
        <w:rPr>
          <w:rFonts w:ascii="Arial" w:cs="Arial" w:eastAsia="Arial" w:hAnsi="Arial"/>
          <w:sz w:val="20"/>
          <w:szCs w:val="20"/>
          <w:color w:val="auto"/>
        </w:rPr>
      </w:pPr>
    </w:p>
    <w:p>
      <w:pPr>
        <w:ind w:left="100" w:right="520" w:firstLine="1565"/>
        <w:spacing w:after="0" w:line="251" w:lineRule="auto"/>
        <w:tabs>
          <w:tab w:leader="none" w:pos="2550" w:val="left"/>
        </w:tabs>
        <w:numPr>
          <w:ilvl w:val="0"/>
          <w:numId w:val="211"/>
        </w:numPr>
        <w:rPr>
          <w:rFonts w:ascii="Arial" w:cs="Arial" w:eastAsia="Arial" w:hAnsi="Arial"/>
          <w:sz w:val="20"/>
          <w:szCs w:val="20"/>
          <w:color w:val="auto"/>
        </w:rPr>
      </w:pPr>
      <w:r>
        <w:rPr>
          <w:rFonts w:ascii="Arial" w:cs="Arial" w:eastAsia="Arial" w:hAnsi="Arial"/>
          <w:sz w:val="21"/>
          <w:szCs w:val="21"/>
          <w:b w:val="1"/>
          <w:bCs w:val="1"/>
          <w:color w:val="auto"/>
        </w:rPr>
        <w:t xml:space="preserve">Involuntary Termination Without Cause or Resignation With Good Reason. </w:t>
      </w:r>
      <w:r>
        <w:rPr>
          <w:rFonts w:ascii="Arial" w:cs="Arial" w:eastAsia="Arial" w:hAnsi="Arial"/>
          <w:sz w:val="22"/>
          <w:szCs w:val="22"/>
          <w:color w:val="auto"/>
        </w:rPr>
        <w:t>In</w:t>
      </w:r>
      <w:r>
        <w:rPr>
          <w:rFonts w:ascii="Arial" w:cs="Arial" w:eastAsia="Arial" w:hAnsi="Arial"/>
          <w:sz w:val="21"/>
          <w:szCs w:val="21"/>
          <w:b w:val="1"/>
          <w:bCs w:val="1"/>
          <w:color w:val="auto"/>
        </w:rPr>
        <w:t xml:space="preserve"> </w:t>
      </w:r>
      <w:r>
        <w:rPr>
          <w:rFonts w:ascii="Arial" w:cs="Arial" w:eastAsia="Arial" w:hAnsi="Arial"/>
          <w:sz w:val="19"/>
          <w:szCs w:val="19"/>
          <w:color w:val="auto"/>
        </w:rPr>
        <w:t>the event of</w:t>
      </w:r>
      <w:r>
        <w:rPr>
          <w:rFonts w:ascii="Arial" w:cs="Arial" w:eastAsia="Arial" w:hAnsi="Arial"/>
          <w:sz w:val="21"/>
          <w:szCs w:val="21"/>
          <w:b w:val="1"/>
          <w:bCs w:val="1"/>
          <w:color w:val="auto"/>
        </w:rPr>
        <w:t xml:space="preserve"> </w:t>
      </w:r>
      <w:r>
        <w:rPr>
          <w:rFonts w:ascii="Arial" w:cs="Arial" w:eastAsia="Arial" w:hAnsi="Arial"/>
          <w:sz w:val="19"/>
          <w:szCs w:val="19"/>
          <w:color w:val="auto"/>
        </w:rPr>
        <w:t>either an involuntary termination of the Executive's employment Without Cause or a voluntary resignation by the Executive for Good Reason, in exchange for the</w:t>
      </w:r>
    </w:p>
    <w:p>
      <w:pPr>
        <w:ind w:left="80" w:right="560" w:firstLine="3"/>
        <w:spacing w:after="0" w:line="297" w:lineRule="auto"/>
        <w:rPr>
          <w:rFonts w:ascii="Arial" w:cs="Arial" w:eastAsia="Arial" w:hAnsi="Arial"/>
          <w:sz w:val="20"/>
          <w:szCs w:val="20"/>
          <w:color w:val="auto"/>
        </w:rPr>
      </w:pPr>
      <w:r>
        <w:rPr>
          <w:rFonts w:ascii="Arial" w:cs="Arial" w:eastAsia="Arial" w:hAnsi="Arial"/>
          <w:sz w:val="18"/>
          <w:szCs w:val="18"/>
          <w:color w:val="auto"/>
        </w:rPr>
        <w:t>Executive signing a separation and release of all claims agreement in a form acceptable to theCompany, the Company shall provide the Executive with the following severance benefits in accordance with the timing set forth in Section 3.3(b)(v) below:</w:t>
      </w:r>
    </w:p>
    <w:p>
      <w:pPr>
        <w:spacing w:after="0" w:line="133" w:lineRule="exact"/>
        <w:rPr>
          <w:rFonts w:ascii="Arial" w:cs="Arial" w:eastAsia="Arial" w:hAnsi="Arial"/>
          <w:sz w:val="20"/>
          <w:szCs w:val="20"/>
          <w:color w:val="auto"/>
        </w:rPr>
      </w:pPr>
    </w:p>
    <w:p>
      <w:pPr>
        <w:ind w:left="3380" w:right="600" w:hanging="820"/>
        <w:spacing w:after="0" w:line="242" w:lineRule="auto"/>
        <w:tabs>
          <w:tab w:leader="none" w:pos="3380" w:val="left"/>
        </w:tabs>
        <w:numPr>
          <w:ilvl w:val="1"/>
          <w:numId w:val="211"/>
        </w:numPr>
        <w:rPr>
          <w:rFonts w:ascii="Arial" w:cs="Arial" w:eastAsia="Arial" w:hAnsi="Arial"/>
          <w:sz w:val="21"/>
          <w:szCs w:val="21"/>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The Company shall pay the Executive the equivalentof six (6) months of the Executive's annual base salary in effect atthe time of the termination Without Cause or resignation with Good Reason in one lump sum payment, less standard deductionsand withholdings.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34343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00" w:top="636" w:right="519" w:bottom="1440" w:gutter="0" w:footer="0" w:header="0"/>
        </w:sectPr>
      </w:pPr>
    </w:p>
    <w:bookmarkStart w:id="181" w:name="page182"/>
    <w:bookmarkEnd w:id="181"/>
    <w:p>
      <w:pPr>
        <w:ind w:left="3420" w:right="100" w:hanging="806"/>
        <w:spacing w:after="0" w:line="249" w:lineRule="auto"/>
        <w:tabs>
          <w:tab w:leader="none" w:pos="3420"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Benefits Coverage</w:t>
      </w:r>
      <w:r>
        <w:rPr>
          <w:rFonts w:ascii="Arial" w:cs="Arial" w:eastAsia="Arial" w:hAnsi="Arial"/>
          <w:sz w:val="21"/>
          <w:szCs w:val="21"/>
          <w:color w:val="auto"/>
        </w:rPr>
        <w:t>. The Company shall continue to provide grouphealth, vision, and dental plan benefits to the Executive for a period of six (6) months from and after the date of termination, with the cost of all regular premiums for such benefits paid by the Company (or its successor).</w:t>
      </w:r>
    </w:p>
    <w:p>
      <w:pPr>
        <w:spacing w:after="0" w:line="186" w:lineRule="exact"/>
        <w:rPr>
          <w:sz w:val="20"/>
          <w:szCs w:val="20"/>
          <w:color w:val="auto"/>
        </w:rPr>
      </w:pPr>
    </w:p>
    <w:p>
      <w:pPr>
        <w:ind w:left="3420" w:right="220" w:hanging="819"/>
        <w:spacing w:after="0" w:line="279" w:lineRule="auto"/>
        <w:tabs>
          <w:tab w:leader="none" w:pos="3420" w:val="left"/>
        </w:tabs>
        <w:numPr>
          <w:ilvl w:val="3"/>
          <w:numId w:val="213"/>
        </w:numPr>
        <w:rPr>
          <w:rFonts w:ascii="Arial" w:cs="Arial" w:eastAsia="Arial" w:hAnsi="Arial"/>
          <w:sz w:val="19"/>
          <w:szCs w:val="19"/>
          <w:color w:val="auto"/>
        </w:rPr>
      </w:pPr>
      <w:r>
        <w:rPr>
          <w:rFonts w:ascii="Arial" w:cs="Arial" w:eastAsia="Arial" w:hAnsi="Arial"/>
          <w:sz w:val="19"/>
          <w:szCs w:val="19"/>
          <w:u w:val="single" w:color="auto"/>
          <w:color w:val="auto"/>
        </w:rPr>
        <w:t>Pro-Rated Annual Bonus.</w:t>
      </w:r>
      <w:r>
        <w:rPr>
          <w:rFonts w:ascii="Arial" w:cs="Arial" w:eastAsia="Arial" w:hAnsi="Arial"/>
          <w:sz w:val="19"/>
          <w:szCs w:val="19"/>
          <w:color w:val="auto"/>
        </w:rPr>
        <w:t xml:space="preserve"> The Company shall pay the Executive apro-rata portion of her Annual Bonus payment for the then-current fiscal year. The pro-rata Annual Bonus calculation shall assume that the Executive attained 100% of the performance target established for the then-current fiscal year and then will be prorated for the time the Executive actually remained employed during the then-current fiscal year.</w:t>
      </w:r>
    </w:p>
    <w:p>
      <w:pPr>
        <w:spacing w:after="0" w:line="174" w:lineRule="exact"/>
        <w:rPr>
          <w:rFonts w:ascii="Arial" w:cs="Arial" w:eastAsia="Arial" w:hAnsi="Arial"/>
          <w:sz w:val="19"/>
          <w:szCs w:val="19"/>
          <w:color w:val="auto"/>
        </w:rPr>
      </w:pPr>
    </w:p>
    <w:p>
      <w:pPr>
        <w:ind w:left="3400" w:hanging="813"/>
        <w:spacing w:after="0" w:line="246" w:lineRule="auto"/>
        <w:tabs>
          <w:tab w:leader="none" w:pos="3400" w:val="left"/>
        </w:tabs>
        <w:numPr>
          <w:ilvl w:val="2"/>
          <w:numId w:val="214"/>
        </w:numPr>
        <w:rPr>
          <w:rFonts w:ascii="Arial" w:cs="Arial" w:eastAsia="Arial" w:hAnsi="Arial"/>
          <w:sz w:val="21"/>
          <w:szCs w:val="21"/>
          <w:color w:val="auto"/>
        </w:rPr>
      </w:pPr>
      <w:r>
        <w:rPr>
          <w:rFonts w:ascii="Arial" w:cs="Arial" w:eastAsia="Arial" w:hAnsi="Arial"/>
          <w:sz w:val="21"/>
          <w:szCs w:val="21"/>
          <w:u w:val="single" w:color="auto"/>
          <w:color w:val="auto"/>
        </w:rPr>
        <w:t>Equity.</w:t>
      </w:r>
      <w:r>
        <w:rPr>
          <w:rFonts w:ascii="Arial" w:cs="Arial" w:eastAsia="Arial" w:hAnsi="Arial"/>
          <w:sz w:val="21"/>
          <w:szCs w:val="21"/>
          <w:color w:val="auto"/>
        </w:rPr>
        <w:t xml:space="preserve"> Executive's stock options shall immediately accelerate so that 100% of any then unvested stock options shall immediately vest and become exercisable upon the date of Executive's termination Without Cause or resignation with Good Reason and shall continue to be exercisable for either a period of 180 days aftersuch termination or resignation or for the period specified in the vesting schedule of the applicable stock agreement, whichever is longer.</w:t>
      </w:r>
    </w:p>
    <w:p>
      <w:pPr>
        <w:spacing w:after="0" w:line="215" w:lineRule="exact"/>
        <w:rPr>
          <w:rFonts w:ascii="Arial" w:cs="Arial" w:eastAsia="Arial" w:hAnsi="Arial"/>
          <w:sz w:val="21"/>
          <w:szCs w:val="21"/>
          <w:color w:val="auto"/>
        </w:rPr>
      </w:pPr>
    </w:p>
    <w:p>
      <w:pPr>
        <w:ind w:left="3380" w:hanging="806"/>
        <w:spacing w:after="0"/>
        <w:tabs>
          <w:tab w:leader="none" w:pos="3380" w:val="left"/>
        </w:tabs>
        <w:numPr>
          <w:ilvl w:val="1"/>
          <w:numId w:val="215"/>
        </w:numPr>
        <w:rPr>
          <w:rFonts w:ascii="Arial" w:cs="Arial" w:eastAsia="Arial" w:hAnsi="Arial"/>
          <w:sz w:val="20"/>
          <w:szCs w:val="20"/>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xml:space="preserve"> The severance benefits in the above subsections 3.3(b)(i) and</w:t>
      </w:r>
    </w:p>
    <w:p>
      <w:pPr>
        <w:spacing w:after="0" w:line="31" w:lineRule="exact"/>
        <w:rPr>
          <w:rFonts w:ascii="Arial" w:cs="Arial" w:eastAsia="Arial" w:hAnsi="Arial"/>
          <w:sz w:val="20"/>
          <w:szCs w:val="20"/>
          <w:color w:val="auto"/>
        </w:rPr>
      </w:pPr>
    </w:p>
    <w:p>
      <w:pPr>
        <w:ind w:left="3380" w:right="500"/>
        <w:spacing w:after="0" w:line="327" w:lineRule="auto"/>
        <w:rPr>
          <w:rFonts w:ascii="Arial" w:cs="Arial" w:eastAsia="Arial" w:hAnsi="Arial"/>
          <w:sz w:val="20"/>
          <w:szCs w:val="20"/>
          <w:color w:val="auto"/>
        </w:rPr>
      </w:pPr>
      <w:r>
        <w:rPr>
          <w:rFonts w:ascii="Arial" w:cs="Arial" w:eastAsia="Arial" w:hAnsi="Arial"/>
          <w:sz w:val="18"/>
          <w:szCs w:val="18"/>
          <w:color w:val="auto"/>
        </w:rPr>
        <w:t>3.3(b)(iii) shall be paid to executive within 15 days of the date the Executive signs the severance andrelease agreement and the revocation period, if any, has expired.</w:t>
      </w:r>
    </w:p>
    <w:p>
      <w:pPr>
        <w:spacing w:after="0" w:line="100" w:lineRule="exact"/>
        <w:rPr>
          <w:rFonts w:ascii="Arial" w:cs="Arial" w:eastAsia="Arial" w:hAnsi="Arial"/>
          <w:sz w:val="20"/>
          <w:szCs w:val="20"/>
          <w:color w:val="auto"/>
        </w:rPr>
      </w:pPr>
    </w:p>
    <w:p>
      <w:pPr>
        <w:ind w:left="2540" w:hanging="882"/>
        <w:spacing w:after="0"/>
        <w:tabs>
          <w:tab w:leader="none" w:pos="2540" w:val="left"/>
        </w:tabs>
        <w:numPr>
          <w:ilvl w:val="0"/>
          <w:numId w:val="216"/>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or Resignation In Connection With Change In Control. </w:t>
      </w:r>
      <w:r>
        <w:rPr>
          <w:rFonts w:ascii="Arial" w:cs="Arial" w:eastAsia="Arial" w:hAnsi="Arial"/>
          <w:sz w:val="19"/>
          <w:szCs w:val="19"/>
          <w:color w:val="auto"/>
        </w:rPr>
        <w:t>In the event Executive</w:t>
      </w:r>
    </w:p>
    <w:p>
      <w:pPr>
        <w:spacing w:after="0" w:line="49" w:lineRule="exact"/>
        <w:rPr>
          <w:sz w:val="20"/>
          <w:szCs w:val="20"/>
          <w:color w:val="auto"/>
        </w:rPr>
      </w:pPr>
    </w:p>
    <w:p>
      <w:pPr>
        <w:ind w:left="80" w:right="180"/>
        <w:spacing w:after="0" w:line="246" w:lineRule="auto"/>
        <w:rPr>
          <w:sz w:val="20"/>
          <w:szCs w:val="20"/>
          <w:color w:val="auto"/>
        </w:rPr>
      </w:pPr>
      <w:r>
        <w:rPr>
          <w:rFonts w:ascii="Arial" w:cs="Arial" w:eastAsia="Arial" w:hAnsi="Arial"/>
          <w:sz w:val="21"/>
          <w:szCs w:val="21"/>
          <w:color w:val="auto"/>
        </w:rPr>
        <w:t>is terminated or resigns in connection with or within one (1) year following a Change in Control, the Executive shall be entitled to all of the severance benefits setforth in Section 3.3(b) above.</w:t>
      </w:r>
    </w:p>
    <w:p>
      <w:pPr>
        <w:spacing w:after="0" w:line="183" w:lineRule="exact"/>
        <w:rPr>
          <w:sz w:val="20"/>
          <w:szCs w:val="20"/>
          <w:color w:val="auto"/>
        </w:rPr>
      </w:pPr>
    </w:p>
    <w:p>
      <w:pPr>
        <w:ind w:left="900" w:hanging="824"/>
        <w:spacing w:after="0"/>
        <w:tabs>
          <w:tab w:leader="none" w:pos="900" w:val="left"/>
        </w:tabs>
        <w:numPr>
          <w:ilvl w:val="0"/>
          <w:numId w:val="217"/>
        </w:numPr>
        <w:rPr>
          <w:rFonts w:ascii="Arial" w:cs="Arial" w:eastAsia="Arial" w:hAnsi="Arial"/>
          <w:sz w:val="21"/>
          <w:szCs w:val="21"/>
          <w:b w:val="1"/>
          <w:bCs w:val="1"/>
          <w:color w:val="auto"/>
        </w:rPr>
      </w:pPr>
      <w:r>
        <w:rPr>
          <w:rFonts w:ascii="Arial" w:cs="Arial" w:eastAsia="Arial" w:hAnsi="Arial"/>
          <w:sz w:val="21"/>
          <w:szCs w:val="21"/>
          <w:b w:val="1"/>
          <w:bCs w:val="1"/>
          <w:color w:val="auto"/>
        </w:rPr>
        <w:t>Proprietary Information</w:t>
      </w:r>
    </w:p>
    <w:p>
      <w:pPr>
        <w:spacing w:after="0" w:line="251" w:lineRule="exact"/>
        <w:rPr>
          <w:sz w:val="20"/>
          <w:szCs w:val="20"/>
          <w:color w:val="auto"/>
        </w:rPr>
      </w:pPr>
    </w:p>
    <w:p>
      <w:pPr>
        <w:ind w:left="60" w:right="120" w:firstLine="802"/>
        <w:spacing w:after="0" w:line="260" w:lineRule="auto"/>
        <w:rPr>
          <w:sz w:val="20"/>
          <w:szCs w:val="20"/>
          <w:color w:val="auto"/>
        </w:rPr>
      </w:pPr>
      <w:r>
        <w:rPr>
          <w:rFonts w:ascii="Arial" w:cs="Arial" w:eastAsia="Arial" w:hAnsi="Arial"/>
          <w:sz w:val="20"/>
          <w:szCs w:val="20"/>
          <w:color w:val="auto"/>
        </w:rPr>
        <w:t>The Executive acknowledges that: (i) the Executive has a major responsibility for the operation, development and growth of the Company's business and subsidiaries; (ii) the Executive's work for the Company and its subsidiaries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that the Company will not enter into this Agreement but for such agreements and covenants. Accordingly, the Executive covenants and agrees to the following:</w:t>
      </w:r>
    </w:p>
    <w:p>
      <w:pPr>
        <w:spacing w:after="0" w:line="206" w:lineRule="exact"/>
        <w:rPr>
          <w:sz w:val="20"/>
          <w:szCs w:val="20"/>
          <w:color w:val="auto"/>
        </w:rPr>
      </w:pPr>
    </w:p>
    <w:p>
      <w:pPr>
        <w:jc w:val="both"/>
        <w:ind w:left="60" w:right="460" w:firstLine="774"/>
        <w:spacing w:after="0" w:line="27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Both during the tenn of the Executive's employment under this Agreement and indefinitely after the Executive is no longer employed as CCO of the Company, the Executive shall not, directly or indirectly,</w:t>
      </w:r>
    </w:p>
    <w:p>
      <w:pPr>
        <w:spacing w:after="0" w:line="1" w:lineRule="exact"/>
        <w:rPr>
          <w:sz w:val="20"/>
          <w:szCs w:val="20"/>
          <w:color w:val="auto"/>
        </w:rPr>
      </w:pPr>
    </w:p>
    <w:p>
      <w:pPr>
        <w:ind w:left="320" w:hanging="257"/>
        <w:spacing w:after="0"/>
        <w:tabs>
          <w:tab w:leader="none" w:pos="32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knowingly use for an improper</w:t>
      </w:r>
    </w:p>
    <w:p>
      <w:pPr>
        <w:spacing w:after="0" w:line="200" w:lineRule="exact"/>
        <w:rPr>
          <w:rFonts w:ascii="Arial" w:cs="Arial" w:eastAsia="Arial" w:hAnsi="Arial"/>
          <w:sz w:val="21"/>
          <w:szCs w:val="21"/>
          <w:color w:val="auto"/>
        </w:rPr>
      </w:pPr>
    </w:p>
    <w:p>
      <w:pPr>
        <w:spacing w:after="0" w:line="24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34343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400" w:top="639" w:right="619" w:bottom="1440" w:gutter="0" w:footer="0" w:header="0"/>
        </w:sectPr>
      </w:pPr>
    </w:p>
    <w:bookmarkStart w:id="182" w:name="page183"/>
    <w:bookmarkEnd w:id="182"/>
    <w:p>
      <w:pPr>
        <w:ind w:left="140" w:right="180" w:firstLine="21"/>
        <w:spacing w:after="0" w:line="255" w:lineRule="auto"/>
        <w:rPr>
          <w:sz w:val="20"/>
          <w:szCs w:val="20"/>
          <w:color w:val="auto"/>
        </w:rPr>
      </w:pPr>
      <w:r>
        <w:rPr>
          <w:rFonts w:ascii="Arial" w:cs="Arial" w:eastAsia="Arial" w:hAnsi="Arial"/>
          <w:sz w:val="20"/>
          <w:szCs w:val="20"/>
          <w:color w:val="auto"/>
        </w:rPr>
        <w:t xml:space="preserve">personal benefit any "Confidential Information" (as defined below) that was acquired by, learnedby or disclosed to Executive by reason of the Executive' s employment as CCO of the Company (before or after the date of this Agreement), or (ii) disclose any such Confidential Information toany person, business or entity, except in the proper course of the Executive's duties as CCO of the Company. As used in this Agreement, </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 xml:space="preserve"> means any and all confidential or proprietary information of the Company and its subsidiaries or affiliates that is not generally known to the public, including, without limitation, business, financial, marketing, technical, developmental, operating, performance, know-how, and process information, drawingsand designs, customer information (including contact information, pricing and buying trends and needs), employee information (including the skills, abilities and compensation of other employees), and other trade secret information, now existing or hereafter discovered or</w:t>
      </w:r>
    </w:p>
    <w:p>
      <w:pPr>
        <w:spacing w:after="0" w:line="6" w:lineRule="exact"/>
        <w:rPr>
          <w:sz w:val="20"/>
          <w:szCs w:val="20"/>
          <w:color w:val="auto"/>
        </w:rPr>
      </w:pPr>
    </w:p>
    <w:p>
      <w:pPr>
        <w:ind w:left="100" w:firstLine="21"/>
        <w:spacing w:after="0" w:line="266" w:lineRule="auto"/>
        <w:rPr>
          <w:sz w:val="20"/>
          <w:szCs w:val="20"/>
          <w:color w:val="auto"/>
        </w:rPr>
      </w:pPr>
      <w:r>
        <w:rPr>
          <w:rFonts w:ascii="Arial" w:cs="Arial" w:eastAsia="Arial" w:hAnsi="Arial"/>
          <w:sz w:val="19"/>
          <w:szCs w:val="19"/>
          <w:color w:val="auto"/>
        </w:rPr>
        <w:t>developed. Confidential Information shall include information in any form whatsoever, including, without limitation, any digital or electronic record-bearing media containing or disclosing such information. The provisions of this Section 5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w:t>
      </w:r>
    </w:p>
    <w:p>
      <w:pPr>
        <w:spacing w:after="0" w:line="8" w:lineRule="exact"/>
        <w:rPr>
          <w:sz w:val="20"/>
          <w:szCs w:val="20"/>
          <w:color w:val="auto"/>
        </w:rPr>
      </w:pPr>
    </w:p>
    <w:p>
      <w:pPr>
        <w:ind w:left="80" w:right="120" w:firstLine="17"/>
        <w:spacing w:after="0" w:line="271" w:lineRule="auto"/>
        <w:rPr>
          <w:sz w:val="20"/>
          <w:szCs w:val="20"/>
          <w:color w:val="auto"/>
        </w:rPr>
      </w:pPr>
      <w:r>
        <w:rPr>
          <w:rFonts w:ascii="Arial" w:cs="Arial" w:eastAsia="Arial" w:hAnsi="Arial"/>
          <w:sz w:val="19"/>
          <w:szCs w:val="19"/>
          <w:color w:val="auto"/>
        </w:rPr>
        <w:t>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standard form Intellectual Property and Confidentiality Agreement protecting the trade secrets and other intellectual property of the Company.</w:t>
      </w:r>
    </w:p>
    <w:p>
      <w:pPr>
        <w:spacing w:after="0" w:line="195" w:lineRule="exact"/>
        <w:rPr>
          <w:sz w:val="20"/>
          <w:szCs w:val="20"/>
          <w:color w:val="auto"/>
        </w:rPr>
      </w:pPr>
    </w:p>
    <w:p>
      <w:pPr>
        <w:ind w:left="60" w:right="260" w:firstLine="815"/>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Duty of Loyalty and Non-Competition</w:t>
      </w:r>
      <w:r>
        <w:rPr>
          <w:rFonts w:ascii="Arial" w:cs="Arial" w:eastAsia="Arial" w:hAnsi="Arial"/>
          <w:sz w:val="19"/>
          <w:szCs w:val="19"/>
          <w:color w:val="auto"/>
        </w:rPr>
        <w:t>. While employed by the Company, the Executive shall not, without the prior written consent of the Company, participate, directly or indirectly, as an individual proprietor, partner, stockholder, officer, employee, director, manager,joint venturer,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ofintent, purchase agreements, or other similar arrangements or agreements) of which the Executive has knowledge at the time of Executive's employment; provided, however, that such participation shall not include the mere ownership of not more than one percent (I%) of the total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34343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00" w:top="639" w:right="519" w:bottom="1440" w:gutter="0" w:footer="0" w:header="0"/>
        </w:sectPr>
      </w:pPr>
    </w:p>
    <w:bookmarkStart w:id="183" w:name="page184"/>
    <w:bookmarkEnd w:id="183"/>
    <w:p>
      <w:pPr>
        <w:ind w:left="180" w:right="320" w:firstLine="3"/>
        <w:spacing w:after="0" w:line="252" w:lineRule="auto"/>
        <w:rPr>
          <w:sz w:val="20"/>
          <w:szCs w:val="20"/>
          <w:color w:val="auto"/>
        </w:rPr>
      </w:pPr>
      <w:r>
        <w:rPr>
          <w:rFonts w:ascii="Arial" w:cs="Arial" w:eastAsia="Arial" w:hAnsi="Arial"/>
          <w:sz w:val="21"/>
          <w:szCs w:val="21"/>
          <w:color w:val="auto"/>
        </w:rPr>
        <w:t>outstanding stock of a publicly held company. At all times following the termination of Executive's employment as CCO of the Company for any reason, Executive shall not, eitherdirectly or indirectly, engage in any unlawful competitive activities or use confidential trade secret information for any purpose.</w:t>
      </w:r>
    </w:p>
    <w:p>
      <w:pPr>
        <w:spacing w:after="0" w:line="198" w:lineRule="exact"/>
        <w:rPr>
          <w:sz w:val="20"/>
          <w:szCs w:val="20"/>
          <w:color w:val="auto"/>
        </w:rPr>
      </w:pPr>
    </w:p>
    <w:p>
      <w:pPr>
        <w:ind w:left="180" w:firstLine="814"/>
        <w:spacing w:after="0" w:line="258"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Non-Solicitation.</w:t>
      </w:r>
      <w:r>
        <w:rPr>
          <w:rFonts w:ascii="Arial" w:cs="Arial" w:eastAsia="Arial" w:hAnsi="Arial"/>
          <w:sz w:val="20"/>
          <w:szCs w:val="20"/>
          <w:color w:val="auto"/>
        </w:rPr>
        <w:t xml:space="preserve"> For a period beginning on the Effective Date and ending two years after the date on which the Executive is no longer employed as CCO of the Company (the </w:t>
      </w:r>
      <w:r>
        <w:rPr>
          <w:rFonts w:ascii="Arial" w:cs="Arial" w:eastAsia="Arial" w:hAnsi="Arial"/>
          <w:sz w:val="20"/>
          <w:szCs w:val="20"/>
          <w:b w:val="1"/>
          <w:bCs w:val="1"/>
          <w:u w:val="single" w:color="auto"/>
          <w:color w:val="auto"/>
        </w:rPr>
        <w:t>"Non-Solicitation Period")</w:t>
      </w:r>
      <w:r>
        <w:rPr>
          <w:rFonts w:ascii="Arial" w:cs="Arial" w:eastAsia="Arial" w:hAnsi="Arial"/>
          <w:sz w:val="20"/>
          <w:szCs w:val="20"/>
          <w:b w:val="1"/>
          <w:bCs w:val="1"/>
          <w:color w:val="auto"/>
        </w:rPr>
        <w:t>,</w:t>
      </w:r>
      <w:r>
        <w:rPr>
          <w:rFonts w:ascii="Arial" w:cs="Arial" w:eastAsia="Arial" w:hAnsi="Arial"/>
          <w:sz w:val="20"/>
          <w:szCs w:val="20"/>
          <w:color w:val="auto"/>
        </w:rPr>
        <w:t xml:space="preserve"> the Executive shall not in any capacity, either separately or in association with others: (i) unlawfully solicit for employment or endeavor in any way to unlawfully entice away from employment with the Company or its subsidiaries or affiliates any employee of the Company or its subsidiaries or affiliates, or any person or entity that had been an employee or affiliate of the Company or its subsidiaries within the six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to discontinue, reduce or modify such relationship with the Company or its subsidiaries.</w:t>
      </w:r>
    </w:p>
    <w:p>
      <w:pPr>
        <w:spacing w:after="0" w:line="164" w:lineRule="exact"/>
        <w:rPr>
          <w:sz w:val="20"/>
          <w:szCs w:val="20"/>
          <w:color w:val="auto"/>
        </w:rPr>
      </w:pPr>
    </w:p>
    <w:p>
      <w:pPr>
        <w:ind w:left="200" w:right="80" w:firstLine="788"/>
        <w:spacing w:after="0" w:line="28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The Executive agrees (whether during or after Executive's employment as CCO of the Company) not to issue, circulate, publish or utter any comments or statements to the press or other media, or to any third parties, or to any employees of the Company or its subsidiaries or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oraffiliates (including its financial condition or the direction of the business), or any of their respective products or services, or their past or present officers, directors, executives or employees. Notwithstanding the foregoing, nothing contained in this Agreement will be deemedto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w:t>
      </w:r>
      <w:r>
        <w:rPr>
          <w:rFonts w:ascii="Arial" w:cs="Arial" w:eastAsia="Arial" w:hAnsi="Arial"/>
          <w:sz w:val="16"/>
          <w:szCs w:val="16"/>
          <w:color w:val="auto"/>
        </w:rPr>
        <w:t>7</w:t>
      </w:r>
      <w:r>
        <w:rPr>
          <w:rFonts w:ascii="Arial" w:cs="Arial" w:eastAsia="Arial" w:hAnsi="Arial"/>
          <w:sz w:val="18"/>
          <w:szCs w:val="18"/>
          <w:color w:val="auto"/>
        </w:rPr>
        <w:t xml:space="preserve"> of the National Labor Relations Act.</w:t>
      </w:r>
    </w:p>
    <w:p>
      <w:pPr>
        <w:spacing w:after="0" w:line="157" w:lineRule="exact"/>
        <w:rPr>
          <w:sz w:val="20"/>
          <w:szCs w:val="20"/>
          <w:color w:val="auto"/>
        </w:rPr>
      </w:pPr>
    </w:p>
    <w:p>
      <w:pPr>
        <w:ind w:left="200" w:right="240" w:firstLine="787"/>
        <w:spacing w:after="0" w:line="246"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Return of Property</w:t>
      </w:r>
      <w:r>
        <w:rPr>
          <w:rFonts w:ascii="Arial" w:cs="Arial" w:eastAsia="Arial" w:hAnsi="Arial"/>
          <w:sz w:val="21"/>
          <w:szCs w:val="21"/>
          <w:color w:val="auto"/>
        </w:rPr>
        <w:t>. Upon termination of her employment as CCO of the Company or at any time as the Company requests, the Executive will promptly deliver to the Company all documents (whether prepared by the Company, a subsidiary, an affiliate, the Executive or a third party) relating to the Company, any of its subsidiaries, an affiliate or any of their businesses or property that the Executive may possess or have under the Executive's direction or control other than documents provided to the Executive in the Executive's capacityas a participant in any employee benefit plan, policy or program of the Company.</w:t>
      </w:r>
    </w:p>
    <w:p>
      <w:pPr>
        <w:spacing w:after="0" w:line="189" w:lineRule="exact"/>
        <w:rPr>
          <w:sz w:val="20"/>
          <w:szCs w:val="20"/>
          <w:color w:val="auto"/>
        </w:rPr>
      </w:pPr>
    </w:p>
    <w:p>
      <w:pPr>
        <w:jc w:val="both"/>
        <w:ind w:left="200" w:right="220" w:firstLine="774"/>
        <w:spacing w:after="0" w:line="29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The Executive acknowledges that (i) the Executive has had an opportunity to seek the advice of counsel in connection with this Agreement; (ii) the provisions of this Section 4 are reasonable in scope and in all other respects;</w:t>
      </w:r>
    </w:p>
    <w:p>
      <w:pPr>
        <w:ind w:left="200" w:right="660" w:firstLine="6"/>
        <w:spacing w:after="0" w:line="246" w:lineRule="auto"/>
        <w:tabs>
          <w:tab w:leader="none" w:pos="562" w:val="left"/>
        </w:tabs>
        <w:numPr>
          <w:ilvl w:val="0"/>
          <w:numId w:val="219"/>
        </w:numPr>
        <w:rPr>
          <w:rFonts w:ascii="Arial" w:cs="Arial" w:eastAsia="Arial" w:hAnsi="Arial"/>
          <w:sz w:val="21"/>
          <w:szCs w:val="21"/>
          <w:color w:val="auto"/>
        </w:rPr>
      </w:pPr>
      <w:r>
        <w:rPr>
          <w:rFonts w:ascii="Arial" w:cs="Arial" w:eastAsia="Arial" w:hAnsi="Arial"/>
          <w:sz w:val="21"/>
          <w:szCs w:val="21"/>
          <w:color w:val="auto"/>
        </w:rPr>
        <w:t>any violation of these provisions will result in irreparable injury to the Company; (iv) money damages may not be an adequate remedy for the Company in the event of a breach of any of these provisions by the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color w:val="34343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400" w:top="653" w:right="579" w:bottom="1440" w:gutter="0" w:footer="0" w:header="0"/>
        </w:sectPr>
      </w:pPr>
    </w:p>
    <w:bookmarkStart w:id="184" w:name="page185"/>
    <w:bookmarkEnd w:id="184"/>
    <w:p>
      <w:pPr>
        <w:ind w:left="140" w:right="20" w:hanging="2"/>
        <w:spacing w:after="0" w:line="255" w:lineRule="auto"/>
        <w:rPr>
          <w:sz w:val="20"/>
          <w:szCs w:val="20"/>
          <w:color w:val="auto"/>
        </w:rPr>
      </w:pPr>
      <w:r>
        <w:rPr>
          <w:rFonts w:ascii="Arial" w:cs="Arial" w:eastAsia="Arial" w:hAnsi="Arial"/>
          <w:sz w:val="21"/>
          <w:szCs w:val="21"/>
          <w:color w:val="auto"/>
        </w:rPr>
        <w:t xml:space="preserve">Executive; and (v) specific performance in the form of injunctive relief would be an appropriateremedy for the Company. </w:t>
      </w:r>
      <w:r>
        <w:rPr>
          <w:rFonts w:ascii="Arial" w:cs="Arial" w:eastAsia="Arial" w:hAnsi="Arial"/>
          <w:sz w:val="22"/>
          <w:szCs w:val="22"/>
          <w:color w:val="auto"/>
        </w:rPr>
        <w:t>If</w:t>
      </w:r>
      <w:r>
        <w:rPr>
          <w:rFonts w:ascii="Arial" w:cs="Arial" w:eastAsia="Arial" w:hAnsi="Arial"/>
          <w:sz w:val="21"/>
          <w:szCs w:val="21"/>
          <w:color w:val="auto"/>
        </w:rPr>
        <w:t xml:space="preserve"> the Executive breaches or threatens to breach any of these provisions, the Company shall be entitled, in addition to all other remedies, to seek an injunctionrestraining any such breach, without any bond or other security being required and without the necessity of showing actual damages.</w:t>
      </w:r>
    </w:p>
    <w:p>
      <w:pPr>
        <w:spacing w:after="0" w:line="188" w:lineRule="exact"/>
        <w:rPr>
          <w:sz w:val="20"/>
          <w:szCs w:val="20"/>
          <w:color w:val="auto"/>
        </w:rPr>
      </w:pPr>
    </w:p>
    <w:p>
      <w:pPr>
        <w:ind w:left="940" w:hanging="823"/>
        <w:spacing w:after="0"/>
        <w:tabs>
          <w:tab w:leader="none" w:pos="940" w:val="left"/>
        </w:tabs>
        <w:numPr>
          <w:ilvl w:val="0"/>
          <w:numId w:val="220"/>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w:t>
      </w:r>
    </w:p>
    <w:p>
      <w:pPr>
        <w:spacing w:after="0" w:line="251" w:lineRule="exact"/>
        <w:rPr>
          <w:sz w:val="20"/>
          <w:szCs w:val="20"/>
          <w:color w:val="auto"/>
        </w:rPr>
      </w:pPr>
    </w:p>
    <w:p>
      <w:pPr>
        <w:ind w:left="120" w:right="340" w:firstLine="787"/>
        <w:spacing w:after="0" w:line="252" w:lineRule="auto"/>
        <w:rPr>
          <w:sz w:val="20"/>
          <w:szCs w:val="20"/>
          <w:color w:val="auto"/>
        </w:rPr>
      </w:pPr>
      <w:r>
        <w:rPr>
          <w:rFonts w:ascii="Arial" w:cs="Arial" w:eastAsia="Arial" w:hAnsi="Arial"/>
          <w:sz w:val="21"/>
          <w:szCs w:val="21"/>
          <w:color w:val="auto"/>
        </w:rPr>
        <w:t>This Agreement is personal in nature, and neither this Agreement nor any part of any obligation herein shall be assignable by Executive. The Company shall be entitled to assign thisAgreement to any affiliate of the Company or any entity that assumes the ownership and control of the business of the Company.</w:t>
      </w:r>
    </w:p>
    <w:p>
      <w:pPr>
        <w:spacing w:after="0" w:line="178" w:lineRule="exact"/>
        <w:rPr>
          <w:sz w:val="20"/>
          <w:szCs w:val="20"/>
          <w:color w:val="auto"/>
        </w:rPr>
      </w:pPr>
    </w:p>
    <w:p>
      <w:pPr>
        <w:ind w:left="940" w:hanging="823"/>
        <w:spacing w:after="0"/>
        <w:tabs>
          <w:tab w:leader="none" w:pos="940" w:val="left"/>
        </w:tabs>
        <w:numPr>
          <w:ilvl w:val="0"/>
          <w:numId w:val="221"/>
        </w:numPr>
        <w:rPr>
          <w:rFonts w:ascii="Arial" w:cs="Arial" w:eastAsia="Arial" w:hAnsi="Arial"/>
          <w:sz w:val="22"/>
          <w:szCs w:val="22"/>
          <w:b w:val="1"/>
          <w:bCs w:val="1"/>
          <w:color w:val="auto"/>
        </w:rPr>
      </w:pPr>
      <w:r>
        <w:rPr>
          <w:rFonts w:ascii="Arial" w:cs="Arial" w:eastAsia="Arial" w:hAnsi="Arial"/>
          <w:sz w:val="21"/>
          <w:szCs w:val="21"/>
          <w:b w:val="1"/>
          <w:bCs w:val="1"/>
          <w:color w:val="auto"/>
        </w:rPr>
        <w:t>Severability</w:t>
      </w:r>
    </w:p>
    <w:p>
      <w:pPr>
        <w:spacing w:after="0" w:line="239" w:lineRule="exact"/>
        <w:rPr>
          <w:sz w:val="20"/>
          <w:szCs w:val="20"/>
          <w:color w:val="auto"/>
        </w:rPr>
      </w:pPr>
    </w:p>
    <w:p>
      <w:pPr>
        <w:ind w:left="100" w:right="280" w:firstLine="801"/>
        <w:spacing w:after="0" w:line="271" w:lineRule="auto"/>
        <w:rPr>
          <w:sz w:val="20"/>
          <w:szCs w:val="20"/>
          <w:color w:val="auto"/>
        </w:rPr>
      </w:pPr>
      <w:r>
        <w:rPr>
          <w:rFonts w:ascii="Arial" w:cs="Arial" w:eastAsia="Arial" w:hAnsi="Arial"/>
          <w:sz w:val="20"/>
          <w:szCs w:val="20"/>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46" w:lineRule="exact"/>
        <w:rPr>
          <w:sz w:val="20"/>
          <w:szCs w:val="20"/>
          <w:color w:val="auto"/>
        </w:rPr>
      </w:pPr>
    </w:p>
    <w:p>
      <w:pPr>
        <w:ind w:left="920" w:hanging="817"/>
        <w:spacing w:after="0"/>
        <w:tabs>
          <w:tab w:leader="none" w:pos="920" w:val="left"/>
        </w:tabs>
        <w:numPr>
          <w:ilvl w:val="0"/>
          <w:numId w:val="222"/>
        </w:numPr>
        <w:rPr>
          <w:rFonts w:ascii="Arial" w:cs="Arial" w:eastAsia="Arial" w:hAnsi="Arial"/>
          <w:sz w:val="21"/>
          <w:szCs w:val="21"/>
          <w:b w:val="1"/>
          <w:bCs w:val="1"/>
          <w:color w:val="auto"/>
        </w:rPr>
      </w:pPr>
      <w:r>
        <w:rPr>
          <w:rFonts w:ascii="Arial" w:cs="Arial" w:eastAsia="Arial" w:hAnsi="Arial"/>
          <w:sz w:val="21"/>
          <w:szCs w:val="21"/>
          <w:b w:val="1"/>
          <w:bCs w:val="1"/>
          <w:color w:val="auto"/>
        </w:rPr>
        <w:t>Binding Arbitration</w:t>
      </w:r>
    </w:p>
    <w:p>
      <w:pPr>
        <w:spacing w:after="0" w:line="251" w:lineRule="exact"/>
        <w:rPr>
          <w:sz w:val="20"/>
          <w:szCs w:val="20"/>
          <w:color w:val="auto"/>
        </w:rPr>
      </w:pPr>
    </w:p>
    <w:p>
      <w:pPr>
        <w:ind w:left="80" w:right="180" w:firstLine="810"/>
        <w:spacing w:after="0" w:line="244" w:lineRule="auto"/>
        <w:rPr>
          <w:sz w:val="20"/>
          <w:szCs w:val="20"/>
          <w:color w:val="auto"/>
        </w:rPr>
      </w:pPr>
      <w:r>
        <w:rPr>
          <w:rFonts w:ascii="Arial" w:cs="Arial" w:eastAsia="Arial" w:hAnsi="Arial"/>
          <w:sz w:val="21"/>
          <w:szCs w:val="21"/>
          <w:color w:val="auto"/>
        </w:rPr>
        <w:t>Any and all disputes which involve or relate in any way to this Agreement and/or to Executive's employment or termination of employment as CCO of the Company, whether initiated by Executive or by the Company and whether based on contract, tort, statute, or common law, shall be submitted to and resolved by final and binding arbitration as the exclusive method for resolving all such disputes. The arbitration shall be private and confidential and conducted in Los Angeles, California pursuant to the Federal Arbitration Act and applicable California law, and pursuant to the applicable rules of the American Arbitration Association</w:t>
      </w:r>
    </w:p>
    <w:p>
      <w:pPr>
        <w:spacing w:after="0" w:line="3" w:lineRule="exact"/>
        <w:rPr>
          <w:sz w:val="20"/>
          <w:szCs w:val="20"/>
          <w:color w:val="auto"/>
        </w:rPr>
      </w:pPr>
    </w:p>
    <w:p>
      <w:pPr>
        <w:ind w:left="80" w:right="320" w:firstLine="2"/>
        <w:spacing w:after="0" w:line="297" w:lineRule="auto"/>
        <w:rPr>
          <w:sz w:val="20"/>
          <w:szCs w:val="20"/>
          <w:color w:val="auto"/>
        </w:rPr>
      </w:pPr>
      <w:r>
        <w:rPr>
          <w:rFonts w:ascii="Arial" w:cs="Arial" w:eastAsia="Arial" w:hAnsi="Arial"/>
          <w:sz w:val="19"/>
          <w:szCs w:val="19"/>
          <w:color w:val="auto"/>
        </w:rPr>
        <w:t>(" AAA") relating to employment disputes, unless the parties otherwise mutually agree to modify the AAA Rules. A copy of the AAA Employment Rules are available for review at www.adr.org/employment and are incorporated herein by reference.</w:t>
      </w:r>
    </w:p>
    <w:p>
      <w:pPr>
        <w:spacing w:after="0" w:line="143" w:lineRule="exact"/>
        <w:rPr>
          <w:sz w:val="20"/>
          <w:szCs w:val="20"/>
          <w:color w:val="auto"/>
        </w:rPr>
      </w:pPr>
    </w:p>
    <w:p>
      <w:pPr>
        <w:ind w:left="60" w:firstLine="813"/>
        <w:spacing w:after="0" w:line="273" w:lineRule="auto"/>
        <w:rPr>
          <w:sz w:val="20"/>
          <w:szCs w:val="20"/>
          <w:color w:val="auto"/>
        </w:rPr>
      </w:pPr>
      <w:r>
        <w:rPr>
          <w:rFonts w:ascii="Arial" w:cs="Arial" w:eastAsia="Arial" w:hAnsi="Arial"/>
          <w:sz w:val="19"/>
          <w:szCs w:val="19"/>
          <w:color w:val="auto"/>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 parties shall have the right to reasonable discovery. The parties agree that the Company shall paythe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spacing w:after="0" w:line="166" w:lineRule="exact"/>
        <w:rPr>
          <w:sz w:val="20"/>
          <w:szCs w:val="20"/>
          <w:color w:val="auto"/>
        </w:rPr>
      </w:pPr>
    </w:p>
    <w:p>
      <w:pPr>
        <w:ind w:left="60" w:right="80" w:firstLine="794"/>
        <w:spacing w:after="0" w:line="264" w:lineRule="auto"/>
        <w:rPr>
          <w:sz w:val="20"/>
          <w:szCs w:val="20"/>
          <w:color w:val="auto"/>
        </w:rPr>
      </w:pPr>
      <w:r>
        <w:rPr>
          <w:rFonts w:ascii="Arial" w:cs="Arial" w:eastAsia="Arial" w:hAnsi="Arial"/>
          <w:sz w:val="21"/>
          <w:szCs w:val="21"/>
          <w:color w:val="auto"/>
        </w:rPr>
        <w:t>The Arbitrator may award, if properly proven, any damages or remedy that a party couldrecover in a civil litigation, and shall award costs and reasonable attorneys' fees to the prevailing</w:t>
      </w: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color w:val="34343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400" w:top="635" w:right="639" w:bottom="1440" w:gutter="0" w:footer="0" w:header="0"/>
        </w:sectPr>
      </w:pPr>
    </w:p>
    <w:bookmarkStart w:id="185" w:name="page186"/>
    <w:bookmarkEnd w:id="185"/>
    <w:p>
      <w:pPr>
        <w:ind w:left="180" w:right="260" w:firstLine="13"/>
        <w:spacing w:after="0" w:line="315" w:lineRule="auto"/>
        <w:rPr>
          <w:sz w:val="20"/>
          <w:szCs w:val="20"/>
          <w:color w:val="auto"/>
        </w:rPr>
      </w:pPr>
      <w:r>
        <w:rPr>
          <w:rFonts w:ascii="Arial" w:cs="Arial" w:eastAsia="Arial" w:hAnsi="Arial"/>
          <w:sz w:val="18"/>
          <w:szCs w:val="18"/>
          <w:color w:val="auto"/>
        </w:rPr>
        <w:t>party as provided by law. The award of the Arbitrator shall be issued in writing, setting forth thebasis for the decision, and shall be binding on the parties to the fullest extent permitted by law, subject to any limited statutory right to appeal as provided by law. Judgment upon the award ofthe Arbitrator may be entered in any state or federal court sitting in Los Angeles, California.</w:t>
      </w:r>
    </w:p>
    <w:p>
      <w:pPr>
        <w:spacing w:after="0" w:line="117" w:lineRule="exact"/>
        <w:rPr>
          <w:sz w:val="20"/>
          <w:szCs w:val="20"/>
          <w:color w:val="auto"/>
        </w:rPr>
      </w:pPr>
    </w:p>
    <w:p>
      <w:pPr>
        <w:ind w:left="180" w:right="120" w:firstLine="798"/>
        <w:spacing w:after="0" w:line="292" w:lineRule="auto"/>
        <w:rPr>
          <w:sz w:val="20"/>
          <w:szCs w:val="20"/>
          <w:color w:val="auto"/>
        </w:rPr>
      </w:pPr>
      <w:r>
        <w:rPr>
          <w:rFonts w:ascii="Arial" w:cs="Arial" w:eastAsia="Arial" w:hAnsi="Arial"/>
          <w:sz w:val="18"/>
          <w:szCs w:val="18"/>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54" w:lineRule="exact"/>
        <w:rPr>
          <w:sz w:val="20"/>
          <w:szCs w:val="20"/>
          <w:color w:val="auto"/>
        </w:rPr>
      </w:pPr>
    </w:p>
    <w:p>
      <w:pPr>
        <w:ind w:left="180" w:firstLine="794"/>
        <w:spacing w:after="0" w:line="259" w:lineRule="auto"/>
        <w:rPr>
          <w:sz w:val="20"/>
          <w:szCs w:val="20"/>
          <w:color w:val="auto"/>
        </w:rPr>
      </w:pPr>
      <w:r>
        <w:rPr>
          <w:rFonts w:ascii="Arial" w:cs="Arial" w:eastAsia="Arial" w:hAnsi="Arial"/>
          <w:sz w:val="20"/>
          <w:szCs w:val="20"/>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Attorneys General Act of 2004. Executive will not be subject to any retaliationor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66" w:lineRule="exact"/>
        <w:rPr>
          <w:sz w:val="20"/>
          <w:szCs w:val="20"/>
          <w:color w:val="auto"/>
        </w:rPr>
      </w:pPr>
    </w:p>
    <w:p>
      <w:pPr>
        <w:ind w:left="1000" w:hanging="816"/>
        <w:spacing w:after="0"/>
        <w:tabs>
          <w:tab w:leader="none" w:pos="100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0" w:lineRule="exact"/>
        <w:rPr>
          <w:sz w:val="20"/>
          <w:szCs w:val="20"/>
          <w:color w:val="auto"/>
        </w:rPr>
      </w:pPr>
    </w:p>
    <w:p>
      <w:pPr>
        <w:ind w:left="180" w:right="440" w:firstLine="773"/>
        <w:spacing w:after="0" w:line="315" w:lineRule="auto"/>
        <w:rPr>
          <w:sz w:val="20"/>
          <w:szCs w:val="20"/>
          <w:color w:val="auto"/>
        </w:rPr>
      </w:pPr>
      <w:r>
        <w:rPr>
          <w:rFonts w:ascii="Arial" w:cs="Arial" w:eastAsia="Arial" w:hAnsi="Arial"/>
          <w:sz w:val="18"/>
          <w:szCs w:val="18"/>
          <w:color w:val="auto"/>
        </w:rPr>
        <w:t>This Agreement shall be governed by and construed in accordance with the laws of theState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89" w:lineRule="exact"/>
        <w:rPr>
          <w:sz w:val="20"/>
          <w:szCs w:val="20"/>
          <w:color w:val="auto"/>
        </w:rPr>
      </w:pPr>
    </w:p>
    <w:p>
      <w:pPr>
        <w:ind w:left="1000" w:hanging="816"/>
        <w:spacing w:after="0"/>
        <w:tabs>
          <w:tab w:leader="none" w:pos="100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Notice</w:t>
      </w:r>
    </w:p>
    <w:p>
      <w:pPr>
        <w:spacing w:after="0" w:line="247" w:lineRule="exact"/>
        <w:rPr>
          <w:sz w:val="20"/>
          <w:szCs w:val="20"/>
          <w:color w:val="auto"/>
        </w:rPr>
      </w:pPr>
    </w:p>
    <w:p>
      <w:pPr>
        <w:ind w:left="200" w:right="180" w:firstLine="790"/>
        <w:spacing w:after="0" w:line="271" w:lineRule="auto"/>
        <w:rPr>
          <w:sz w:val="20"/>
          <w:szCs w:val="20"/>
          <w:color w:val="auto"/>
        </w:rPr>
      </w:pPr>
      <w:r>
        <w:rPr>
          <w:rFonts w:ascii="Arial" w:cs="Arial" w:eastAsia="Arial" w:hAnsi="Arial"/>
          <w:sz w:val="20"/>
          <w:szCs w:val="20"/>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166"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If to the Company:</w:t>
      </w:r>
    </w:p>
    <w:p>
      <w:pPr>
        <w:spacing w:after="0" w:line="20"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Avita Medical</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28159 Avenue Stanford</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Suite 220</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Valencia, CA 91355</w:t>
      </w:r>
    </w:p>
    <w:p>
      <w:pPr>
        <w:spacing w:after="0" w:line="213"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If to Executive:</w:t>
      </w:r>
    </w:p>
    <w:p>
      <w:pPr>
        <w:spacing w:after="0" w:line="20"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Erin Liberto</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34343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400" w:top="639" w:right="459" w:bottom="1440" w:gutter="0" w:footer="0" w:header="0"/>
        </w:sectPr>
      </w:pPr>
    </w:p>
    <w:bookmarkStart w:id="186" w:name="page187"/>
    <w:bookmarkEnd w:id="186"/>
    <w:p>
      <w:pPr>
        <w:ind w:left="1800"/>
        <w:spacing w:after="0"/>
        <w:rPr>
          <w:sz w:val="20"/>
          <w:szCs w:val="20"/>
          <w:color w:val="auto"/>
        </w:rPr>
      </w:pPr>
      <w:r>
        <w:rPr>
          <w:rFonts w:ascii="Arial" w:cs="Arial" w:eastAsia="Arial" w:hAnsi="Arial"/>
          <w:sz w:val="21"/>
          <w:szCs w:val="21"/>
          <w:color w:val="auto"/>
        </w:rPr>
        <w:t>At current home address on file with the Company</w:t>
      </w:r>
    </w:p>
    <w:p>
      <w:pPr>
        <w:spacing w:after="0" w:line="203" w:lineRule="exact"/>
        <w:rPr>
          <w:sz w:val="20"/>
          <w:szCs w:val="20"/>
          <w:color w:val="auto"/>
        </w:rPr>
      </w:pPr>
    </w:p>
    <w:p>
      <w:pPr>
        <w:ind w:left="960" w:hanging="830"/>
        <w:spacing w:after="0"/>
        <w:tabs>
          <w:tab w:leader="none" w:pos="96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47" w:lineRule="exact"/>
        <w:rPr>
          <w:sz w:val="20"/>
          <w:szCs w:val="20"/>
          <w:color w:val="auto"/>
        </w:rPr>
      </w:pPr>
    </w:p>
    <w:p>
      <w:pPr>
        <w:ind w:left="140" w:right="1200" w:firstLine="755"/>
        <w:spacing w:after="0" w:line="264"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Binding Agreement.</w:t>
      </w:r>
      <w:r>
        <w:rPr>
          <w:rFonts w:ascii="Arial" w:cs="Arial" w:eastAsia="Arial" w:hAnsi="Arial"/>
          <w:sz w:val="21"/>
          <w:szCs w:val="21"/>
          <w:color w:val="auto"/>
        </w:rPr>
        <w:t xml:space="preserve"> This Agreement shall inure to the benefit of and shall be binding upon the Company, its successors and assigns.</w:t>
      </w:r>
    </w:p>
    <w:p>
      <w:pPr>
        <w:spacing w:after="0" w:line="198" w:lineRule="exact"/>
        <w:rPr>
          <w:sz w:val="20"/>
          <w:szCs w:val="20"/>
          <w:color w:val="auto"/>
        </w:rPr>
      </w:pPr>
    </w:p>
    <w:p>
      <w:pPr>
        <w:ind w:left="120" w:right="120" w:firstLine="806"/>
        <w:spacing w:after="0" w:line="259"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contains the entire agreement of the parties 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beamended or modified only by a written agreement signed by all parties.</w:t>
      </w:r>
    </w:p>
    <w:p>
      <w:pPr>
        <w:spacing w:after="0" w:line="180"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18"/>
          <w:szCs w:val="18"/>
          <w:u w:val="single" w:color="auto"/>
          <w:color w:val="auto"/>
        </w:rPr>
        <w:t xml:space="preserve">Representations and Warranties. </w:t>
      </w:r>
      <w:r>
        <w:rPr>
          <w:rFonts w:ascii="Arial" w:cs="Arial" w:eastAsia="Arial" w:hAnsi="Arial"/>
          <w:sz w:val="18"/>
          <w:szCs w:val="18"/>
          <w:color w:val="auto"/>
        </w:rPr>
        <w:t>Executive and the Company hereby represent and warrant to the other that:</w:t>
      </w:r>
    </w:p>
    <w:p>
      <w:pPr>
        <w:spacing w:after="0" w:line="20" w:lineRule="exact"/>
        <w:rPr>
          <w:sz w:val="20"/>
          <w:szCs w:val="20"/>
          <w:color w:val="auto"/>
        </w:rPr>
      </w:pPr>
    </w:p>
    <w:p>
      <w:pPr>
        <w:ind w:left="100" w:right="100" w:hanging="4"/>
        <w:spacing w:after="0" w:line="255" w:lineRule="auto"/>
        <w:tabs>
          <w:tab w:leader="none" w:pos="381" w:val="left"/>
        </w:tabs>
        <w:numPr>
          <w:ilvl w:val="0"/>
          <w:numId w:val="226"/>
        </w:numPr>
        <w:rPr>
          <w:rFonts w:ascii="Arial" w:cs="Arial" w:eastAsia="Arial" w:hAnsi="Arial"/>
          <w:sz w:val="20"/>
          <w:szCs w:val="20"/>
          <w:color w:val="auto"/>
        </w:rPr>
      </w:pPr>
      <w:r>
        <w:rPr>
          <w:rFonts w:ascii="Arial" w:cs="Arial" w:eastAsia="Arial" w:hAnsi="Arial"/>
          <w:sz w:val="20"/>
          <w:szCs w:val="20"/>
          <w:color w:val="auto"/>
        </w:rPr>
        <w:t>she or it has full power, authority and capacity to execute and deliver this Agreement, and to perform her or its obligations hereunder; (b) such execution, delivery and performance will not (and with the giving of notice or lapse of time or both would not) result in the breach of any agreements or other obligations to which she or it is a party or she or it is otherwise bound; (c) this Agreement is her or its valid and binding obligation in accordance with its terms;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andhas either done so, or voluntarily and knowingly declined to do so; and (f) neither party has beeninduced to enter into this Agreement through any promises, threats, coercion, or benefits not set forth expressly in writing in this Agreement.</w:t>
      </w:r>
    </w:p>
    <w:p>
      <w:pPr>
        <w:spacing w:after="0" w:line="213" w:lineRule="exact"/>
        <w:rPr>
          <w:sz w:val="20"/>
          <w:szCs w:val="20"/>
          <w:color w:val="auto"/>
        </w:rPr>
      </w:pPr>
    </w:p>
    <w:p>
      <w:pPr>
        <w:ind w:left="80" w:right="680" w:firstLine="797"/>
        <w:spacing w:after="0" w:line="283"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that any party shall bring an action or proceeding in connection with the performance, breach or interpretation of this Agreement, then the prevailingparty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spacing w:after="0" w:line="171" w:lineRule="exact"/>
        <w:rPr>
          <w:sz w:val="20"/>
          <w:szCs w:val="20"/>
          <w:color w:val="auto"/>
        </w:rPr>
      </w:pPr>
    </w:p>
    <w:p>
      <w:pPr>
        <w:ind w:left="80" w:right="360" w:firstLine="768"/>
        <w:spacing w:after="0" w:line="289"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may be executed on separate copies, any one of which need not contain signatures of more than one party but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34343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288290</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40"/>
          </w:cols>
          <w:pgMar w:left="400" w:top="639" w:right="659" w:bottom="1440" w:gutter="0" w:footer="0" w:header="0"/>
        </w:sectPr>
      </w:pPr>
    </w:p>
    <w:bookmarkStart w:id="187" w:name="page188"/>
    <w:bookmarkEnd w:id="187"/>
    <w:p>
      <w:pPr>
        <w:ind w:left="900"/>
        <w:spacing w:after="0"/>
        <w:rPr>
          <w:sz w:val="20"/>
          <w:szCs w:val="20"/>
          <w:color w:val="auto"/>
        </w:rPr>
      </w:pPr>
      <w:r>
        <w:rPr>
          <w:rFonts w:ascii="Arial" w:cs="Arial" w:eastAsia="Arial" w:hAnsi="Arial"/>
          <w:sz w:val="21"/>
          <w:szCs w:val="21"/>
          <w:color w:val="auto"/>
        </w:rPr>
        <w:t>IN WITNESS WHEREOF, this Agreement is executed as of 09/09/2017.</w:t>
      </w:r>
    </w:p>
    <w:p>
      <w:pPr>
        <w:spacing w:after="0" w:line="258"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"COMPANY"</w:t>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 xml:space="preserve">Avita Medical Ltd., </w:t>
      </w:r>
      <w:r>
        <w:rPr>
          <w:rFonts w:ascii="Arial" w:cs="Arial" w:eastAsia="Arial" w:hAnsi="Arial"/>
          <w:sz w:val="18"/>
          <w:szCs w:val="18"/>
          <w:color w:val="auto"/>
        </w:rPr>
        <w:t>an Australian corporation</w:t>
      </w: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9525</wp:posOffset>
            </wp:positionV>
            <wp:extent cx="31286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14605</wp:posOffset>
            </wp:positionV>
            <wp:extent cx="31286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9525</wp:posOffset>
            </wp:positionV>
            <wp:extent cx="31286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500"/>
        <w:spacing w:after="0"/>
        <w:rPr>
          <w:sz w:val="20"/>
          <w:szCs w:val="20"/>
          <w:color w:val="auto"/>
        </w:rPr>
      </w:pPr>
      <w:r>
        <w:rPr>
          <w:rFonts w:ascii="Arial" w:cs="Arial" w:eastAsia="Arial" w:hAnsi="Arial"/>
          <w:sz w:val="21"/>
          <w:szCs w:val="21"/>
          <w:color w:val="auto"/>
        </w:rPr>
        <w:t>and</w:t>
      </w:r>
    </w:p>
    <w:p>
      <w:pPr>
        <w:spacing w:after="0" w:line="218"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"EXECUTIVE"</w:t>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Erin Liberto</w:t>
      </w:r>
    </w:p>
    <w:p>
      <w:pPr>
        <w:spacing w:after="0" w:line="200" w:lineRule="exact"/>
        <w:rPr>
          <w:sz w:val="20"/>
          <w:szCs w:val="20"/>
          <w:color w:val="auto"/>
        </w:rPr>
      </w:pPr>
    </w:p>
    <w:p>
      <w:pPr>
        <w:spacing w:after="0" w:line="203" w:lineRule="exact"/>
        <w:rPr>
          <w:sz w:val="20"/>
          <w:szCs w:val="20"/>
          <w:color w:val="auto"/>
        </w:rPr>
      </w:pPr>
    </w:p>
    <w:p>
      <w:pPr>
        <w:ind w:left="5540"/>
        <w:spacing w:after="0"/>
        <w:tabs>
          <w:tab w:leader="none" w:pos="62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Erin 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1286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color w:val="343436"/>
        </w:rPr>
        <w:t>11</w:t>
      </w:r>
    </w:p>
    <w:p>
      <w:pPr>
        <w:sectPr>
          <w:pgSz w:w="11900" w:h="16838" w:orient="portrait"/>
          <w:cols w:equalWidth="0" w:num="1">
            <w:col w:w="10059"/>
          </w:cols>
          <w:pgMar w:left="400" w:top="639"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10.17</w:t>
      </w: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EXECUTIVE EMPLOYMENT AGREEMENT</w:t>
      </w:r>
    </w:p>
    <w:p>
      <w:pPr>
        <w:spacing w:after="0" w:line="307" w:lineRule="exact"/>
        <w:rPr>
          <w:sz w:val="20"/>
          <w:szCs w:val="20"/>
          <w:color w:val="auto"/>
        </w:rPr>
      </w:pPr>
    </w:p>
    <w:p>
      <w:pPr>
        <w:ind w:right="1140" w:firstLine="773"/>
        <w:spacing w:after="0"/>
        <w:rPr>
          <w:sz w:val="20"/>
          <w:szCs w:val="20"/>
          <w:color w:val="auto"/>
        </w:rPr>
      </w:pPr>
      <w:r>
        <w:rPr>
          <w:rFonts w:ascii="Arial" w:cs="Arial" w:eastAsia="Arial" w:hAnsi="Arial"/>
          <w:sz w:val="22"/>
          <w:szCs w:val="22"/>
          <w:color w:val="auto"/>
        </w:rPr>
        <w:t>This EXECUTIVE EMPLOYMENT AGREEMENT (the “Agreement”) is made and entered into by and between Avita Medical Americas, LLC, (the “Company”) and Andrew Quick, an individual (the “Executive”) with reference to the following:</w:t>
      </w:r>
    </w:p>
    <w:p>
      <w:pPr>
        <w:spacing w:after="0" w:line="180"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RECITALS</w:t>
      </w:r>
    </w:p>
    <w:p>
      <w:pPr>
        <w:spacing w:after="0" w:line="307" w:lineRule="exact"/>
        <w:rPr>
          <w:sz w:val="20"/>
          <w:szCs w:val="20"/>
          <w:color w:val="auto"/>
        </w:rPr>
      </w:pPr>
    </w:p>
    <w:p>
      <w:pPr>
        <w:ind w:right="820" w:firstLine="773"/>
        <w:spacing w:after="0" w:line="250" w:lineRule="auto"/>
        <w:rPr>
          <w:sz w:val="20"/>
          <w:szCs w:val="20"/>
          <w:color w:val="auto"/>
        </w:rPr>
      </w:pPr>
      <w:r>
        <w:rPr>
          <w:rFonts w:ascii="Arial" w:cs="Arial" w:eastAsia="Arial" w:hAnsi="Arial"/>
          <w:sz w:val="22"/>
          <w:szCs w:val="22"/>
          <w:color w:val="auto"/>
        </w:rPr>
        <w:t>WHEREAS, the Board of Directors of the Company (the “Board”) desires to employ Executive to serve as the Chief Technology Officer;</w:t>
      </w:r>
    </w:p>
    <w:p>
      <w:pPr>
        <w:spacing w:after="0" w:line="175" w:lineRule="exact"/>
        <w:rPr>
          <w:sz w:val="20"/>
          <w:szCs w:val="20"/>
          <w:color w:val="auto"/>
        </w:rPr>
      </w:pPr>
    </w:p>
    <w:p>
      <w:pPr>
        <w:ind w:right="460" w:firstLine="807"/>
        <w:spacing w:after="0" w:line="274" w:lineRule="auto"/>
        <w:rPr>
          <w:sz w:val="20"/>
          <w:szCs w:val="20"/>
          <w:color w:val="auto"/>
        </w:rPr>
      </w:pPr>
      <w:r>
        <w:rPr>
          <w:rFonts w:ascii="Arial" w:cs="Arial" w:eastAsia="Arial" w:hAnsi="Arial"/>
          <w:sz w:val="21"/>
          <w:szCs w:val="21"/>
          <w:color w:val="auto"/>
        </w:rPr>
        <w:t>WHEREAS, the Executive is willing to serve in the role of Chief Technology Officer of the Company and provide services to the Company and its subsidiaries and affiliates under the terms and conditions stated herein,</w:t>
      </w:r>
    </w:p>
    <w:p>
      <w:pPr>
        <w:spacing w:after="0" w:line="151" w:lineRule="exact"/>
        <w:rPr>
          <w:sz w:val="20"/>
          <w:szCs w:val="20"/>
          <w:color w:val="auto"/>
        </w:rPr>
      </w:pPr>
    </w:p>
    <w:p>
      <w:pPr>
        <w:ind w:right="940" w:firstLine="774"/>
        <w:spacing w:after="0" w:line="250" w:lineRule="auto"/>
        <w:rPr>
          <w:sz w:val="20"/>
          <w:szCs w:val="20"/>
          <w:color w:val="auto"/>
        </w:rPr>
      </w:pPr>
      <w:r>
        <w:rPr>
          <w:rFonts w:ascii="Arial" w:cs="Arial" w:eastAsia="Arial" w:hAnsi="Arial"/>
          <w:sz w:val="22"/>
          <w:szCs w:val="22"/>
          <w:color w:val="auto"/>
        </w:rPr>
        <w:t>WHEREAS, the Executive has served as Chief Technology Officer, of the Company, since April 1, 2019 (the “Effective Date”),</w:t>
      </w:r>
    </w:p>
    <w:p>
      <w:pPr>
        <w:spacing w:after="0" w:line="175" w:lineRule="exact"/>
        <w:rPr>
          <w:sz w:val="20"/>
          <w:szCs w:val="20"/>
          <w:color w:val="auto"/>
        </w:rPr>
      </w:pPr>
    </w:p>
    <w:p>
      <w:pPr>
        <w:ind w:right="440" w:firstLine="793"/>
        <w:spacing w:after="0" w:line="250" w:lineRule="auto"/>
        <w:rPr>
          <w:sz w:val="20"/>
          <w:szCs w:val="20"/>
          <w:color w:val="auto"/>
        </w:rPr>
      </w:pPr>
      <w:r>
        <w:rPr>
          <w:rFonts w:ascii="Arial" w:cs="Arial" w:eastAsia="Arial" w:hAnsi="Arial"/>
          <w:sz w:val="22"/>
          <w:szCs w:val="22"/>
          <w:color w:val="auto"/>
        </w:rPr>
        <w:t>NOW, THEREFORE, in consideration of the mutual covenants and promises contained herein, and intending to be legally bound, it is hereby agreed by and between the parties hereto as follows:</w:t>
      </w:r>
    </w:p>
    <w:p>
      <w:pPr>
        <w:spacing w:after="0" w:line="169" w:lineRule="exact"/>
        <w:rPr>
          <w:sz w:val="20"/>
          <w:szCs w:val="20"/>
          <w:color w:val="auto"/>
        </w:rPr>
      </w:pPr>
    </w:p>
    <w:p>
      <w:pPr>
        <w:ind w:left="820" w:hanging="817"/>
        <w:spacing w:after="0"/>
        <w:tabs>
          <w:tab w:leader="none" w:pos="820" w:val="left"/>
        </w:tabs>
        <w:numPr>
          <w:ilvl w:val="0"/>
          <w:numId w:val="227"/>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and Duties</w:t>
      </w:r>
    </w:p>
    <w:p>
      <w:pPr>
        <w:spacing w:after="0" w:line="212" w:lineRule="exact"/>
        <w:rPr>
          <w:sz w:val="20"/>
          <w:szCs w:val="20"/>
          <w:color w:val="auto"/>
        </w:rPr>
      </w:pPr>
    </w:p>
    <w:p>
      <w:pPr>
        <w:ind w:right="700" w:firstLine="785"/>
        <w:spacing w:after="0" w:line="257" w:lineRule="auto"/>
        <w:rPr>
          <w:sz w:val="20"/>
          <w:szCs w:val="20"/>
          <w:color w:val="auto"/>
        </w:rPr>
      </w:pPr>
      <w:r>
        <w:rPr>
          <w:rFonts w:ascii="Arial" w:cs="Arial" w:eastAsia="Arial" w:hAnsi="Arial"/>
          <w:sz w:val="21"/>
          <w:szCs w:val="21"/>
          <w:color w:val="010000"/>
        </w:rPr>
        <w:t xml:space="preserve">1.1 </w:t>
      </w:r>
      <w:r>
        <w:rPr>
          <w:rFonts w:ascii="Arial" w:cs="Arial" w:eastAsia="Arial" w:hAnsi="Arial"/>
          <w:sz w:val="21"/>
          <w:szCs w:val="21"/>
          <w:u w:val="single" w:color="auto"/>
          <w:color w:val="000000"/>
        </w:rPr>
        <w:t>Employment</w:t>
      </w:r>
      <w:r>
        <w:rPr>
          <w:rFonts w:ascii="Arial" w:cs="Arial" w:eastAsia="Arial" w:hAnsi="Arial"/>
          <w:sz w:val="21"/>
          <w:szCs w:val="21"/>
          <w:color w:val="000000"/>
        </w:rPr>
        <w:t>. The Company hereby employs the Executive as the Chief Technology Officer</w:t>
      </w:r>
      <w:r>
        <w:rPr>
          <w:rFonts w:ascii="Arial" w:cs="Arial" w:eastAsia="Arial" w:hAnsi="Arial"/>
          <w:sz w:val="21"/>
          <w:szCs w:val="21"/>
          <w:color w:val="010000"/>
        </w:rPr>
        <w:t xml:space="preserve"> </w:t>
      </w:r>
      <w:r>
        <w:rPr>
          <w:rFonts w:ascii="Arial" w:cs="Arial" w:eastAsia="Arial" w:hAnsi="Arial"/>
          <w:sz w:val="21"/>
          <w:szCs w:val="21"/>
          <w:color w:val="000000"/>
        </w:rPr>
        <w:t>of the Company and the Executive hereby accepts such employment as of the Effective Date pursuant to the terms and conditions set forth herein. The Executive shall report directly to the Chief Executive Officer (“CEO”).</w:t>
      </w:r>
    </w:p>
    <w:p>
      <w:pPr>
        <w:spacing w:after="0" w:line="169" w:lineRule="exact"/>
        <w:rPr>
          <w:sz w:val="20"/>
          <w:szCs w:val="20"/>
          <w:color w:val="auto"/>
        </w:rPr>
      </w:pPr>
    </w:p>
    <w:p>
      <w:pPr>
        <w:ind w:right="420" w:firstLine="799"/>
        <w:spacing w:after="0" w:line="236"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Duties</w:t>
      </w:r>
      <w:r>
        <w:rPr>
          <w:rFonts w:ascii="Arial" w:cs="Arial" w:eastAsia="Arial" w:hAnsi="Arial"/>
          <w:sz w:val="22"/>
          <w:szCs w:val="22"/>
          <w:color w:val="000000"/>
        </w:rPr>
        <w:t>. The Executive shall perform, to the best of his ability and in a manner satisfactory to</w:t>
      </w:r>
      <w:r>
        <w:rPr>
          <w:rFonts w:ascii="Arial" w:cs="Arial" w:eastAsia="Arial" w:hAnsi="Arial"/>
          <w:sz w:val="22"/>
          <w:szCs w:val="22"/>
          <w:color w:val="010000"/>
        </w:rPr>
        <w:t xml:space="preserve"> </w:t>
      </w:r>
      <w:r>
        <w:rPr>
          <w:rFonts w:ascii="Arial" w:cs="Arial" w:eastAsia="Arial" w:hAnsi="Arial"/>
          <w:sz w:val="22"/>
          <w:szCs w:val="22"/>
          <w:color w:val="000000"/>
        </w:rPr>
        <w:t>the CEO, all such duties that are consistent with his title and position, and such other duties as may reasonably be assigned to him by the CEO. The Executive’s duties will be conducted principally from the Company’s North America office, currently located in Valencia, California, or at such other location as determined by the CEO (but subject to the terms of this Agreement) from time to time as reasonably required.</w:t>
      </w:r>
    </w:p>
    <w:p>
      <w:pPr>
        <w:spacing w:after="0" w:line="187" w:lineRule="exact"/>
        <w:rPr>
          <w:sz w:val="20"/>
          <w:szCs w:val="20"/>
          <w:color w:val="auto"/>
        </w:rPr>
      </w:pPr>
    </w:p>
    <w:p>
      <w:pPr>
        <w:ind w:right="340" w:firstLine="804"/>
        <w:spacing w:after="0" w:line="246" w:lineRule="auto"/>
        <w:rPr>
          <w:sz w:val="20"/>
          <w:szCs w:val="20"/>
          <w:color w:val="auto"/>
        </w:rPr>
      </w:pPr>
      <w:r>
        <w:rPr>
          <w:rFonts w:ascii="Arial" w:cs="Arial" w:eastAsia="Arial" w:hAnsi="Arial"/>
          <w:sz w:val="21"/>
          <w:szCs w:val="21"/>
          <w:color w:val="010000"/>
        </w:rPr>
        <w:t xml:space="preserve">1.3 </w:t>
      </w:r>
      <w:r>
        <w:rPr>
          <w:rFonts w:ascii="Arial" w:cs="Arial" w:eastAsia="Arial" w:hAnsi="Arial"/>
          <w:sz w:val="21"/>
          <w:szCs w:val="21"/>
          <w:u w:val="single" w:color="auto"/>
          <w:color w:val="000000"/>
        </w:rPr>
        <w:t>Time and Efforts</w:t>
      </w:r>
      <w:r>
        <w:rPr>
          <w:rFonts w:ascii="Arial" w:cs="Arial" w:eastAsia="Arial" w:hAnsi="Arial"/>
          <w:sz w:val="21"/>
          <w:szCs w:val="21"/>
          <w:color w:val="000000"/>
        </w:rPr>
        <w:t>. The Executive shall devote his full business time and provide his best efforts,</w:t>
      </w:r>
      <w:r>
        <w:rPr>
          <w:rFonts w:ascii="Arial" w:cs="Arial" w:eastAsia="Arial" w:hAnsi="Arial"/>
          <w:sz w:val="21"/>
          <w:szCs w:val="21"/>
          <w:color w:val="010000"/>
        </w:rPr>
        <w:t xml:space="preserve"> </w:t>
      </w:r>
      <w:r>
        <w:rPr>
          <w:rFonts w:ascii="Arial" w:cs="Arial" w:eastAsia="Arial" w:hAnsi="Arial"/>
          <w:sz w:val="21"/>
          <w:szCs w:val="21"/>
          <w:color w:val="000000"/>
        </w:rPr>
        <w:t>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 Company, and its subsidiaries and affiliates hereunder and such service is disclosed in advance by Executive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483870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342" w:right="339" w:bottom="1440" w:gutter="0" w:footer="0" w:header="0"/>
        </w:sectPr>
      </w:pPr>
    </w:p>
    <w:bookmarkStart w:id="189" w:name="page190"/>
    <w:bookmarkEnd w:id="189"/>
    <w:p>
      <w:pPr>
        <w:ind w:right="480" w:firstLine="787"/>
        <w:spacing w:after="0"/>
        <w:rPr>
          <w:sz w:val="20"/>
          <w:szCs w:val="20"/>
          <w:color w:val="auto"/>
        </w:rPr>
      </w:pPr>
      <w:r>
        <w:rPr>
          <w:rFonts w:ascii="Arial" w:cs="Arial" w:eastAsia="Arial" w:hAnsi="Arial"/>
          <w:sz w:val="22"/>
          <w:szCs w:val="22"/>
          <w:color w:val="auto"/>
        </w:rPr>
        <w:t>Executive further acknowledges that he owes the Company both a fiduciary duty and a duty of loyalty while employed during the employment period to act at all times in the best interests of the Company, and its subsidiaries and affiliates.</w:t>
      </w:r>
    </w:p>
    <w:p>
      <w:pPr>
        <w:spacing w:after="0" w:line="180" w:lineRule="exact"/>
        <w:rPr>
          <w:sz w:val="20"/>
          <w:szCs w:val="20"/>
          <w:color w:val="auto"/>
        </w:rPr>
      </w:pPr>
    </w:p>
    <w:p>
      <w:pPr>
        <w:ind w:left="820" w:hanging="817"/>
        <w:spacing w:after="0"/>
        <w:tabs>
          <w:tab w:leader="none" w:pos="820" w:val="left"/>
        </w:tabs>
        <w:numPr>
          <w:ilvl w:val="0"/>
          <w:numId w:val="228"/>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12" w:lineRule="exact"/>
        <w:rPr>
          <w:sz w:val="20"/>
          <w:szCs w:val="20"/>
          <w:color w:val="auto"/>
        </w:rPr>
      </w:pPr>
    </w:p>
    <w:p>
      <w:pPr>
        <w:ind w:right="800" w:firstLine="773"/>
        <w:spacing w:after="0" w:line="250" w:lineRule="auto"/>
        <w:rPr>
          <w:sz w:val="20"/>
          <w:szCs w:val="20"/>
          <w:color w:val="auto"/>
        </w:rPr>
      </w:pPr>
      <w:r>
        <w:rPr>
          <w:rFonts w:ascii="Arial" w:cs="Arial" w:eastAsia="Arial" w:hAnsi="Arial"/>
          <w:sz w:val="22"/>
          <w:szCs w:val="22"/>
          <w:color w:val="auto"/>
        </w:rPr>
        <w:t>As the total consideration for the Executive’s services rendered hereunder, Executive shall be entitled to the following:</w:t>
      </w:r>
    </w:p>
    <w:p>
      <w:pPr>
        <w:spacing w:after="0" w:line="175" w:lineRule="exact"/>
        <w:rPr>
          <w:sz w:val="20"/>
          <w:szCs w:val="20"/>
          <w:color w:val="auto"/>
        </w:rPr>
      </w:pPr>
    </w:p>
    <w:p>
      <w:pPr>
        <w:ind w:right="120" w:firstLine="802"/>
        <w:spacing w:after="0" w:line="236"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Base Salary</w:t>
      </w:r>
      <w:r>
        <w:rPr>
          <w:rFonts w:ascii="Arial" w:cs="Arial" w:eastAsia="Arial" w:hAnsi="Arial"/>
          <w:sz w:val="22"/>
          <w:szCs w:val="22"/>
          <w:color w:val="000000"/>
        </w:rPr>
        <w:t>. The Executive shall be paid an annual base salary of Three Hundred Thirty Seven</w:t>
      </w:r>
      <w:r>
        <w:rPr>
          <w:rFonts w:ascii="Arial" w:cs="Arial" w:eastAsia="Arial" w:hAnsi="Arial"/>
          <w:sz w:val="22"/>
          <w:szCs w:val="22"/>
          <w:color w:val="010000"/>
        </w:rPr>
        <w:t xml:space="preserve"> </w:t>
      </w:r>
      <w:r>
        <w:rPr>
          <w:rFonts w:ascii="Arial" w:cs="Arial" w:eastAsia="Arial" w:hAnsi="Arial"/>
          <w:sz w:val="22"/>
          <w:szCs w:val="22"/>
          <w:color w:val="000000"/>
        </w:rPr>
        <w:t>Thousand Four Hundred Twenty Eight Dollars ($337,428.00)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spacing w:after="0" w:line="18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u w:val="single" w:color="auto"/>
          <w:color w:val="auto"/>
        </w:rPr>
        <w:t>Bonus and Relocation Expenses</w:t>
      </w:r>
      <w:r>
        <w:rPr>
          <w:rFonts w:ascii="Arial" w:cs="Arial" w:eastAsia="Arial" w:hAnsi="Arial"/>
          <w:sz w:val="19"/>
          <w:szCs w:val="19"/>
          <w:color w:val="auto"/>
        </w:rPr>
        <w:t>.</w:t>
      </w:r>
    </w:p>
    <w:p>
      <w:pPr>
        <w:spacing w:after="0" w:line="206" w:lineRule="exact"/>
        <w:rPr>
          <w:sz w:val="20"/>
          <w:szCs w:val="20"/>
          <w:color w:val="auto"/>
        </w:rPr>
      </w:pPr>
    </w:p>
    <w:p>
      <w:pPr>
        <w:ind w:firstLine="809"/>
        <w:spacing w:after="0" w:line="246" w:lineRule="auto"/>
        <w:rPr>
          <w:sz w:val="20"/>
          <w:szCs w:val="20"/>
          <w:color w:val="auto"/>
        </w:rPr>
      </w:pPr>
      <w:r>
        <w:rPr>
          <w:rFonts w:ascii="Arial" w:cs="Arial" w:eastAsia="Arial" w:hAnsi="Arial"/>
          <w:sz w:val="21"/>
          <w:szCs w:val="21"/>
          <w:u w:val="single" w:color="auto"/>
          <w:color w:val="auto"/>
        </w:rPr>
        <w:t>Annual Performance Bonus</w:t>
      </w:r>
      <w:r>
        <w:rPr>
          <w:rFonts w:ascii="Arial" w:cs="Arial" w:eastAsia="Arial" w:hAnsi="Arial"/>
          <w:sz w:val="21"/>
          <w:szCs w:val="21"/>
          <w:color w:val="auto"/>
        </w:rPr>
        <w:t>. In addition to Base Salary, the Executive shall be eligible to receive an annual performance bonus (“Annual Bonus”) based upon the Executive’s performance for the preceding year as measured against certain performance targets as mutually established by the parties to this Agreement. The Annual Bonus, if earned, shall be paid on or around the March timeframe of the following year. The amount of the Annual Bonus shall be thirty percent (30%) of Executive’s Base Salary (“Target Bonus”). For the Annual Bonus to be deemed earned, and in order to be eligible and entitled to receive any Annual Bonus payment, the Executive must be employed by, and not have given notice of resignation to the Company, or have been given notice of termination by the Company.</w:t>
      </w:r>
    </w:p>
    <w:p>
      <w:pPr>
        <w:spacing w:after="0" w:line="184"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2"/>
          <w:szCs w:val="22"/>
          <w:color w:val="010000"/>
        </w:rPr>
        <w:t>2.3</w:t>
      </w:r>
      <w:r>
        <w:rPr>
          <w:sz w:val="20"/>
          <w:szCs w:val="20"/>
          <w:color w:val="auto"/>
        </w:rPr>
        <w:tab/>
      </w:r>
      <w:r>
        <w:rPr>
          <w:rFonts w:ascii="Arial" w:cs="Arial" w:eastAsia="Arial" w:hAnsi="Arial"/>
          <w:sz w:val="19"/>
          <w:szCs w:val="19"/>
          <w:u w:val="single" w:color="auto"/>
          <w:color w:val="auto"/>
        </w:rPr>
        <w:t>Equity</w:t>
      </w:r>
      <w:r>
        <w:rPr>
          <w:rFonts w:ascii="Arial" w:cs="Arial" w:eastAsia="Arial" w:hAnsi="Arial"/>
          <w:sz w:val="19"/>
          <w:szCs w:val="19"/>
          <w:color w:val="auto"/>
        </w:rPr>
        <w:t>. Executive shall be eligible for 120,799 options:</w:t>
      </w:r>
    </w:p>
    <w:p>
      <w:pPr>
        <w:spacing w:after="0" w:line="206" w:lineRule="exact"/>
        <w:rPr>
          <w:sz w:val="20"/>
          <w:szCs w:val="20"/>
          <w:color w:val="auto"/>
        </w:rPr>
      </w:pPr>
    </w:p>
    <w:p>
      <w:pPr>
        <w:ind w:left="2080" w:right="840" w:hanging="822"/>
        <w:spacing w:after="0" w:line="250" w:lineRule="auto"/>
        <w:tabs>
          <w:tab w:leader="none" w:pos="208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20,187 options vested based upon Executive achieving certain established metrics as agreed upon between Executive and the CEO;</w:t>
      </w:r>
    </w:p>
    <w:p>
      <w:pPr>
        <w:spacing w:after="0" w:line="174" w:lineRule="exact"/>
        <w:rPr>
          <w:rFonts w:ascii="Arial" w:cs="Arial" w:eastAsia="Arial" w:hAnsi="Arial"/>
          <w:sz w:val="22"/>
          <w:szCs w:val="22"/>
          <w:color w:val="auto"/>
        </w:rPr>
      </w:pPr>
    </w:p>
    <w:p>
      <w:pPr>
        <w:ind w:left="2100" w:hanging="842"/>
        <w:spacing w:after="0"/>
        <w:tabs>
          <w:tab w:leader="none" w:pos="210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15,000 immediately vested as of May 18, 2017;</w:t>
      </w:r>
    </w:p>
    <w:p>
      <w:pPr>
        <w:spacing w:after="0" w:line="192" w:lineRule="exact"/>
        <w:rPr>
          <w:rFonts w:ascii="Arial" w:cs="Arial" w:eastAsia="Arial" w:hAnsi="Arial"/>
          <w:sz w:val="22"/>
          <w:szCs w:val="22"/>
          <w:color w:val="auto"/>
        </w:rPr>
      </w:pPr>
    </w:p>
    <w:p>
      <w:pPr>
        <w:ind w:left="2080" w:hanging="822"/>
        <w:spacing w:after="0"/>
        <w:tabs>
          <w:tab w:leader="none" w:pos="208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85,612.50 options vested based on Executive’s continued employment as follows:</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10,000 options granted on May 18, 2017</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5,000 options granted on November 1, 2018</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30,212 options granted on November 30, 2018</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40,400 options granted on April 1, 2019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66040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460" w:top="631" w:right="639" w:bottom="1440" w:gutter="0" w:footer="0" w:header="0"/>
        </w:sectPr>
      </w:pPr>
    </w:p>
    <w:bookmarkStart w:id="190" w:name="page191"/>
    <w:bookmarkEnd w:id="190"/>
    <w:p>
      <w:pPr>
        <w:ind w:left="640"/>
        <w:spacing w:after="0"/>
        <w:rPr>
          <w:sz w:val="20"/>
          <w:szCs w:val="20"/>
          <w:color w:val="auto"/>
        </w:rPr>
      </w:pPr>
      <w:r>
        <w:rPr>
          <w:rFonts w:ascii="Arial" w:cs="Arial" w:eastAsia="Arial" w:hAnsi="Arial"/>
          <w:sz w:val="19"/>
          <w:szCs w:val="19"/>
          <w:color w:val="auto"/>
        </w:rPr>
        <w:t>Further information as to the terms of Executive’s equity grant are contained in the Share Option Agreement.</w:t>
      </w:r>
    </w:p>
    <w:p>
      <w:pPr>
        <w:spacing w:after="0" w:line="241" w:lineRule="exact"/>
        <w:rPr>
          <w:sz w:val="20"/>
          <w:szCs w:val="20"/>
          <w:color w:val="auto"/>
        </w:rPr>
      </w:pPr>
    </w:p>
    <w:p>
      <w:pPr>
        <w:ind w:left="20" w:right="420" w:firstLine="577"/>
        <w:spacing w:after="0" w:line="238" w:lineRule="auto"/>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u w:val="single" w:color="auto"/>
          <w:color w:val="000000"/>
        </w:rPr>
        <w:t>Business Expenses</w:t>
      </w:r>
      <w:r>
        <w:rPr>
          <w:rFonts w:ascii="Arial" w:cs="Arial" w:eastAsia="Arial" w:hAnsi="Arial"/>
          <w:sz w:val="22"/>
          <w:szCs w:val="22"/>
          <w:color w:val="000000"/>
        </w:rPr>
        <w:t>. During employment, the Executive is entitled to reimbursement for</w:t>
      </w:r>
      <w:r>
        <w:rPr>
          <w:rFonts w:ascii="Arial" w:cs="Arial" w:eastAsia="Arial" w:hAnsi="Arial"/>
          <w:sz w:val="22"/>
          <w:szCs w:val="22"/>
          <w:color w:val="010000"/>
        </w:rPr>
        <w:t xml:space="preserve"> </w:t>
      </w:r>
      <w:r>
        <w:rPr>
          <w:rFonts w:ascii="Arial" w:cs="Arial" w:eastAsia="Arial" w:hAnsi="Arial"/>
          <w:sz w:val="22"/>
          <w:szCs w:val="22"/>
          <w:color w:val="000000"/>
        </w:rPr>
        <w:t>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40" w:type="dxa"/>
            <w:vAlign w:val="bottom"/>
          </w:tcPr>
          <w:p>
            <w:pPr>
              <w:ind w:left="580"/>
              <w:spacing w:after="0"/>
              <w:rPr>
                <w:sz w:val="20"/>
                <w:szCs w:val="20"/>
                <w:color w:val="auto"/>
              </w:rPr>
            </w:pPr>
            <w:r>
              <w:rPr>
                <w:rFonts w:ascii="Arial" w:cs="Arial" w:eastAsia="Arial" w:hAnsi="Arial"/>
                <w:sz w:val="22"/>
                <w:szCs w:val="22"/>
                <w:color w:val="010000"/>
              </w:rPr>
              <w:t>2.5</w:t>
            </w:r>
          </w:p>
        </w:tc>
        <w:tc>
          <w:tcPr>
            <w:tcW w:w="8160" w:type="dxa"/>
            <w:vAlign w:val="bottom"/>
            <w:gridSpan w:val="3"/>
          </w:tcPr>
          <w:p>
            <w:pPr>
              <w:spacing w:after="0"/>
              <w:rPr>
                <w:sz w:val="20"/>
                <w:szCs w:val="20"/>
                <w:color w:val="auto"/>
              </w:rPr>
            </w:pPr>
            <w:r>
              <w:rPr>
                <w:rFonts w:ascii="Arial" w:cs="Arial" w:eastAsia="Arial" w:hAnsi="Arial"/>
                <w:sz w:val="22"/>
                <w:szCs w:val="22"/>
                <w:color w:val="auto"/>
                <w:w w:val="88"/>
              </w:rPr>
              <w:t>Fringe Benefits. The Executive shall be entitled to fringe benefits in accordance with the plans,</w:t>
            </w:r>
          </w:p>
        </w:tc>
      </w:tr>
      <w:tr>
        <w:trPr>
          <w:trHeight w:val="20"/>
        </w:trPr>
        <w:tc>
          <w:tcPr>
            <w:tcW w:w="2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73"/>
        </w:trPr>
        <w:tc>
          <w:tcPr>
            <w:tcW w:w="10400" w:type="dxa"/>
            <w:vAlign w:val="bottom"/>
            <w:gridSpan w:val="4"/>
          </w:tcPr>
          <w:p>
            <w:pPr>
              <w:spacing w:after="0"/>
              <w:rPr>
                <w:sz w:val="20"/>
                <w:szCs w:val="20"/>
                <w:color w:val="auto"/>
              </w:rPr>
            </w:pPr>
            <w:r>
              <w:rPr>
                <w:rFonts w:ascii="Arial" w:cs="Arial" w:eastAsia="Arial" w:hAnsi="Arial"/>
                <w:sz w:val="22"/>
                <w:szCs w:val="22"/>
                <w:color w:val="auto"/>
              </w:rPr>
              <w:t>practices, programs and policies as in effect with respect to other peer executives of the Company.</w:t>
            </w:r>
          </w:p>
        </w:tc>
      </w:tr>
      <w:tr>
        <w:trPr>
          <w:trHeight w:val="408"/>
        </w:trPr>
        <w:tc>
          <w:tcPr>
            <w:tcW w:w="2240" w:type="dxa"/>
            <w:vAlign w:val="bottom"/>
          </w:tcPr>
          <w:p>
            <w:pPr>
              <w:ind w:left="600"/>
              <w:spacing w:after="0"/>
              <w:rPr>
                <w:sz w:val="20"/>
                <w:szCs w:val="20"/>
                <w:color w:val="auto"/>
              </w:rPr>
            </w:pPr>
            <w:r>
              <w:rPr>
                <w:rFonts w:ascii="Arial" w:cs="Arial" w:eastAsia="Arial" w:hAnsi="Arial"/>
                <w:sz w:val="22"/>
                <w:szCs w:val="22"/>
                <w:color w:val="010000"/>
              </w:rPr>
              <w:t>2.6</w:t>
            </w:r>
          </w:p>
        </w:tc>
        <w:tc>
          <w:tcPr>
            <w:tcW w:w="8160" w:type="dxa"/>
            <w:vAlign w:val="bottom"/>
            <w:gridSpan w:val="3"/>
          </w:tcPr>
          <w:p>
            <w:pPr>
              <w:spacing w:after="0"/>
              <w:rPr>
                <w:sz w:val="20"/>
                <w:szCs w:val="20"/>
                <w:color w:val="auto"/>
              </w:rPr>
            </w:pPr>
            <w:r>
              <w:rPr>
                <w:rFonts w:ascii="Arial" w:cs="Arial" w:eastAsia="Arial" w:hAnsi="Arial"/>
                <w:sz w:val="22"/>
                <w:szCs w:val="22"/>
                <w:color w:val="auto"/>
                <w:w w:val="96"/>
              </w:rPr>
              <w:t>Vacation. The Executive shall be entitled each year to a vacation, during which time his</w:t>
            </w:r>
          </w:p>
        </w:tc>
      </w:tr>
      <w:tr>
        <w:trPr>
          <w:trHeight w:val="20"/>
        </w:trPr>
        <w:tc>
          <w:tcPr>
            <w:tcW w:w="2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6" w:lineRule="exact"/>
        <w:rPr>
          <w:sz w:val="20"/>
          <w:szCs w:val="20"/>
          <w:color w:val="auto"/>
        </w:rPr>
      </w:pPr>
    </w:p>
    <w:p>
      <w:pPr>
        <w:ind w:left="20" w:right="260"/>
        <w:spacing w:after="0" w:line="236" w:lineRule="auto"/>
        <w:rPr>
          <w:sz w:val="20"/>
          <w:szCs w:val="20"/>
          <w:color w:val="auto"/>
        </w:rPr>
      </w:pPr>
      <w:r>
        <w:rPr>
          <w:rFonts w:ascii="Arial" w:cs="Arial" w:eastAsia="Arial" w:hAnsi="Arial"/>
          <w:sz w:val="22"/>
          <w:szCs w:val="22"/>
          <w:color w:val="auto"/>
        </w:rPr>
        <w:t>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spacing w:after="0" w:line="187" w:lineRule="exact"/>
        <w:rPr>
          <w:sz w:val="20"/>
          <w:szCs w:val="20"/>
          <w:color w:val="auto"/>
        </w:rPr>
      </w:pPr>
    </w:p>
    <w:p>
      <w:pPr>
        <w:ind w:left="20" w:right="240" w:firstLine="596"/>
        <w:spacing w:after="0" w:line="250" w:lineRule="auto"/>
        <w:rPr>
          <w:sz w:val="20"/>
          <w:szCs w:val="20"/>
          <w:color w:val="auto"/>
        </w:rPr>
      </w:pPr>
      <w:r>
        <w:rPr>
          <w:rFonts w:ascii="Arial" w:cs="Arial" w:eastAsia="Arial" w:hAnsi="Arial"/>
          <w:sz w:val="22"/>
          <w:szCs w:val="22"/>
          <w:color w:val="010000"/>
        </w:rPr>
        <w:t xml:space="preserve">2.7 </w:t>
      </w:r>
      <w:r>
        <w:rPr>
          <w:rFonts w:ascii="Arial" w:cs="Arial" w:eastAsia="Arial" w:hAnsi="Arial"/>
          <w:sz w:val="22"/>
          <w:szCs w:val="22"/>
          <w:u w:val="single" w:color="auto"/>
          <w:color w:val="000000"/>
        </w:rPr>
        <w:t>Health Insurance and Benefits</w:t>
      </w:r>
      <w:r>
        <w:rPr>
          <w:rFonts w:ascii="Arial" w:cs="Arial" w:eastAsia="Arial" w:hAnsi="Arial"/>
          <w:sz w:val="22"/>
          <w:szCs w:val="22"/>
          <w:color w:val="000000"/>
        </w:rPr>
        <w:t>. The Executive shall be eligible to participate in the Company’s</w:t>
      </w:r>
      <w:r>
        <w:rPr>
          <w:rFonts w:ascii="Arial" w:cs="Arial" w:eastAsia="Arial" w:hAnsi="Arial"/>
          <w:sz w:val="22"/>
          <w:szCs w:val="22"/>
          <w:color w:val="010000"/>
        </w:rPr>
        <w:t xml:space="preserve"> </w:t>
      </w:r>
      <w:r>
        <w:rPr>
          <w:rFonts w:ascii="Arial" w:cs="Arial" w:eastAsia="Arial" w:hAnsi="Arial"/>
          <w:sz w:val="22"/>
          <w:szCs w:val="22"/>
          <w:color w:val="000000"/>
        </w:rPr>
        <w:t>health, dental and vision plans, as well as the Company’s 401k program.</w:t>
      </w:r>
    </w:p>
    <w:p>
      <w:pPr>
        <w:spacing w:after="0" w:line="169" w:lineRule="exact"/>
        <w:rPr>
          <w:sz w:val="20"/>
          <w:szCs w:val="20"/>
          <w:color w:val="auto"/>
        </w:rPr>
      </w:pPr>
    </w:p>
    <w:p>
      <w:pPr>
        <w:ind w:left="620" w:hanging="615"/>
        <w:spacing w:after="0"/>
        <w:tabs>
          <w:tab w:leader="none" w:pos="620" w:val="left"/>
        </w:tabs>
        <w:numPr>
          <w:ilvl w:val="0"/>
          <w:numId w:val="230"/>
        </w:numPr>
        <w:rPr>
          <w:rFonts w:ascii="Arial" w:cs="Arial" w:eastAsia="Arial" w:hAnsi="Arial"/>
          <w:sz w:val="22"/>
          <w:szCs w:val="22"/>
          <w:b w:val="1"/>
          <w:bCs w:val="1"/>
          <w:color w:val="010000"/>
        </w:rPr>
      </w:pPr>
      <w:r>
        <w:rPr>
          <w:rFonts w:ascii="Arial" w:cs="Arial" w:eastAsia="Arial" w:hAnsi="Arial"/>
          <w:sz w:val="22"/>
          <w:szCs w:val="22"/>
          <w:b w:val="1"/>
          <w:bCs w:val="1"/>
          <w:color w:val="auto"/>
        </w:rPr>
        <w:t>Term and Termination of Employment</w:t>
      </w:r>
    </w:p>
    <w:p>
      <w:pPr>
        <w:spacing w:after="0" w:line="212" w:lineRule="exact"/>
        <w:rPr>
          <w:sz w:val="20"/>
          <w:szCs w:val="20"/>
          <w:color w:val="auto"/>
        </w:rPr>
      </w:pPr>
    </w:p>
    <w:p>
      <w:pPr>
        <w:ind w:left="20" w:right="420" w:firstLine="594"/>
        <w:spacing w:after="0" w:line="236"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u w:val="single" w:color="auto"/>
          <w:color w:val="000000"/>
        </w:rPr>
        <w:t>At-Will Employment</w:t>
      </w:r>
      <w:r>
        <w:rPr>
          <w:rFonts w:ascii="Arial" w:cs="Arial" w:eastAsia="Arial" w:hAnsi="Arial"/>
          <w:sz w:val="22"/>
          <w:szCs w:val="22"/>
          <w:color w:val="000000"/>
        </w:rPr>
        <w:t>. The Company and the Executive hereby agree that the Executive’s</w:t>
      </w:r>
      <w:r>
        <w:rPr>
          <w:rFonts w:ascii="Arial" w:cs="Arial" w:eastAsia="Arial" w:hAnsi="Arial"/>
          <w:sz w:val="22"/>
          <w:szCs w:val="22"/>
          <w:color w:val="010000"/>
        </w:rPr>
        <w:t xml:space="preserve"> </w:t>
      </w:r>
      <w:r>
        <w:rPr>
          <w:rFonts w:ascii="Arial" w:cs="Arial" w:eastAsia="Arial" w:hAnsi="Arial"/>
          <w:sz w:val="22"/>
          <w:szCs w:val="22"/>
          <w:color w:val="000000"/>
        </w:rPr>
        <w:t>employment by 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500" w:type="dxa"/>
            <w:vAlign w:val="bottom"/>
          </w:tcPr>
          <w:p>
            <w:pPr>
              <w:jc w:val="right"/>
              <w:ind w:right="112"/>
              <w:spacing w:after="0"/>
              <w:rPr>
                <w:sz w:val="20"/>
                <w:szCs w:val="20"/>
                <w:color w:val="auto"/>
              </w:rPr>
            </w:pPr>
            <w:r>
              <w:rPr>
                <w:rFonts w:ascii="Arial" w:cs="Arial" w:eastAsia="Arial" w:hAnsi="Arial"/>
                <w:sz w:val="22"/>
                <w:szCs w:val="22"/>
                <w:color w:val="010000"/>
                <w:w w:val="84"/>
              </w:rPr>
              <w:t>3.2</w:t>
            </w:r>
          </w:p>
        </w:tc>
        <w:tc>
          <w:tcPr>
            <w:tcW w:w="32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Definitions.</w:t>
            </w:r>
          </w:p>
        </w:tc>
        <w:tc>
          <w:tcPr>
            <w:tcW w:w="7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80" w:type="dxa"/>
            <w:vAlign w:val="bottom"/>
            <w:vMerge w:val="restart"/>
          </w:tcPr>
          <w:p>
            <w:pPr>
              <w:ind w:left="580"/>
              <w:spacing w:after="0"/>
              <w:rPr>
                <w:sz w:val="20"/>
                <w:szCs w:val="20"/>
                <w:color w:val="auto"/>
              </w:rPr>
            </w:pPr>
            <w:r>
              <w:rPr>
                <w:rFonts w:ascii="Arial" w:cs="Arial" w:eastAsia="Arial" w:hAnsi="Arial"/>
                <w:sz w:val="22"/>
                <w:szCs w:val="22"/>
                <w:b w:val="1"/>
                <w:bCs w:val="1"/>
                <w:color w:val="auto"/>
                <w:w w:val="87"/>
              </w:rPr>
              <w:t>Cause</w:t>
            </w:r>
            <w:r>
              <w:rPr>
                <w:rFonts w:ascii="Arial" w:cs="Arial" w:eastAsia="Arial" w:hAnsi="Arial"/>
                <w:sz w:val="22"/>
                <w:szCs w:val="22"/>
                <w:color w:val="auto"/>
                <w:w w:val="87"/>
              </w:rPr>
              <w:t>. For purposes of this Agreement, “Cause” shall mean the occurrence of</w:t>
            </w:r>
          </w:p>
        </w:tc>
        <w:tc>
          <w:tcPr>
            <w:tcW w:w="0" w:type="dxa"/>
            <w:vAlign w:val="bottom"/>
          </w:tcPr>
          <w:p>
            <w:pPr>
              <w:spacing w:after="0" w:line="20" w:lineRule="exact"/>
              <w:rPr>
                <w:sz w:val="1"/>
                <w:szCs w:val="1"/>
                <w:color w:val="auto"/>
              </w:rPr>
            </w:pPr>
          </w:p>
        </w:tc>
      </w:tr>
      <w:tr>
        <w:trPr>
          <w:trHeight w:val="476"/>
        </w:trPr>
        <w:tc>
          <w:tcPr>
            <w:tcW w:w="500" w:type="dxa"/>
            <w:vAlign w:val="bottom"/>
          </w:tcPr>
          <w:p>
            <w:pPr>
              <w:spacing w:after="0"/>
              <w:rPr>
                <w:sz w:val="24"/>
                <w:szCs w:val="24"/>
                <w:color w:val="auto"/>
              </w:rPr>
            </w:pPr>
          </w:p>
        </w:tc>
        <w:tc>
          <w:tcPr>
            <w:tcW w:w="1940" w:type="dxa"/>
            <w:vAlign w:val="bottom"/>
            <w:gridSpan w:val="3"/>
          </w:tcPr>
          <w:p>
            <w:pPr>
              <w:ind w:left="240"/>
              <w:spacing w:after="0"/>
              <w:rPr>
                <w:sz w:val="20"/>
                <w:szCs w:val="20"/>
                <w:color w:val="auto"/>
              </w:rPr>
            </w:pPr>
            <w:r>
              <w:rPr>
                <w:rFonts w:ascii="Arial" w:cs="Arial" w:eastAsia="Arial" w:hAnsi="Arial"/>
                <w:sz w:val="22"/>
                <w:szCs w:val="22"/>
                <w:color w:val="010000"/>
              </w:rPr>
              <w:t>(a)</w:t>
            </w:r>
          </w:p>
        </w:tc>
        <w:tc>
          <w:tcPr>
            <w:tcW w:w="7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20" w:right="140"/>
        <w:spacing w:after="0" w:line="280" w:lineRule="auto"/>
        <w:rPr>
          <w:sz w:val="20"/>
          <w:szCs w:val="20"/>
          <w:color w:val="auto"/>
        </w:rPr>
      </w:pPr>
      <w:r>
        <w:rPr>
          <w:rFonts w:ascii="Arial" w:cs="Arial" w:eastAsia="Arial" w:hAnsi="Arial"/>
          <w:sz w:val="19"/>
          <w:szCs w:val="19"/>
          <w:color w:val="auto"/>
        </w:rPr>
        <w:t>one or more of the following: (i) conviction of, or a plea of guilty or nolo contendere to, a felony or crime involving moral turpitude; (ii) participation in an act of fraud or theft against the Company; (iii) willful and material breach of Section 4.1 of this Agreement; (iv) willful and repeated failure to satisfactorily perform job duties; or (v) any willful act that is likely to and which does in fact have the effect of injuring the reputation, business, or a business relationship of the Company.</w:t>
      </w:r>
    </w:p>
    <w:p>
      <w:pPr>
        <w:spacing w:after="0" w:line="144" w:lineRule="exact"/>
        <w:rPr>
          <w:sz w:val="20"/>
          <w:szCs w:val="20"/>
          <w:color w:val="auto"/>
        </w:rPr>
      </w:pPr>
    </w:p>
    <w:p>
      <w:pPr>
        <w:ind w:left="20" w:firstLine="1386"/>
        <w:spacing w:after="0" w:line="283"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b w:val="1"/>
          <w:bCs w:val="1"/>
          <w:color w:val="000000"/>
        </w:rPr>
        <w:t>Good Reason</w:t>
      </w:r>
      <w:r>
        <w:rPr>
          <w:rFonts w:ascii="Arial" w:cs="Arial" w:eastAsia="Arial" w:hAnsi="Arial"/>
          <w:sz w:val="19"/>
          <w:szCs w:val="19"/>
          <w:color w:val="000000"/>
        </w:rPr>
        <w:t>. For purposes of this Agreement, “Good Reason” shall mean: (i) a</w:t>
      </w:r>
      <w:r>
        <w:rPr>
          <w:rFonts w:ascii="Arial" w:cs="Arial" w:eastAsia="Arial" w:hAnsi="Arial"/>
          <w:sz w:val="19"/>
          <w:szCs w:val="19"/>
          <w:color w:val="010000"/>
        </w:rPr>
        <w:t xml:space="preserve"> </w:t>
      </w:r>
      <w:r>
        <w:rPr>
          <w:rFonts w:ascii="Arial" w:cs="Arial" w:eastAsia="Arial" w:hAnsi="Arial"/>
          <w:sz w:val="19"/>
          <w:szCs w:val="19"/>
          <w:color w:val="000000"/>
        </w:rPr>
        <w:t>material diminution in Executive’s authority, duties, 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(v) material reduction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66040</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660" w:top="631" w:right="619" w:bottom="1440" w:gutter="0" w:footer="0" w:header="0"/>
        </w:sectPr>
      </w:pPr>
    </w:p>
    <w:bookmarkStart w:id="191" w:name="page192"/>
    <w:bookmarkEnd w:id="191"/>
    <w:p>
      <w:pPr>
        <w:jc w:val="both"/>
        <w:ind w:left="3" w:right="300"/>
        <w:spacing w:after="0" w:line="236" w:lineRule="auto"/>
        <w:rPr>
          <w:sz w:val="20"/>
          <w:szCs w:val="20"/>
          <w:color w:val="auto"/>
        </w:rPr>
      </w:pPr>
      <w:r>
        <w:rPr>
          <w:rFonts w:ascii="Arial" w:cs="Arial" w:eastAsia="Arial" w:hAnsi="Arial"/>
          <w:sz w:val="22"/>
          <w:szCs w:val="22"/>
          <w:color w:val="auto"/>
        </w:rPr>
        <w:t>the Target Bonus for the then-current fiscal year before the end of the then-current fiscal year; or (vi) the occurrence of a Change in Control of the Company as defined in Section 3.2(c) below, provided, however, that the conduct described in the foregoing subsections (i) through</w:t>
      </w:r>
    </w:p>
    <w:p>
      <w:pPr>
        <w:spacing w:after="0" w:line="1" w:lineRule="exact"/>
        <w:rPr>
          <w:sz w:val="20"/>
          <w:szCs w:val="20"/>
          <w:color w:val="auto"/>
        </w:rPr>
      </w:pPr>
    </w:p>
    <w:p>
      <w:pPr>
        <w:ind w:left="3" w:right="340" w:hanging="3"/>
        <w:spacing w:after="0" w:line="234" w:lineRule="auto"/>
        <w:tabs>
          <w:tab w:leader="none" w:pos="36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will only constitute Good Reason if such conduct is not cured within thirty (30) days after the Company’s receipt of written notice from the Executive specifying the particulars of the conduct the Executive believes constitutes Good Reason.</w:t>
      </w:r>
    </w:p>
    <w:p>
      <w:pPr>
        <w:spacing w:after="0" w:line="181" w:lineRule="exact"/>
        <w:rPr>
          <w:sz w:val="20"/>
          <w:szCs w:val="20"/>
          <w:color w:val="auto"/>
        </w:rPr>
      </w:pPr>
    </w:p>
    <w:p>
      <w:pPr>
        <w:ind w:left="3" w:firstLine="1389"/>
        <w:spacing w:after="0" w:line="236"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b w:val="1"/>
          <w:bCs w:val="1"/>
          <w:color w:val="000000"/>
        </w:rPr>
        <w:t>Change in Control</w:t>
      </w:r>
      <w:r>
        <w:rPr>
          <w:rFonts w:ascii="Arial" w:cs="Arial" w:eastAsia="Arial" w:hAnsi="Arial"/>
          <w:sz w:val="22"/>
          <w:szCs w:val="22"/>
          <w:color w:val="000000"/>
        </w:rPr>
        <w:t>. For purposes of this Agreement, “Change in Control” shall</w:t>
      </w:r>
      <w:r>
        <w:rPr>
          <w:rFonts w:ascii="Arial" w:cs="Arial" w:eastAsia="Arial" w:hAnsi="Arial"/>
          <w:sz w:val="22"/>
          <w:szCs w:val="22"/>
          <w:color w:val="010000"/>
        </w:rPr>
        <w:t xml:space="preserve"> </w:t>
      </w:r>
      <w:r>
        <w:rPr>
          <w:rFonts w:ascii="Arial" w:cs="Arial" w:eastAsia="Arial" w:hAnsi="Arial"/>
          <w:sz w:val="22"/>
          <w:szCs w:val="22"/>
          <w:color w:val="000000"/>
        </w:rPr>
        <w:t>mean any of the following events occurring after the date of this Agreement: (i) a sale or transfer of all or substantially all of the assets of the Company; (ii) any merger, consolidation or acquisition of the Company with, by or into another corporation, entity or person; or (iii) any change in ownership of more than fifty percent (50%) of the voting capital stock of Company in one or more related transactions such as a buy out or exit of the Company (but excluding any change in stock listing).</w:t>
      </w:r>
    </w:p>
    <w:p>
      <w:pPr>
        <w:spacing w:after="0" w:line="158" w:lineRule="exact"/>
        <w:rPr>
          <w:sz w:val="20"/>
          <w:szCs w:val="20"/>
          <w:color w:val="auto"/>
        </w:rPr>
      </w:pPr>
    </w:p>
    <w:tbl>
      <w:tblPr>
        <w:tblLayout w:type="fixed"/>
        <w:tblInd w:w="623" w:type="dxa"/>
        <w:tblCellMar>
          <w:top w:w="0" w:type="dxa"/>
          <w:left w:w="0" w:type="dxa"/>
          <w:bottom w:w="0" w:type="dxa"/>
          <w:right w:w="0" w:type="dxa"/>
        </w:tblCellMar>
      </w:tblPr>
      <w:tr>
        <w:trPr>
          <w:trHeight w:val="253"/>
        </w:trPr>
        <w:tc>
          <w:tcPr>
            <w:tcW w:w="500" w:type="dxa"/>
            <w:vAlign w:val="bottom"/>
          </w:tcPr>
          <w:p>
            <w:pPr>
              <w:jc w:val="right"/>
              <w:ind w:right="112"/>
              <w:spacing w:after="0"/>
              <w:rPr>
                <w:sz w:val="20"/>
                <w:szCs w:val="20"/>
                <w:color w:val="auto"/>
              </w:rPr>
            </w:pPr>
            <w:r>
              <w:rPr>
                <w:rFonts w:ascii="Arial" w:cs="Arial" w:eastAsia="Arial" w:hAnsi="Arial"/>
                <w:sz w:val="22"/>
                <w:szCs w:val="22"/>
                <w:color w:val="010000"/>
                <w:w w:val="84"/>
              </w:rPr>
              <w:t>3.3</w:t>
            </w:r>
          </w:p>
        </w:tc>
        <w:tc>
          <w:tcPr>
            <w:tcW w:w="32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Arial" w:cs="Arial" w:eastAsia="Arial" w:hAnsi="Arial"/>
                <w:sz w:val="22"/>
                <w:szCs w:val="22"/>
                <w:color w:val="auto"/>
              </w:rPr>
              <w:t>Termination.</w:t>
            </w:r>
          </w:p>
        </w:tc>
        <w:tc>
          <w:tcPr>
            <w:tcW w:w="7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100" w:type="dxa"/>
            <w:vAlign w:val="bottom"/>
            <w:vMerge w:val="restart"/>
          </w:tcPr>
          <w:p>
            <w:pPr>
              <w:ind w:left="540"/>
              <w:spacing w:after="0"/>
              <w:rPr>
                <w:sz w:val="20"/>
                <w:szCs w:val="20"/>
                <w:color w:val="auto"/>
              </w:rPr>
            </w:pPr>
            <w:r>
              <w:rPr>
                <w:rFonts w:ascii="Arial" w:cs="Arial" w:eastAsia="Arial" w:hAnsi="Arial"/>
                <w:sz w:val="22"/>
                <w:szCs w:val="22"/>
                <w:b w:val="1"/>
                <w:bCs w:val="1"/>
                <w:color w:val="auto"/>
                <w:w w:val="86"/>
              </w:rPr>
              <w:t>Termination for Cause or Resignation without Good Reason</w:t>
            </w:r>
            <w:r>
              <w:rPr>
                <w:rFonts w:ascii="Arial" w:cs="Arial" w:eastAsia="Arial" w:hAnsi="Arial"/>
                <w:sz w:val="22"/>
                <w:szCs w:val="22"/>
                <w:color w:val="auto"/>
                <w:w w:val="86"/>
              </w:rPr>
              <w:t>. In the event</w:t>
            </w:r>
          </w:p>
        </w:tc>
        <w:tc>
          <w:tcPr>
            <w:tcW w:w="0" w:type="dxa"/>
            <w:vAlign w:val="bottom"/>
          </w:tcPr>
          <w:p>
            <w:pPr>
              <w:spacing w:after="0" w:line="20" w:lineRule="exact"/>
              <w:rPr>
                <w:sz w:val="1"/>
                <w:szCs w:val="1"/>
                <w:color w:val="auto"/>
              </w:rPr>
            </w:pPr>
          </w:p>
        </w:tc>
      </w:tr>
      <w:tr>
        <w:trPr>
          <w:trHeight w:val="476"/>
        </w:trPr>
        <w:tc>
          <w:tcPr>
            <w:tcW w:w="500" w:type="dxa"/>
            <w:vAlign w:val="bottom"/>
          </w:tcPr>
          <w:p>
            <w:pPr>
              <w:spacing w:after="0"/>
              <w:rPr>
                <w:sz w:val="24"/>
                <w:szCs w:val="24"/>
                <w:color w:val="auto"/>
              </w:rPr>
            </w:pPr>
          </w:p>
        </w:tc>
        <w:tc>
          <w:tcPr>
            <w:tcW w:w="1960" w:type="dxa"/>
            <w:vAlign w:val="bottom"/>
            <w:gridSpan w:val="3"/>
          </w:tcPr>
          <w:p>
            <w:pPr>
              <w:ind w:left="240"/>
              <w:spacing w:after="0"/>
              <w:rPr>
                <w:sz w:val="20"/>
                <w:szCs w:val="20"/>
                <w:color w:val="auto"/>
              </w:rPr>
            </w:pPr>
            <w:r>
              <w:rPr>
                <w:rFonts w:ascii="Arial" w:cs="Arial" w:eastAsia="Arial" w:hAnsi="Arial"/>
                <w:sz w:val="22"/>
                <w:szCs w:val="22"/>
                <w:color w:val="010000"/>
              </w:rPr>
              <w:t>(a)</w:t>
            </w:r>
          </w:p>
        </w:tc>
        <w:tc>
          <w:tcPr>
            <w:tcW w:w="7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3" w:right="320"/>
        <w:spacing w:after="0" w:line="280" w:lineRule="auto"/>
        <w:rPr>
          <w:sz w:val="20"/>
          <w:szCs w:val="20"/>
          <w:color w:val="auto"/>
        </w:rPr>
      </w:pPr>
      <w:r>
        <w:rPr>
          <w:rFonts w:ascii="Arial" w:cs="Arial" w:eastAsia="Arial" w:hAnsi="Arial"/>
          <w:sz w:val="19"/>
          <w:szCs w:val="19"/>
          <w:color w:val="auto"/>
        </w:rPr>
        <w:t>that the Company terminates the Executive’s employment for Cause or the Executive resigns his employment without Good Reason, this Agreement will terminate without further obligations to Executive other than the following: Executive shall be entitled to receive his unpaid base salary earned through his last day of employment, accrued but unused vacation pay, and vested benefits through and including Executive’s last day of employment.</w:t>
      </w:r>
    </w:p>
    <w:p>
      <w:pPr>
        <w:spacing w:after="0" w:line="144" w:lineRule="exact"/>
        <w:rPr>
          <w:sz w:val="20"/>
          <w:szCs w:val="20"/>
          <w:color w:val="auto"/>
        </w:rPr>
      </w:pPr>
    </w:p>
    <w:p>
      <w:pPr>
        <w:ind w:left="1383"/>
        <w:spacing w:after="0"/>
        <w:tabs>
          <w:tab w:leader="none" w:pos="3642" w:val="left"/>
        </w:tabs>
        <w:rPr>
          <w:sz w:val="20"/>
          <w:szCs w:val="20"/>
          <w:color w:val="auto"/>
        </w:rPr>
      </w:pPr>
      <w:r>
        <w:rPr>
          <w:rFonts w:ascii="Arial" w:cs="Arial" w:eastAsia="Arial" w:hAnsi="Arial"/>
          <w:sz w:val="19"/>
          <w:szCs w:val="19"/>
          <w:color w:val="010000"/>
        </w:rPr>
        <w:t>(b)</w:t>
      </w:r>
      <w:r>
        <w:rPr>
          <w:sz w:val="20"/>
          <w:szCs w:val="20"/>
          <w:color w:val="auto"/>
        </w:rPr>
        <w:tab/>
      </w:r>
      <w:r>
        <w:rPr>
          <w:rFonts w:ascii="Arial" w:cs="Arial" w:eastAsia="Arial" w:hAnsi="Arial"/>
          <w:sz w:val="19"/>
          <w:szCs w:val="19"/>
          <w:b w:val="1"/>
          <w:bCs w:val="1"/>
          <w:color w:val="auto"/>
        </w:rPr>
        <w:t>Involuntary Termination Without Cause or Resignation With Good Reason</w:t>
      </w:r>
      <w:r>
        <w:rPr>
          <w:rFonts w:ascii="Arial" w:cs="Arial" w:eastAsia="Arial" w:hAnsi="Arial"/>
          <w:sz w:val="19"/>
          <w:szCs w:val="19"/>
          <w:color w:val="auto"/>
        </w:rPr>
        <w:t>.</w:t>
      </w:r>
    </w:p>
    <w:p>
      <w:pPr>
        <w:spacing w:after="0" w:line="49" w:lineRule="exact"/>
        <w:rPr>
          <w:sz w:val="20"/>
          <w:szCs w:val="20"/>
          <w:color w:val="auto"/>
        </w:rPr>
      </w:pPr>
    </w:p>
    <w:p>
      <w:pPr>
        <w:ind w:left="3" w:right="60"/>
        <w:spacing w:after="0" w:line="233" w:lineRule="auto"/>
        <w:rPr>
          <w:sz w:val="20"/>
          <w:szCs w:val="20"/>
          <w:color w:val="auto"/>
        </w:rPr>
      </w:pPr>
      <w:r>
        <w:rPr>
          <w:rFonts w:ascii="Arial" w:cs="Arial" w:eastAsia="Arial" w:hAnsi="Arial"/>
          <w:sz w:val="22"/>
          <w:szCs w:val="22"/>
          <w:color w:val="auto"/>
        </w:rPr>
        <w:t>In the event of either an involuntary termination of the Executive’s employment by the Company Without Cause or a voluntary resignation by the Executive for Good Reason, in exchange for the Executive signing a separation and release of all claims agreement related solely to the Executive’s employment in a form acceptable to the Company, the Company shall provide the Executive with the following severance benefits in accordance with the timing set forth in Section 3.3(b)(iv) below:</w:t>
      </w:r>
    </w:p>
    <w:p>
      <w:pPr>
        <w:spacing w:after="0" w:line="185" w:lineRule="exact"/>
        <w:rPr>
          <w:sz w:val="20"/>
          <w:szCs w:val="20"/>
          <w:color w:val="auto"/>
        </w:rPr>
      </w:pPr>
    </w:p>
    <w:p>
      <w:pPr>
        <w:ind w:left="3123" w:right="180" w:hanging="826"/>
        <w:spacing w:after="0" w:line="238" w:lineRule="auto"/>
        <w:tabs>
          <w:tab w:leader="none" w:pos="3123" w:val="left"/>
        </w:tabs>
        <w:numPr>
          <w:ilvl w:val="0"/>
          <w:numId w:val="232"/>
        </w:numPr>
        <w:rPr>
          <w:rFonts w:ascii="Arial" w:cs="Arial" w:eastAsia="Arial" w:hAnsi="Arial"/>
          <w:sz w:val="22"/>
          <w:szCs w:val="22"/>
          <w:color w:val="010000"/>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the Executive the equivalent of six (6) months of the Executive’s annual base salary in effect at the time of the termination Without Cause or resignation with Good Reason in one lump sum payment, less standard deductions and withholdings.</w:t>
      </w:r>
    </w:p>
    <w:p>
      <w:pPr>
        <w:spacing w:after="0" w:line="184" w:lineRule="exact"/>
        <w:rPr>
          <w:rFonts w:ascii="Arial" w:cs="Arial" w:eastAsia="Arial" w:hAnsi="Arial"/>
          <w:sz w:val="22"/>
          <w:szCs w:val="22"/>
          <w:color w:val="010000"/>
        </w:rPr>
      </w:pPr>
    </w:p>
    <w:p>
      <w:pPr>
        <w:ind w:left="3123" w:right="220" w:hanging="826"/>
        <w:spacing w:after="0" w:line="249" w:lineRule="auto"/>
        <w:tabs>
          <w:tab w:leader="none" w:pos="3123" w:val="left"/>
        </w:tabs>
        <w:numPr>
          <w:ilvl w:val="0"/>
          <w:numId w:val="232"/>
        </w:numPr>
        <w:rPr>
          <w:rFonts w:ascii="Arial" w:cs="Arial" w:eastAsia="Arial" w:hAnsi="Arial"/>
          <w:sz w:val="21"/>
          <w:szCs w:val="21"/>
          <w:color w:val="010000"/>
        </w:rPr>
      </w:pPr>
      <w:r>
        <w:rPr>
          <w:rFonts w:ascii="Arial" w:cs="Arial" w:eastAsia="Arial" w:hAnsi="Arial"/>
          <w:sz w:val="21"/>
          <w:szCs w:val="21"/>
          <w:u w:val="single" w:color="auto"/>
          <w:color w:val="auto"/>
        </w:rPr>
        <w:t>Bonus</w:t>
      </w:r>
      <w:r>
        <w:rPr>
          <w:rFonts w:ascii="Arial" w:cs="Arial" w:eastAsia="Arial" w:hAnsi="Arial"/>
          <w:sz w:val="21"/>
          <w:szCs w:val="21"/>
          <w:color w:val="auto"/>
        </w:rPr>
        <w:t>: The Company shall pay the Executive a pro-rata portion of his Annual Bonus payment for the then current fiscal year. The pro-rata Annual Bonus calculation shall assume that the Executive attained 100% of the performance target established for the then current fiscal year and will be prorated for the time the Executive remained employed during the then current fiscal year.</w:t>
      </w:r>
    </w:p>
    <w:p>
      <w:pPr>
        <w:spacing w:after="0" w:line="178" w:lineRule="exact"/>
        <w:rPr>
          <w:rFonts w:ascii="Arial" w:cs="Arial" w:eastAsia="Arial" w:hAnsi="Arial"/>
          <w:sz w:val="21"/>
          <w:szCs w:val="21"/>
          <w:color w:val="010000"/>
        </w:rPr>
      </w:pPr>
    </w:p>
    <w:p>
      <w:pPr>
        <w:ind w:left="3123" w:right="260" w:hanging="826"/>
        <w:spacing w:after="0" w:line="250" w:lineRule="auto"/>
        <w:tabs>
          <w:tab w:leader="none" w:pos="3123" w:val="left"/>
        </w:tabs>
        <w:numPr>
          <w:ilvl w:val="0"/>
          <w:numId w:val="232"/>
        </w:numPr>
        <w:rPr>
          <w:rFonts w:ascii="Arial" w:cs="Arial" w:eastAsia="Arial" w:hAnsi="Arial"/>
          <w:sz w:val="22"/>
          <w:szCs w:val="22"/>
          <w:color w:val="010000"/>
        </w:rPr>
      </w:pPr>
      <w:r>
        <w:rPr>
          <w:rFonts w:ascii="Arial" w:cs="Arial" w:eastAsia="Arial" w:hAnsi="Arial"/>
          <w:sz w:val="22"/>
          <w:szCs w:val="22"/>
          <w:u w:val="single" w:color="auto"/>
          <w:color w:val="auto"/>
        </w:rPr>
        <w:t>Benefits Coverage</w:t>
      </w:r>
      <w:r>
        <w:rPr>
          <w:rFonts w:ascii="Arial" w:cs="Arial" w:eastAsia="Arial" w:hAnsi="Arial"/>
          <w:sz w:val="22"/>
          <w:szCs w:val="22"/>
          <w:color w:val="auto"/>
        </w:rPr>
        <w:t>. The Company shall continue to provide group health, vision, and dental plan benefits to the Executive for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7"/>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66040</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43"/>
          </w:cols>
          <w:pgMar w:left="677" w:top="631" w:right="579" w:bottom="1440" w:gutter="0" w:footer="0" w:header="0"/>
        </w:sectPr>
      </w:pPr>
    </w:p>
    <w:bookmarkStart w:id="192" w:name="page193"/>
    <w:bookmarkEnd w:id="192"/>
    <w:p>
      <w:pPr>
        <w:ind w:left="3160" w:right="360"/>
        <w:spacing w:after="0" w:line="328" w:lineRule="auto"/>
        <w:rPr>
          <w:sz w:val="20"/>
          <w:szCs w:val="20"/>
          <w:color w:val="auto"/>
        </w:rPr>
      </w:pPr>
      <w:r>
        <w:rPr>
          <w:rFonts w:ascii="Arial" w:cs="Arial" w:eastAsia="Arial" w:hAnsi="Arial"/>
          <w:sz w:val="19"/>
          <w:szCs w:val="19"/>
          <w:color w:val="auto"/>
        </w:rPr>
        <w:t>period of six (6) months from and after the date of termination, with the cost of all regular premiums for such benefits paid by the Company (or its successor).</w:t>
      </w:r>
    </w:p>
    <w:p>
      <w:pPr>
        <w:spacing w:after="0" w:line="105" w:lineRule="exact"/>
        <w:rPr>
          <w:sz w:val="20"/>
          <w:szCs w:val="20"/>
          <w:color w:val="auto"/>
        </w:rPr>
      </w:pPr>
    </w:p>
    <w:p>
      <w:pPr>
        <w:ind w:left="3140" w:right="240" w:hanging="826"/>
        <w:spacing w:after="0" w:line="279" w:lineRule="auto"/>
        <w:tabs>
          <w:tab w:leader="none" w:pos="3140" w:val="left"/>
        </w:tabs>
        <w:numPr>
          <w:ilvl w:val="0"/>
          <w:numId w:val="233"/>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either a period of one hundred eighty (180) days after such termination or resignation or for the period specified in the vesting schedule of the applicable stock agreement, whichever is longer.</w:t>
      </w:r>
    </w:p>
    <w:p>
      <w:pPr>
        <w:spacing w:after="0" w:line="150" w:lineRule="exact"/>
        <w:rPr>
          <w:rFonts w:ascii="Arial" w:cs="Arial" w:eastAsia="Arial" w:hAnsi="Arial"/>
          <w:sz w:val="19"/>
          <w:szCs w:val="19"/>
          <w:color w:val="010000"/>
        </w:rPr>
      </w:pPr>
    </w:p>
    <w:p>
      <w:pPr>
        <w:ind w:left="3140" w:right="80" w:hanging="826"/>
        <w:spacing w:after="0" w:line="239" w:lineRule="auto"/>
        <w:tabs>
          <w:tab w:leader="none" w:pos="3140" w:val="left"/>
        </w:tabs>
        <w:numPr>
          <w:ilvl w:val="0"/>
          <w:numId w:val="233"/>
        </w:numPr>
        <w:rPr>
          <w:rFonts w:ascii="Arial" w:cs="Arial" w:eastAsia="Arial" w:hAnsi="Arial"/>
          <w:sz w:val="22"/>
          <w:szCs w:val="22"/>
          <w:color w:val="010000"/>
        </w:rPr>
      </w:pPr>
      <w:r>
        <w:rPr>
          <w:rFonts w:ascii="Arial" w:cs="Arial" w:eastAsia="Arial" w:hAnsi="Arial"/>
          <w:sz w:val="22"/>
          <w:szCs w:val="22"/>
          <w:u w:val="single" w:color="auto"/>
          <w:color w:val="auto"/>
        </w:rPr>
        <w:t>Timing of Payments</w:t>
      </w:r>
      <w:r>
        <w:rPr>
          <w:rFonts w:ascii="Arial" w:cs="Arial" w:eastAsia="Arial" w:hAnsi="Arial"/>
          <w:sz w:val="22"/>
          <w:szCs w:val="22"/>
          <w:color w:val="auto"/>
        </w:rPr>
        <w:t>. The severance benefits in the above subsection 3.3(b)(i) shall be paid to Executive no later than fifteen</w:t>
      </w:r>
    </w:p>
    <w:p>
      <w:pPr>
        <w:ind w:left="3160" w:right="520" w:hanging="4"/>
        <w:spacing w:after="0" w:line="236" w:lineRule="auto"/>
        <w:tabs>
          <w:tab w:leader="none" w:pos="3574" w:val="left"/>
        </w:tabs>
        <w:numPr>
          <w:ilvl w:val="0"/>
          <w:numId w:val="234"/>
        </w:numPr>
        <w:rPr>
          <w:rFonts w:ascii="Arial" w:cs="Arial" w:eastAsia="Arial" w:hAnsi="Arial"/>
          <w:sz w:val="22"/>
          <w:szCs w:val="22"/>
          <w:color w:val="auto"/>
        </w:rPr>
      </w:pPr>
      <w:r>
        <w:rPr>
          <w:rFonts w:ascii="Arial" w:cs="Arial" w:eastAsia="Arial" w:hAnsi="Arial"/>
          <w:sz w:val="22"/>
          <w:szCs w:val="22"/>
          <w:color w:val="auto"/>
        </w:rPr>
        <w:t>days from the date the Executive signs the severance and release agreement and the revocation period, if any, has expired.</w:t>
      </w:r>
    </w:p>
    <w:p>
      <w:pPr>
        <w:spacing w:after="0" w:line="181" w:lineRule="exact"/>
        <w:rPr>
          <w:sz w:val="20"/>
          <w:szCs w:val="20"/>
          <w:color w:val="auto"/>
        </w:rPr>
      </w:pPr>
    </w:p>
    <w:p>
      <w:pPr>
        <w:ind w:left="1380"/>
        <w:spacing w:after="0"/>
        <w:tabs>
          <w:tab w:leader="none" w:pos="3640" w:val="left"/>
        </w:tabs>
        <w:rPr>
          <w:sz w:val="20"/>
          <w:szCs w:val="20"/>
          <w:color w:val="auto"/>
        </w:rPr>
      </w:pPr>
      <w:r>
        <w:rPr>
          <w:rFonts w:ascii="Arial" w:cs="Arial" w:eastAsia="Arial" w:hAnsi="Arial"/>
          <w:sz w:val="19"/>
          <w:szCs w:val="19"/>
          <w:color w:val="010000"/>
        </w:rPr>
        <w:t>(c)</w:t>
      </w:r>
      <w:r>
        <w:rPr>
          <w:sz w:val="20"/>
          <w:szCs w:val="20"/>
          <w:color w:val="auto"/>
        </w:rPr>
        <w:tab/>
      </w:r>
      <w:r>
        <w:rPr>
          <w:rFonts w:ascii="Arial" w:cs="Arial" w:eastAsia="Arial" w:hAnsi="Arial"/>
          <w:sz w:val="19"/>
          <w:szCs w:val="19"/>
          <w:b w:val="1"/>
          <w:bCs w:val="1"/>
          <w:color w:val="auto"/>
        </w:rPr>
        <w:t>Termination or Resignation In Connection With Change In Control</w:t>
      </w:r>
      <w:r>
        <w:rPr>
          <w:rFonts w:ascii="Arial" w:cs="Arial" w:eastAsia="Arial" w:hAnsi="Arial"/>
          <w:sz w:val="19"/>
          <w:szCs w:val="19"/>
          <w:color w:val="auto"/>
        </w:rPr>
        <w:t>. In the</w:t>
      </w:r>
    </w:p>
    <w:p>
      <w:pPr>
        <w:spacing w:after="0" w:line="49" w:lineRule="exact"/>
        <w:rPr>
          <w:sz w:val="20"/>
          <w:szCs w:val="20"/>
          <w:color w:val="auto"/>
        </w:rPr>
      </w:pPr>
    </w:p>
    <w:p>
      <w:pPr>
        <w:jc w:val="both"/>
        <w:ind w:left="20" w:right="340"/>
        <w:spacing w:after="0" w:line="234" w:lineRule="auto"/>
        <w:rPr>
          <w:sz w:val="20"/>
          <w:szCs w:val="20"/>
          <w:color w:val="auto"/>
        </w:rPr>
      </w:pPr>
      <w:r>
        <w:rPr>
          <w:rFonts w:ascii="Arial" w:cs="Arial" w:eastAsia="Arial" w:hAnsi="Arial"/>
          <w:sz w:val="22"/>
          <w:szCs w:val="22"/>
          <w:color w:val="auto"/>
        </w:rPr>
        <w:t>event Executive is terminated or resigns in connection with or within one (1) year following a Change in Control or for Good Reason as defined in 3.2(b) and 3.2(c), respectively, the Executive shall be entitled to all of the severance benefits set forth in Section 3.3(b) above.</w:t>
      </w:r>
    </w:p>
    <w:p>
      <w:pPr>
        <w:spacing w:after="0" w:line="181" w:lineRule="exact"/>
        <w:rPr>
          <w:sz w:val="20"/>
          <w:szCs w:val="20"/>
          <w:color w:val="auto"/>
        </w:rPr>
      </w:pPr>
    </w:p>
    <w:p>
      <w:pPr>
        <w:ind w:left="620" w:hanging="615"/>
        <w:spacing w:after="0"/>
        <w:tabs>
          <w:tab w:leader="none" w:pos="620" w:val="left"/>
        </w:tabs>
        <w:numPr>
          <w:ilvl w:val="0"/>
          <w:numId w:val="235"/>
        </w:numPr>
        <w:rPr>
          <w:rFonts w:ascii="Arial" w:cs="Arial" w:eastAsia="Arial" w:hAnsi="Arial"/>
          <w:sz w:val="22"/>
          <w:szCs w:val="22"/>
          <w:b w:val="1"/>
          <w:bCs w:val="1"/>
          <w:color w:val="010000"/>
        </w:rPr>
      </w:pPr>
      <w:r>
        <w:rPr>
          <w:rFonts w:ascii="Arial" w:cs="Arial" w:eastAsia="Arial" w:hAnsi="Arial"/>
          <w:sz w:val="22"/>
          <w:szCs w:val="22"/>
          <w:b w:val="1"/>
          <w:bCs w:val="1"/>
          <w:color w:val="auto"/>
        </w:rPr>
        <w:t>Proprietary Information</w:t>
      </w:r>
    </w:p>
    <w:p>
      <w:pPr>
        <w:spacing w:after="0" w:line="212" w:lineRule="exact"/>
        <w:rPr>
          <w:sz w:val="20"/>
          <w:szCs w:val="20"/>
          <w:color w:val="auto"/>
        </w:rPr>
      </w:pPr>
    </w:p>
    <w:p>
      <w:pPr>
        <w:ind w:left="20" w:right="160" w:firstLine="588"/>
        <w:spacing w:after="0" w:line="234" w:lineRule="auto"/>
        <w:rPr>
          <w:sz w:val="20"/>
          <w:szCs w:val="20"/>
          <w:color w:val="auto"/>
        </w:rPr>
      </w:pPr>
      <w:r>
        <w:rPr>
          <w:rFonts w:ascii="Arial" w:cs="Arial" w:eastAsia="Arial" w:hAnsi="Arial"/>
          <w:sz w:val="22"/>
          <w:szCs w:val="22"/>
          <w:color w:val="auto"/>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spacing w:after="0" w:line="191" w:lineRule="exact"/>
        <w:rPr>
          <w:sz w:val="20"/>
          <w:szCs w:val="20"/>
          <w:color w:val="auto"/>
        </w:rPr>
      </w:pPr>
    </w:p>
    <w:p>
      <w:pPr>
        <w:ind w:left="20" w:firstLine="593"/>
        <w:spacing w:after="0" w:line="245" w:lineRule="auto"/>
        <w:rPr>
          <w:sz w:val="20"/>
          <w:szCs w:val="20"/>
          <w:color w:val="auto"/>
        </w:rPr>
      </w:pPr>
      <w:r>
        <w:rPr>
          <w:rFonts w:ascii="Arial" w:cs="Arial" w:eastAsia="Arial" w:hAnsi="Arial"/>
          <w:sz w:val="21"/>
          <w:szCs w:val="21"/>
          <w:color w:val="010000"/>
        </w:rPr>
        <w:t xml:space="preserve">4.1 </w:t>
      </w:r>
      <w:r>
        <w:rPr>
          <w:rFonts w:ascii="Arial" w:cs="Arial" w:eastAsia="Arial" w:hAnsi="Arial"/>
          <w:sz w:val="21"/>
          <w:szCs w:val="21"/>
          <w:u w:val="single" w:color="auto"/>
          <w:color w:val="000000"/>
        </w:rPr>
        <w:t>Confidential Information</w:t>
      </w:r>
      <w:r>
        <w:rPr>
          <w:rFonts w:ascii="Arial" w:cs="Arial" w:eastAsia="Arial" w:hAnsi="Arial"/>
          <w:sz w:val="21"/>
          <w:szCs w:val="21"/>
          <w:color w:val="000000"/>
        </w:rPr>
        <w:t>. Both during the term of the Executive’s employment under this</w:t>
      </w:r>
      <w:r>
        <w:rPr>
          <w:rFonts w:ascii="Arial" w:cs="Arial" w:eastAsia="Arial" w:hAnsi="Arial"/>
          <w:sz w:val="21"/>
          <w:szCs w:val="21"/>
          <w:color w:val="010000"/>
        </w:rPr>
        <w:t xml:space="preserve"> </w:t>
      </w:r>
      <w:r>
        <w:rPr>
          <w:rFonts w:ascii="Arial" w:cs="Arial" w:eastAsia="Arial" w:hAnsi="Arial"/>
          <w:sz w:val="21"/>
          <w:szCs w:val="21"/>
          <w:color w:val="000000"/>
        </w:rPr>
        <w:t>Agreement and indefinitely after the Executive is no longer employed as Chief Technology Officer of the Company, the Executive shall not, directly or indirectly, (i) knowingly use for an improper personal benefit any “Confidential Information” that was acquired by, learned by or disclosed to Executive by reason of the Executive’s employment as Chief Technology Officer of the Company (before or after the date of this Agreement), or (ii) disclose any such Confidential Information to any person, business or entity, except in the proper course of the Executive’s duties as Chief Technology Officer,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66040</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660" w:top="631" w:right="619" w:bottom="1440" w:gutter="0" w:footer="0" w:header="0"/>
        </w:sectPr>
      </w:pPr>
    </w:p>
    <w:bookmarkStart w:id="193" w:name="page194"/>
    <w:bookmarkEnd w:id="193"/>
    <w:p>
      <w:pPr>
        <w:spacing w:after="0" w:line="270" w:lineRule="auto"/>
        <w:rPr>
          <w:sz w:val="20"/>
          <w:szCs w:val="20"/>
          <w:color w:val="auto"/>
        </w:rPr>
      </w:pPr>
      <w:r>
        <w:rPr>
          <w:rFonts w:ascii="Arial" w:cs="Arial" w:eastAsia="Arial" w:hAnsi="Arial"/>
          <w:sz w:val="19"/>
          <w:szCs w:val="19"/>
          <w:color w:val="auto"/>
        </w:rPr>
        <w:t>developmental, operating, performance, know-how, and process information, drawings and 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w:t>
      </w:r>
    </w:p>
    <w:p>
      <w:pPr>
        <w:spacing w:after="0" w:line="200" w:lineRule="exact"/>
        <w:rPr>
          <w:sz w:val="20"/>
          <w:szCs w:val="20"/>
          <w:color w:val="auto"/>
        </w:rPr>
      </w:pPr>
    </w:p>
    <w:p>
      <w:pPr>
        <w:spacing w:after="0" w:line="203" w:lineRule="exact"/>
        <w:rPr>
          <w:sz w:val="20"/>
          <w:szCs w:val="20"/>
          <w:color w:val="auto"/>
        </w:rPr>
      </w:pPr>
    </w:p>
    <w:p>
      <w:pPr>
        <w:ind w:left="100" w:right="60" w:firstLine="488"/>
        <w:spacing w:after="0" w:line="272"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Duty of Loyalty and Non-Competition</w:t>
      </w:r>
      <w:r>
        <w:rPr>
          <w:rFonts w:ascii="Arial" w:cs="Arial" w:eastAsia="Arial" w:hAnsi="Arial"/>
          <w:sz w:val="19"/>
          <w:szCs w:val="19"/>
          <w:color w:val="000000"/>
        </w:rPr>
        <w:t>. While employed by the Company, the Executive shall</w:t>
      </w:r>
      <w:r>
        <w:rPr>
          <w:rFonts w:ascii="Arial" w:cs="Arial" w:eastAsia="Arial" w:hAnsi="Arial"/>
          <w:sz w:val="19"/>
          <w:szCs w:val="19"/>
          <w:color w:val="010000"/>
        </w:rPr>
        <w:t xml:space="preserve"> </w:t>
      </w:r>
      <w:r>
        <w:rPr>
          <w:rFonts w:ascii="Arial" w:cs="Arial" w:eastAsia="Arial" w:hAnsi="Arial"/>
          <w:sz w:val="19"/>
          <w:szCs w:val="19"/>
          <w:color w:val="000000"/>
        </w:rPr>
        <w:t>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Chief Technology Officer of the Company for any reason, Executive shall not, either directly or indirectly, engage in any unlawful competitive activities or use confidential trade secret information for any purpose.</w:t>
      </w:r>
    </w:p>
    <w:p>
      <w:pPr>
        <w:spacing w:after="0" w:line="200" w:lineRule="exact"/>
        <w:rPr>
          <w:sz w:val="20"/>
          <w:szCs w:val="20"/>
          <w:color w:val="auto"/>
        </w:rPr>
      </w:pPr>
    </w:p>
    <w:p>
      <w:pPr>
        <w:spacing w:after="0" w:line="204" w:lineRule="exact"/>
        <w:rPr>
          <w:sz w:val="20"/>
          <w:szCs w:val="20"/>
          <w:color w:val="auto"/>
        </w:rPr>
      </w:pPr>
    </w:p>
    <w:p>
      <w:pPr>
        <w:ind w:left="100" w:right="100" w:firstLine="489"/>
        <w:spacing w:after="0" w:line="250" w:lineRule="auto"/>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Non-Solicitation</w:t>
      </w:r>
      <w:r>
        <w:rPr>
          <w:rFonts w:ascii="Arial" w:cs="Arial" w:eastAsia="Arial" w:hAnsi="Arial"/>
          <w:sz w:val="22"/>
          <w:szCs w:val="22"/>
          <w:color w:val="000000"/>
        </w:rPr>
        <w:t>. For a period beginning on the Effective Date and ending two (2) years after the</w:t>
      </w:r>
      <w:r>
        <w:rPr>
          <w:rFonts w:ascii="Arial" w:cs="Arial" w:eastAsia="Arial" w:hAnsi="Arial"/>
          <w:sz w:val="22"/>
          <w:szCs w:val="22"/>
          <w:color w:val="010000"/>
        </w:rPr>
        <w:t xml:space="preserve"> </w:t>
      </w:r>
      <w:r>
        <w:rPr>
          <w:rFonts w:ascii="Arial" w:cs="Arial" w:eastAsia="Arial" w:hAnsi="Arial"/>
          <w:sz w:val="22"/>
          <w:szCs w:val="22"/>
          <w:color w:val="000000"/>
        </w:rPr>
        <w:t>date on which the Executive is no longer employed as Chief Technology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66040</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60"/>
          </w:cols>
          <w:pgMar w:left="680" w:top="631" w:right="559" w:bottom="1440" w:gutter="0" w:footer="0" w:header="0"/>
        </w:sectPr>
      </w:pPr>
    </w:p>
    <w:bookmarkStart w:id="194" w:name="page195"/>
    <w:bookmarkEnd w:id="194"/>
    <w:p>
      <w:pPr>
        <w:ind w:right="160"/>
        <w:spacing w:after="0" w:line="271" w:lineRule="auto"/>
        <w:rPr>
          <w:sz w:val="20"/>
          <w:szCs w:val="20"/>
          <w:color w:val="auto"/>
        </w:rPr>
      </w:pPr>
      <w:r>
        <w:rPr>
          <w:rFonts w:ascii="Arial" w:cs="Arial" w:eastAsia="Arial" w:hAnsi="Arial"/>
          <w:sz w:val="19"/>
          <w:szCs w:val="19"/>
          <w:color w:val="auto"/>
        </w:rPr>
        <w:t>Officer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w:t>
      </w:r>
    </w:p>
    <w:p>
      <w:pPr>
        <w:spacing w:after="0" w:line="3" w:lineRule="exact"/>
        <w:rPr>
          <w:sz w:val="20"/>
          <w:szCs w:val="20"/>
          <w:color w:val="auto"/>
        </w:rPr>
      </w:pPr>
    </w:p>
    <w:p>
      <w:pPr>
        <w:ind w:right="280" w:firstLine="3"/>
        <w:spacing w:after="0" w:line="246" w:lineRule="auto"/>
        <w:tabs>
          <w:tab w:leader="none" w:pos="306" w:val="left"/>
        </w:tabs>
        <w:numPr>
          <w:ilvl w:val="0"/>
          <w:numId w:val="236"/>
        </w:numPr>
        <w:rPr>
          <w:rFonts w:ascii="Arial" w:cs="Arial" w:eastAsia="Arial" w:hAnsi="Arial"/>
          <w:sz w:val="21"/>
          <w:szCs w:val="21"/>
          <w:color w:val="auto"/>
        </w:rPr>
      </w:pPr>
      <w:r>
        <w:rPr>
          <w:rFonts w:ascii="Arial" w:cs="Arial" w:eastAsia="Arial" w:hAnsi="Arial"/>
          <w:sz w:val="21"/>
          <w:szCs w:val="21"/>
          <w:color w:val="auto"/>
        </w:rPr>
        <w:t>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spacing w:after="0" w:line="180" w:lineRule="exact"/>
        <w:rPr>
          <w:sz w:val="20"/>
          <w:szCs w:val="20"/>
          <w:color w:val="auto"/>
        </w:rPr>
      </w:pPr>
    </w:p>
    <w:p>
      <w:pPr>
        <w:ind w:right="100" w:firstLine="486"/>
        <w:spacing w:after="0" w:line="272"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Non-disparagement</w:t>
      </w:r>
      <w:r>
        <w:rPr>
          <w:rFonts w:ascii="Arial" w:cs="Arial" w:eastAsia="Arial" w:hAnsi="Arial"/>
          <w:sz w:val="19"/>
          <w:szCs w:val="19"/>
          <w:color w:val="000000"/>
        </w:rPr>
        <w:t>. The Executive agrees (whether during or after Executive’s employment as</w:t>
      </w:r>
      <w:r>
        <w:rPr>
          <w:rFonts w:ascii="Arial" w:cs="Arial" w:eastAsia="Arial" w:hAnsi="Arial"/>
          <w:sz w:val="19"/>
          <w:szCs w:val="19"/>
          <w:color w:val="010000"/>
        </w:rPr>
        <w:t xml:space="preserve"> </w:t>
      </w:r>
      <w:r>
        <w:rPr>
          <w:rFonts w:ascii="Arial" w:cs="Arial" w:eastAsia="Arial" w:hAnsi="Arial"/>
          <w:sz w:val="19"/>
          <w:szCs w:val="19"/>
          <w:color w:val="000000"/>
        </w:rPr>
        <w:t>Chief Technology Officer 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200" w:lineRule="exact"/>
        <w:rPr>
          <w:sz w:val="20"/>
          <w:szCs w:val="20"/>
          <w:color w:val="auto"/>
        </w:rPr>
      </w:pPr>
    </w:p>
    <w:p>
      <w:pPr>
        <w:spacing w:after="0" w:line="204" w:lineRule="exact"/>
        <w:rPr>
          <w:sz w:val="20"/>
          <w:szCs w:val="20"/>
          <w:color w:val="auto"/>
        </w:rPr>
      </w:pPr>
    </w:p>
    <w:p>
      <w:pPr>
        <w:ind w:right="400" w:firstLine="777"/>
        <w:spacing w:after="0" w:line="279" w:lineRule="auto"/>
        <w:rPr>
          <w:sz w:val="20"/>
          <w:szCs w:val="20"/>
          <w:color w:val="auto"/>
        </w:rPr>
      </w:pPr>
      <w:r>
        <w:rPr>
          <w:rFonts w:ascii="Arial" w:cs="Arial" w:eastAsia="Arial" w:hAnsi="Arial"/>
          <w:sz w:val="19"/>
          <w:szCs w:val="19"/>
          <w:color w:val="010000"/>
        </w:rPr>
        <w:t xml:space="preserve">4.5 </w:t>
      </w:r>
      <w:r>
        <w:rPr>
          <w:rFonts w:ascii="Arial" w:cs="Arial" w:eastAsia="Arial" w:hAnsi="Arial"/>
          <w:sz w:val="19"/>
          <w:szCs w:val="19"/>
          <w:u w:val="single" w:color="auto"/>
          <w:color w:val="000000"/>
        </w:rPr>
        <w:t>Return of Property</w:t>
      </w:r>
      <w:r>
        <w:rPr>
          <w:rFonts w:ascii="Arial" w:cs="Arial" w:eastAsia="Arial" w:hAnsi="Arial"/>
          <w:sz w:val="19"/>
          <w:szCs w:val="19"/>
          <w:color w:val="000000"/>
        </w:rPr>
        <w:t>. Upon termination of his employment as Chief Technology Officer of</w:t>
      </w:r>
      <w:r>
        <w:rPr>
          <w:rFonts w:ascii="Arial" w:cs="Arial" w:eastAsia="Arial" w:hAnsi="Arial"/>
          <w:sz w:val="19"/>
          <w:szCs w:val="19"/>
          <w:color w:val="010000"/>
        </w:rPr>
        <w:t xml:space="preserve"> </w:t>
      </w:r>
      <w:r>
        <w:rPr>
          <w:rFonts w:ascii="Arial" w:cs="Arial" w:eastAsia="Arial" w:hAnsi="Arial"/>
          <w:sz w:val="19"/>
          <w:szCs w:val="19"/>
          <w:color w:val="000000"/>
        </w:rPr>
        <w:t>the Company 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150" w:lineRule="exact"/>
        <w:rPr>
          <w:sz w:val="20"/>
          <w:szCs w:val="20"/>
          <w:color w:val="auto"/>
        </w:rPr>
      </w:pPr>
    </w:p>
    <w:p>
      <w:pPr>
        <w:ind w:firstLine="787"/>
        <w:spacing w:after="0" w:line="246" w:lineRule="auto"/>
        <w:rPr>
          <w:sz w:val="20"/>
          <w:szCs w:val="20"/>
          <w:color w:val="auto"/>
        </w:rPr>
      </w:pPr>
      <w:r>
        <w:rPr>
          <w:rFonts w:ascii="Arial" w:cs="Arial" w:eastAsia="Arial" w:hAnsi="Arial"/>
          <w:sz w:val="21"/>
          <w:szCs w:val="21"/>
          <w:color w:val="010000"/>
        </w:rPr>
        <w:t xml:space="preserve">4.6 </w:t>
      </w:r>
      <w:r>
        <w:rPr>
          <w:rFonts w:ascii="Arial" w:cs="Arial" w:eastAsia="Arial" w:hAnsi="Arial"/>
          <w:sz w:val="21"/>
          <w:szCs w:val="21"/>
          <w:u w:val="single" w:color="auto"/>
          <w:color w:val="000000"/>
        </w:rPr>
        <w:t>Remedies</w:t>
      </w:r>
      <w:r>
        <w:rPr>
          <w:rFonts w:ascii="Arial" w:cs="Arial" w:eastAsia="Arial" w:hAnsi="Arial"/>
          <w:sz w:val="21"/>
          <w:szCs w:val="21"/>
          <w:color w:val="000000"/>
        </w:rPr>
        <w:t>. The Executive acknowledges that (i) the Executive has had an opportunity to seek</w:t>
      </w:r>
      <w:r>
        <w:rPr>
          <w:rFonts w:ascii="Arial" w:cs="Arial" w:eastAsia="Arial" w:hAnsi="Arial"/>
          <w:sz w:val="21"/>
          <w:szCs w:val="21"/>
          <w:color w:val="010000"/>
        </w:rPr>
        <w:t xml:space="preserve"> </w:t>
      </w:r>
      <w:r>
        <w:rPr>
          <w:rFonts w:ascii="Arial" w:cs="Arial" w:eastAsia="Arial" w:hAnsi="Arial"/>
          <w:sz w:val="21"/>
          <w:szCs w:val="21"/>
          <w:color w:val="000000"/>
        </w:rPr>
        <w:t>the 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66040</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60"/>
          </w:cols>
          <w:pgMar w:left="780" w:top="631" w:right="559" w:bottom="1440" w:gutter="0" w:footer="0" w:header="0"/>
        </w:sectPr>
      </w:pPr>
    </w:p>
    <w:bookmarkStart w:id="195" w:name="page196"/>
    <w:bookmarkEnd w:id="195"/>
    <w:p>
      <w:pPr>
        <w:ind w:left="507" w:hanging="507"/>
        <w:spacing w:after="0"/>
        <w:tabs>
          <w:tab w:leader="none" w:pos="507" w:val="left"/>
        </w:tabs>
        <w:numPr>
          <w:ilvl w:val="0"/>
          <w:numId w:val="237"/>
        </w:numPr>
        <w:rPr>
          <w:rFonts w:ascii="Arial" w:cs="Arial" w:eastAsia="Arial" w:hAnsi="Arial"/>
          <w:sz w:val="22"/>
          <w:szCs w:val="22"/>
          <w:b w:val="1"/>
          <w:bCs w:val="1"/>
          <w:color w:val="010000"/>
        </w:rPr>
      </w:pPr>
      <w:r>
        <w:rPr>
          <w:rFonts w:ascii="Arial" w:cs="Arial" w:eastAsia="Arial" w:hAnsi="Arial"/>
          <w:sz w:val="22"/>
          <w:szCs w:val="22"/>
          <w:b w:val="1"/>
          <w:bCs w:val="1"/>
          <w:color w:val="auto"/>
        </w:rPr>
        <w:t>Assignment</w:t>
      </w:r>
    </w:p>
    <w:p>
      <w:pPr>
        <w:spacing w:after="0" w:line="212" w:lineRule="exact"/>
        <w:rPr>
          <w:sz w:val="20"/>
          <w:szCs w:val="20"/>
          <w:color w:val="auto"/>
        </w:rPr>
      </w:pPr>
    </w:p>
    <w:p>
      <w:pPr>
        <w:jc w:val="both"/>
        <w:ind w:left="107" w:right="320" w:firstLine="382"/>
        <w:spacing w:after="0" w:line="297" w:lineRule="auto"/>
        <w:rPr>
          <w:sz w:val="20"/>
          <w:szCs w:val="20"/>
          <w:color w:val="auto"/>
        </w:rPr>
      </w:pPr>
      <w:r>
        <w:rPr>
          <w:rFonts w:ascii="Arial" w:cs="Arial" w:eastAsia="Arial" w:hAnsi="Arial"/>
          <w:sz w:val="19"/>
          <w:szCs w:val="19"/>
          <w:color w:val="auto"/>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spacing w:after="0" w:line="128" w:lineRule="exact"/>
        <w:rPr>
          <w:sz w:val="20"/>
          <w:szCs w:val="20"/>
          <w:color w:val="auto"/>
        </w:rPr>
      </w:pPr>
    </w:p>
    <w:p>
      <w:pPr>
        <w:ind w:left="507" w:hanging="507"/>
        <w:spacing w:after="0"/>
        <w:tabs>
          <w:tab w:leader="none" w:pos="507" w:val="left"/>
        </w:tabs>
        <w:numPr>
          <w:ilvl w:val="0"/>
          <w:numId w:val="238"/>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left="107" w:right="140" w:firstLine="381"/>
        <w:spacing w:after="0" w:line="297" w:lineRule="auto"/>
        <w:rPr>
          <w:sz w:val="20"/>
          <w:szCs w:val="20"/>
          <w:color w:val="auto"/>
        </w:rPr>
      </w:pPr>
      <w:r>
        <w:rPr>
          <w:rFonts w:ascii="Arial" w:cs="Arial" w:eastAsia="Arial" w:hAnsi="Arial"/>
          <w:sz w:val="19"/>
          <w:szCs w:val="19"/>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28" w:lineRule="exact"/>
        <w:rPr>
          <w:sz w:val="20"/>
          <w:szCs w:val="20"/>
          <w:color w:val="auto"/>
        </w:rPr>
      </w:pPr>
    </w:p>
    <w:p>
      <w:pPr>
        <w:ind w:left="507" w:hanging="507"/>
        <w:spacing w:after="0"/>
        <w:tabs>
          <w:tab w:leader="none" w:pos="507" w:val="left"/>
        </w:tabs>
        <w:numPr>
          <w:ilvl w:val="0"/>
          <w:numId w:val="239"/>
        </w:numPr>
        <w:rPr>
          <w:rFonts w:ascii="Arial" w:cs="Arial" w:eastAsia="Arial" w:hAnsi="Arial"/>
          <w:sz w:val="22"/>
          <w:szCs w:val="22"/>
          <w:b w:val="1"/>
          <w:bCs w:val="1"/>
          <w:color w:val="010000"/>
        </w:rPr>
      </w:pPr>
      <w:r>
        <w:rPr>
          <w:rFonts w:ascii="Arial" w:cs="Arial" w:eastAsia="Arial" w:hAnsi="Arial"/>
          <w:sz w:val="22"/>
          <w:szCs w:val="22"/>
          <w:b w:val="1"/>
          <w:bCs w:val="1"/>
          <w:color w:val="auto"/>
        </w:rPr>
        <w:t>Binding Arbitration</w:t>
      </w:r>
    </w:p>
    <w:p>
      <w:pPr>
        <w:spacing w:after="0" w:line="212" w:lineRule="exact"/>
        <w:rPr>
          <w:sz w:val="20"/>
          <w:szCs w:val="20"/>
          <w:color w:val="auto"/>
        </w:rPr>
      </w:pPr>
    </w:p>
    <w:p>
      <w:pPr>
        <w:ind w:left="107" w:right="20" w:firstLine="390"/>
        <w:spacing w:after="0" w:line="275" w:lineRule="auto"/>
        <w:rPr>
          <w:sz w:val="20"/>
          <w:szCs w:val="20"/>
          <w:color w:val="auto"/>
        </w:rPr>
      </w:pPr>
      <w:r>
        <w:rPr>
          <w:rFonts w:ascii="Arial" w:cs="Arial" w:eastAsia="Arial" w:hAnsi="Arial"/>
          <w:sz w:val="19"/>
          <w:szCs w:val="19"/>
          <w:color w:val="auto"/>
        </w:rPr>
        <w:t>Any and all disputes which involve or relate in any way to this Agreement and/or to Executive’s employment or termination of employment as Chief Technology Officer of the Company, whether initiated by Executive or by the Company and whether based on contract, tort, statute, or common law, shall be submitted to and resolved by final and binding arbitration as the exclusive method for resolving all such disputes. The arbitration shall be private and confidential and conducted in Los Angeles, California pursuant to the Federal Arbitration Act and applicable California law, and pursuant to the applicable rules of the American Arbitration Association (“AAA”) relating to employment disputes, unless the parties otherwise mutually agree to modify the AAA Rules. A copy of the AAA Employment Rules are available for review at www.adr.org/employment and are incorporated herein by reference.</w:t>
      </w:r>
    </w:p>
    <w:p>
      <w:pPr>
        <w:spacing w:after="0" w:line="157" w:lineRule="exact"/>
        <w:rPr>
          <w:sz w:val="20"/>
          <w:szCs w:val="20"/>
          <w:color w:val="auto"/>
        </w:rPr>
      </w:pPr>
    </w:p>
    <w:p>
      <w:pPr>
        <w:ind w:left="107" w:firstLine="485"/>
        <w:spacing w:after="0" w:line="274" w:lineRule="auto"/>
        <w:rPr>
          <w:sz w:val="20"/>
          <w:szCs w:val="20"/>
          <w:color w:val="auto"/>
        </w:rPr>
      </w:pPr>
      <w:r>
        <w:rPr>
          <w:rFonts w:ascii="Arial" w:cs="Arial" w:eastAsia="Arial" w:hAnsi="Arial"/>
          <w:sz w:val="19"/>
          <w:szCs w:val="19"/>
          <w:color w:val="auto"/>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 parties shall have the right to reasonable discovery. The parties agree 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w:t>
      </w:r>
    </w:p>
    <w:p>
      <w:pPr>
        <w:spacing w:after="0" w:line="158" w:lineRule="exact"/>
        <w:rPr>
          <w:sz w:val="20"/>
          <w:szCs w:val="20"/>
          <w:color w:val="auto"/>
        </w:rPr>
      </w:pPr>
    </w:p>
    <w:p>
      <w:pPr>
        <w:ind w:left="107" w:right="20" w:firstLine="677"/>
        <w:spacing w:after="0" w:line="249" w:lineRule="auto"/>
        <w:rPr>
          <w:sz w:val="20"/>
          <w:szCs w:val="20"/>
          <w:color w:val="auto"/>
        </w:rPr>
      </w:pPr>
      <w:r>
        <w:rPr>
          <w:rFonts w:ascii="Arial" w:cs="Arial" w:eastAsia="Arial" w:hAnsi="Arial"/>
          <w:sz w:val="21"/>
          <w:szCs w:val="21"/>
          <w:color w:val="auto"/>
        </w:rPr>
        <w:t>The arbitrator may award, if properly proven, any damages or remedy that a party could recover in a civil litigation and shall award costs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 Judgment upon the award of the arbitrator may be entered in any state or federal court sitting in Los Angeles, California.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3"/>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66040</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67"/>
          </w:cols>
          <w:pgMar w:left="773" w:top="625" w:right="659" w:bottom="1440" w:gutter="0" w:footer="0" w:header="0"/>
        </w:sectPr>
      </w:pPr>
    </w:p>
    <w:bookmarkStart w:id="196" w:name="page197"/>
    <w:bookmarkEnd w:id="196"/>
    <w:p>
      <w:pPr>
        <w:ind w:firstLine="390"/>
        <w:spacing w:after="0" w:line="275" w:lineRule="auto"/>
        <w:rPr>
          <w:sz w:val="20"/>
          <w:szCs w:val="20"/>
          <w:color w:val="auto"/>
        </w:rPr>
      </w:pPr>
      <w:r>
        <w:rPr>
          <w:rFonts w:ascii="Arial" w:cs="Arial" w:eastAsia="Arial" w:hAnsi="Arial"/>
          <w:sz w:val="19"/>
          <w:szCs w:val="19"/>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57" w:lineRule="exact"/>
        <w:rPr>
          <w:sz w:val="20"/>
          <w:szCs w:val="20"/>
          <w:color w:val="auto"/>
        </w:rPr>
      </w:pPr>
    </w:p>
    <w:p>
      <w:pPr>
        <w:ind w:right="180" w:firstLine="384"/>
        <w:spacing w:after="0" w:line="246" w:lineRule="auto"/>
        <w:rPr>
          <w:sz w:val="20"/>
          <w:szCs w:val="20"/>
          <w:color w:val="auto"/>
        </w:rPr>
      </w:pPr>
      <w:r>
        <w:rPr>
          <w:rFonts w:ascii="Arial" w:cs="Arial" w:eastAsia="Arial" w:hAnsi="Arial"/>
          <w:sz w:val="21"/>
          <w:szCs w:val="21"/>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74" w:lineRule="exact"/>
        <w:rPr>
          <w:sz w:val="20"/>
          <w:szCs w:val="20"/>
          <w:color w:val="auto"/>
        </w:rPr>
      </w:pPr>
    </w:p>
    <w:p>
      <w:pPr>
        <w:ind w:left="420" w:hanging="419"/>
        <w:spacing w:after="0"/>
        <w:tabs>
          <w:tab w:leader="none" w:pos="420" w:val="left"/>
        </w:tabs>
        <w:numPr>
          <w:ilvl w:val="0"/>
          <w:numId w:val="240"/>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right="220" w:firstLine="386"/>
        <w:spacing w:after="0" w:line="238" w:lineRule="auto"/>
        <w:rPr>
          <w:sz w:val="20"/>
          <w:szCs w:val="20"/>
          <w:color w:val="auto"/>
        </w:rPr>
      </w:pPr>
      <w:r>
        <w:rPr>
          <w:rFonts w:ascii="Arial" w:cs="Arial" w:eastAsia="Arial" w:hAnsi="Arial"/>
          <w:sz w:val="22"/>
          <w:szCs w:val="22"/>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179" w:lineRule="exact"/>
        <w:rPr>
          <w:sz w:val="20"/>
          <w:szCs w:val="20"/>
          <w:color w:val="auto"/>
        </w:rPr>
      </w:pPr>
    </w:p>
    <w:p>
      <w:pPr>
        <w:ind w:left="420" w:hanging="419"/>
        <w:spacing w:after="0"/>
        <w:tabs>
          <w:tab w:leader="none" w:pos="420" w:val="left"/>
        </w:tabs>
        <w:numPr>
          <w:ilvl w:val="0"/>
          <w:numId w:val="241"/>
        </w:numPr>
        <w:rPr>
          <w:rFonts w:ascii="Arial" w:cs="Arial" w:eastAsia="Arial" w:hAnsi="Arial"/>
          <w:sz w:val="22"/>
          <w:szCs w:val="22"/>
          <w:b w:val="1"/>
          <w:bCs w:val="1"/>
          <w:color w:val="010000"/>
        </w:rPr>
      </w:pPr>
      <w:r>
        <w:rPr>
          <w:rFonts w:ascii="Arial" w:cs="Arial" w:eastAsia="Arial" w:hAnsi="Arial"/>
          <w:sz w:val="22"/>
          <w:szCs w:val="22"/>
          <w:b w:val="1"/>
          <w:bCs w:val="1"/>
          <w:color w:val="auto"/>
        </w:rPr>
        <w:t>Notice</w:t>
      </w:r>
    </w:p>
    <w:p>
      <w:pPr>
        <w:spacing w:after="0" w:line="212" w:lineRule="exact"/>
        <w:rPr>
          <w:sz w:val="20"/>
          <w:szCs w:val="20"/>
          <w:color w:val="auto"/>
        </w:rPr>
      </w:pPr>
    </w:p>
    <w:p>
      <w:pPr>
        <w:ind w:right="780" w:firstLine="371"/>
        <w:spacing w:after="0" w:line="238" w:lineRule="auto"/>
        <w:rPr>
          <w:sz w:val="20"/>
          <w:szCs w:val="20"/>
          <w:color w:val="auto"/>
        </w:rPr>
      </w:pPr>
      <w:r>
        <w:rPr>
          <w:rFonts w:ascii="Arial" w:cs="Arial" w:eastAsia="Arial" w:hAnsi="Arial"/>
          <w:sz w:val="22"/>
          <w:szCs w:val="22"/>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the Company:</w:t>
      </w:r>
    </w:p>
    <w:p>
      <w:pPr>
        <w:ind w:left="1260"/>
        <w:spacing w:after="0" w:line="238" w:lineRule="auto"/>
        <w:rPr>
          <w:sz w:val="20"/>
          <w:szCs w:val="20"/>
          <w:color w:val="auto"/>
        </w:rPr>
      </w:pPr>
      <w:r>
        <w:rPr>
          <w:rFonts w:ascii="Arial" w:cs="Arial" w:eastAsia="Arial" w:hAnsi="Arial"/>
          <w:sz w:val="22"/>
          <w:szCs w:val="22"/>
          <w:color w:val="auto"/>
        </w:rPr>
        <w:t>Avita Medical Americas, LLC 28159</w:t>
      </w:r>
    </w:p>
    <w:p>
      <w:pPr>
        <w:ind w:left="1260"/>
        <w:spacing w:after="0" w:line="230" w:lineRule="auto"/>
        <w:rPr>
          <w:sz w:val="20"/>
          <w:szCs w:val="20"/>
          <w:color w:val="auto"/>
        </w:rPr>
      </w:pPr>
      <w:r>
        <w:rPr>
          <w:rFonts w:ascii="Arial" w:cs="Arial" w:eastAsia="Arial" w:hAnsi="Arial"/>
          <w:sz w:val="22"/>
          <w:szCs w:val="22"/>
          <w:color w:val="auto"/>
        </w:rPr>
        <w:t>Avenue Stanford</w:t>
      </w:r>
    </w:p>
    <w:p>
      <w:pPr>
        <w:ind w:left="1260"/>
        <w:spacing w:after="0" w:line="231" w:lineRule="auto"/>
        <w:rPr>
          <w:sz w:val="20"/>
          <w:szCs w:val="20"/>
          <w:color w:val="auto"/>
        </w:rPr>
      </w:pPr>
      <w:r>
        <w:rPr>
          <w:rFonts w:ascii="Arial" w:cs="Arial" w:eastAsia="Arial" w:hAnsi="Arial"/>
          <w:sz w:val="22"/>
          <w:szCs w:val="22"/>
          <w:color w:val="auto"/>
        </w:rPr>
        <w:t>Suite 220</w:t>
      </w:r>
    </w:p>
    <w:p>
      <w:pPr>
        <w:ind w:left="1260"/>
        <w:spacing w:after="0"/>
        <w:rPr>
          <w:sz w:val="20"/>
          <w:szCs w:val="20"/>
          <w:color w:val="auto"/>
        </w:rPr>
      </w:pPr>
      <w:r>
        <w:rPr>
          <w:rFonts w:ascii="Arial" w:cs="Arial" w:eastAsia="Arial" w:hAnsi="Arial"/>
          <w:sz w:val="22"/>
          <w:szCs w:val="22"/>
          <w:color w:val="auto"/>
        </w:rPr>
        <w:t>Valencia, CA 91355</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Executive:</w:t>
      </w:r>
    </w:p>
    <w:p>
      <w:pPr>
        <w:ind w:left="1260"/>
        <w:spacing w:after="0" w:line="238" w:lineRule="auto"/>
        <w:rPr>
          <w:sz w:val="20"/>
          <w:szCs w:val="20"/>
          <w:color w:val="auto"/>
        </w:rPr>
      </w:pPr>
      <w:r>
        <w:rPr>
          <w:rFonts w:ascii="Arial" w:cs="Arial" w:eastAsia="Arial" w:hAnsi="Arial"/>
          <w:sz w:val="22"/>
          <w:szCs w:val="22"/>
          <w:color w:val="auto"/>
        </w:rPr>
        <w:t>Andrew Quick</w:t>
      </w:r>
    </w:p>
    <w:p>
      <w:pPr>
        <w:ind w:left="1260"/>
        <w:spacing w:after="0"/>
        <w:rPr>
          <w:sz w:val="20"/>
          <w:szCs w:val="20"/>
          <w:color w:val="auto"/>
        </w:rPr>
      </w:pPr>
      <w:r>
        <w:rPr>
          <w:rFonts w:ascii="Arial" w:cs="Arial" w:eastAsia="Arial" w:hAnsi="Arial"/>
          <w:sz w:val="22"/>
          <w:szCs w:val="22"/>
          <w:color w:val="auto"/>
        </w:rPr>
        <w:t>At current home address on file with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66040</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880" w:top="631" w:right="639" w:bottom="1440" w:gutter="0" w:footer="0" w:header="0"/>
        </w:sectPr>
      </w:pPr>
    </w:p>
    <w:bookmarkStart w:id="197" w:name="page198"/>
    <w:bookmarkEnd w:id="197"/>
    <w:p>
      <w:pPr>
        <w:ind w:left="420" w:hanging="419"/>
        <w:spacing w:after="0"/>
        <w:tabs>
          <w:tab w:leader="none" w:pos="420" w:val="left"/>
        </w:tabs>
        <w:numPr>
          <w:ilvl w:val="0"/>
          <w:numId w:val="242"/>
        </w:numPr>
        <w:rPr>
          <w:rFonts w:ascii="Arial" w:cs="Arial" w:eastAsia="Arial" w:hAnsi="Arial"/>
          <w:sz w:val="22"/>
          <w:szCs w:val="22"/>
          <w:b w:val="1"/>
          <w:bCs w:val="1"/>
          <w:color w:val="010000"/>
        </w:rPr>
      </w:pPr>
      <w:r>
        <w:rPr>
          <w:rFonts w:ascii="Arial" w:cs="Arial" w:eastAsia="Arial" w:hAnsi="Arial"/>
          <w:sz w:val="22"/>
          <w:szCs w:val="22"/>
          <w:b w:val="1"/>
          <w:bCs w:val="1"/>
          <w:color w:val="auto"/>
        </w:rPr>
        <w:t>Miscellaneous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jc w:val="right"/>
              <w:ind w:right="1952"/>
              <w:spacing w:after="0"/>
              <w:rPr>
                <w:sz w:val="20"/>
                <w:szCs w:val="20"/>
                <w:color w:val="auto"/>
              </w:rPr>
            </w:pPr>
            <w:r>
              <w:rPr>
                <w:rFonts w:ascii="Arial" w:cs="Arial" w:eastAsia="Arial" w:hAnsi="Arial"/>
                <w:sz w:val="22"/>
                <w:szCs w:val="22"/>
                <w:color w:val="010000"/>
              </w:rPr>
              <w:t>10.1</w:t>
            </w:r>
          </w:p>
        </w:tc>
        <w:tc>
          <w:tcPr>
            <w:tcW w:w="6800" w:type="dxa"/>
            <w:vAlign w:val="bottom"/>
            <w:gridSpan w:val="3"/>
          </w:tcPr>
          <w:p>
            <w:pPr>
              <w:spacing w:after="0"/>
              <w:rPr>
                <w:sz w:val="20"/>
                <w:szCs w:val="20"/>
                <w:color w:val="auto"/>
              </w:rPr>
            </w:pPr>
            <w:r>
              <w:rPr>
                <w:rFonts w:ascii="Arial" w:cs="Arial" w:eastAsia="Arial" w:hAnsi="Arial"/>
                <w:sz w:val="22"/>
                <w:szCs w:val="22"/>
                <w:color w:val="auto"/>
                <w:w w:val="91"/>
              </w:rPr>
              <w:t>Binding Agreement. This Agreement shall inure to the benefit of and shall be</w:t>
            </w:r>
          </w:p>
        </w:tc>
      </w:tr>
      <w:tr>
        <w:trPr>
          <w:trHeight w:val="20"/>
        </w:trPr>
        <w:tc>
          <w:tcPr>
            <w:tcW w:w="3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73"/>
        </w:trPr>
        <w:tc>
          <w:tcPr>
            <w:tcW w:w="10020" w:type="dxa"/>
            <w:vAlign w:val="bottom"/>
            <w:gridSpan w:val="4"/>
          </w:tcPr>
          <w:p>
            <w:pPr>
              <w:spacing w:after="0"/>
              <w:rPr>
                <w:sz w:val="20"/>
                <w:szCs w:val="20"/>
                <w:color w:val="auto"/>
              </w:rPr>
            </w:pPr>
            <w:r>
              <w:rPr>
                <w:rFonts w:ascii="Arial" w:cs="Arial" w:eastAsia="Arial" w:hAnsi="Arial"/>
                <w:sz w:val="22"/>
                <w:szCs w:val="22"/>
                <w:color w:val="auto"/>
              </w:rPr>
              <w:t>binding upon the Company, its successors and assigns.</w:t>
            </w:r>
          </w:p>
        </w:tc>
      </w:tr>
      <w:tr>
        <w:trPr>
          <w:trHeight w:val="408"/>
        </w:trPr>
        <w:tc>
          <w:tcPr>
            <w:tcW w:w="3220" w:type="dxa"/>
            <w:vAlign w:val="bottom"/>
          </w:tcPr>
          <w:p>
            <w:pPr>
              <w:jc w:val="right"/>
              <w:ind w:right="1952"/>
              <w:spacing w:after="0"/>
              <w:rPr>
                <w:sz w:val="20"/>
                <w:szCs w:val="20"/>
                <w:color w:val="auto"/>
              </w:rPr>
            </w:pPr>
            <w:r>
              <w:rPr>
                <w:rFonts w:ascii="Arial" w:cs="Arial" w:eastAsia="Arial" w:hAnsi="Arial"/>
                <w:sz w:val="22"/>
                <w:szCs w:val="22"/>
                <w:color w:val="010000"/>
              </w:rPr>
              <w:t>10.2</w:t>
            </w:r>
          </w:p>
        </w:tc>
        <w:tc>
          <w:tcPr>
            <w:tcW w:w="6800" w:type="dxa"/>
            <w:vAlign w:val="bottom"/>
            <w:gridSpan w:val="3"/>
          </w:tcPr>
          <w:p>
            <w:pPr>
              <w:spacing w:after="0"/>
              <w:rPr>
                <w:sz w:val="20"/>
                <w:szCs w:val="20"/>
                <w:color w:val="auto"/>
              </w:rPr>
            </w:pPr>
            <w:r>
              <w:rPr>
                <w:rFonts w:ascii="Arial" w:cs="Arial" w:eastAsia="Arial" w:hAnsi="Arial"/>
                <w:sz w:val="22"/>
                <w:szCs w:val="22"/>
                <w:color w:val="auto"/>
                <w:w w:val="88"/>
              </w:rPr>
              <w:t>Entire Agreement. This Agreement contains the entire agreement of the parties</w:t>
            </w:r>
          </w:p>
        </w:tc>
      </w:tr>
      <w:tr>
        <w:trPr>
          <w:trHeight w:val="20"/>
        </w:trPr>
        <w:tc>
          <w:tcPr>
            <w:tcW w:w="32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bl>
    <w:p>
      <w:pPr>
        <w:spacing w:after="0" w:line="6"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91" w:lineRule="exact"/>
        <w:rPr>
          <w:sz w:val="20"/>
          <w:szCs w:val="20"/>
          <w:color w:val="auto"/>
        </w:rPr>
      </w:pPr>
    </w:p>
    <w:p>
      <w:pPr>
        <w:ind w:firstLine="776"/>
        <w:spacing w:after="0" w:line="273" w:lineRule="auto"/>
        <w:rPr>
          <w:sz w:val="20"/>
          <w:szCs w:val="20"/>
          <w:color w:val="auto"/>
        </w:rPr>
      </w:pPr>
      <w:r>
        <w:rPr>
          <w:rFonts w:ascii="Arial" w:cs="Arial" w:eastAsia="Arial" w:hAnsi="Arial"/>
          <w:sz w:val="19"/>
          <w:szCs w:val="19"/>
          <w:color w:val="010000"/>
        </w:rPr>
        <w:t xml:space="preserve">10.3 </w:t>
      </w:r>
      <w:r>
        <w:rPr>
          <w:rFonts w:ascii="Arial" w:cs="Arial" w:eastAsia="Arial" w:hAnsi="Arial"/>
          <w:sz w:val="19"/>
          <w:szCs w:val="19"/>
          <w:u w:val="single" w:color="auto"/>
          <w:color w:val="000000"/>
        </w:rPr>
        <w:t>Representations and Warranties</w:t>
      </w:r>
      <w:r>
        <w:rPr>
          <w:rFonts w:ascii="Arial" w:cs="Arial" w:eastAsia="Arial" w:hAnsi="Arial"/>
          <w:sz w:val="19"/>
          <w:szCs w:val="19"/>
          <w:color w:val="000000"/>
        </w:rPr>
        <w:t>. Executive and the Company hereby represent and</w:t>
      </w:r>
      <w:r>
        <w:rPr>
          <w:rFonts w:ascii="Arial" w:cs="Arial" w:eastAsia="Arial" w:hAnsi="Arial"/>
          <w:sz w:val="19"/>
          <w:szCs w:val="19"/>
          <w:color w:val="010000"/>
        </w:rPr>
        <w:t xml:space="preserve"> </w:t>
      </w:r>
      <w:r>
        <w:rPr>
          <w:rFonts w:ascii="Arial" w:cs="Arial" w:eastAsia="Arial" w:hAnsi="Arial"/>
          <w:sz w:val="19"/>
          <w:szCs w:val="19"/>
          <w:color w:val="000000"/>
        </w:rPr>
        <w:t>warrant to the other that: (a) 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he or it is a party or he or it is otherwise bound; (c) this Agreement is a valid and binding obligation in accordance with its terms for both parties; (d) Executive represents and warrants that he is under no other obligations, contractual or otherwise, that could impair his ability to perform fully and satisfactorily all of his obligations under this Agreement; (e) Executive has had full opportunity to review this Agreement, to obtain all legal advice 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161" w:lineRule="exact"/>
        <w:rPr>
          <w:sz w:val="20"/>
          <w:szCs w:val="20"/>
          <w:color w:val="auto"/>
        </w:rPr>
      </w:pPr>
    </w:p>
    <w:p>
      <w:pPr>
        <w:ind w:right="320" w:firstLine="752"/>
        <w:spacing w:after="0"/>
        <w:rPr>
          <w:sz w:val="20"/>
          <w:szCs w:val="20"/>
          <w:color w:val="auto"/>
        </w:rPr>
      </w:pPr>
      <w:r>
        <w:rPr>
          <w:rFonts w:ascii="Arial" w:cs="Arial" w:eastAsia="Arial" w:hAnsi="Arial"/>
          <w:sz w:val="22"/>
          <w:szCs w:val="22"/>
          <w:color w:val="010000"/>
        </w:rPr>
        <w:t xml:space="preserve">10.4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on separate copies, any one of</w:t>
      </w:r>
      <w:r>
        <w:rPr>
          <w:rFonts w:ascii="Arial" w:cs="Arial" w:eastAsia="Arial" w:hAnsi="Arial"/>
          <w:sz w:val="22"/>
          <w:szCs w:val="22"/>
          <w:color w:val="010000"/>
        </w:rPr>
        <w:t xml:space="preserve"> </w:t>
      </w:r>
      <w:r>
        <w:rPr>
          <w:rFonts w:ascii="Arial" w:cs="Arial" w:eastAsia="Arial" w:hAnsi="Arial"/>
          <w:sz w:val="22"/>
          <w:szCs w:val="22"/>
          <w:color w:val="000000"/>
        </w:rPr>
        <w:t>which need not contain signatures of more than one party but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66040</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880" w:top="625" w:right="6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53"/>
        </w:trPr>
        <w:tc>
          <w:tcPr>
            <w:tcW w:w="6360" w:type="dxa"/>
            <w:vAlign w:val="bottom"/>
          </w:tcPr>
          <w:p>
            <w:pPr>
              <w:spacing w:after="0"/>
              <w:rPr>
                <w:sz w:val="20"/>
                <w:szCs w:val="20"/>
                <w:color w:val="auto"/>
              </w:rPr>
            </w:pPr>
            <w:r>
              <w:rPr>
                <w:rFonts w:ascii="Arial" w:cs="Arial" w:eastAsia="Arial" w:hAnsi="Arial"/>
                <w:sz w:val="22"/>
                <w:szCs w:val="22"/>
                <w:color w:val="auto"/>
              </w:rPr>
              <w:t>IN WITNESS WHEREOF, this Agreement is executed as</w:t>
            </w:r>
          </w:p>
        </w:tc>
        <w:tc>
          <w:tcPr>
            <w:tcW w:w="1960" w:type="dxa"/>
            <w:vAlign w:val="bottom"/>
          </w:tcPr>
          <w:p>
            <w:pPr>
              <w:spacing w:after="0"/>
              <w:rPr>
                <w:sz w:val="21"/>
                <w:szCs w:val="21"/>
                <w:color w:val="auto"/>
              </w:rPr>
            </w:pPr>
          </w:p>
        </w:tc>
      </w:tr>
      <w:tr>
        <w:trPr>
          <w:trHeight w:val="274"/>
        </w:trPr>
        <w:tc>
          <w:tcPr>
            <w:tcW w:w="6360" w:type="dxa"/>
            <w:vAlign w:val="bottom"/>
          </w:tcPr>
          <w:p>
            <w:pPr>
              <w:spacing w:after="0"/>
              <w:rPr>
                <w:sz w:val="20"/>
                <w:szCs w:val="20"/>
                <w:color w:val="auto"/>
              </w:rPr>
            </w:pPr>
            <w:r>
              <w:rPr>
                <w:rFonts w:ascii="Arial" w:cs="Arial" w:eastAsia="Arial" w:hAnsi="Arial"/>
                <w:sz w:val="22"/>
                <w:szCs w:val="22"/>
                <w:color w:val="auto"/>
              </w:rPr>
              <w:t>of</w:t>
            </w:r>
          </w:p>
        </w:tc>
        <w:tc>
          <w:tcPr>
            <w:tcW w:w="1960" w:type="dxa"/>
            <w:vAlign w:val="bottom"/>
          </w:tcPr>
          <w:p>
            <w:pPr>
              <w:jc w:val="right"/>
              <w:spacing w:after="0"/>
              <w:rPr>
                <w:sz w:val="20"/>
                <w:szCs w:val="20"/>
                <w:color w:val="auto"/>
              </w:rPr>
            </w:pPr>
            <w:r>
              <w:rPr>
                <w:rFonts w:ascii="Arial" w:cs="Arial" w:eastAsia="Arial" w:hAnsi="Arial"/>
                <w:sz w:val="22"/>
                <w:szCs w:val="22"/>
                <w:color w:val="auto"/>
              </w:rPr>
              <w:t>, 2021.</w:t>
            </w:r>
          </w:p>
        </w:tc>
      </w:tr>
    </w:tbl>
    <w:p>
      <w:pPr>
        <w:spacing w:after="0" w:line="185"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“COMPANY”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Avita Medical Americas, LLC</w:t>
      </w:r>
    </w:p>
    <w:p>
      <w:pPr>
        <w:spacing w:after="0" w:line="21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-146685</wp:posOffset>
            </wp:positionV>
            <wp:extent cx="711200" cy="291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1200" cy="291465"/>
                    </a:xfrm>
                    <a:prstGeom prst="rect">
                      <a:avLst/>
                    </a:prstGeom>
                    <a:noFill/>
                  </pic:spPr>
                </pic:pic>
              </a:graphicData>
            </a:graphic>
          </wp:anchor>
        </w:drawing>
      </w:r>
    </w:p>
    <w:p>
      <w:pPr>
        <w:spacing w:after="0" w:line="187" w:lineRule="exact"/>
        <w:rPr>
          <w:sz w:val="20"/>
          <w:szCs w:val="20"/>
          <w:color w:val="auto"/>
        </w:rPr>
      </w:pPr>
    </w:p>
    <w:tbl>
      <w:tblPr>
        <w:tblLayout w:type="fixed"/>
        <w:tblInd w:w="4640" w:type="dxa"/>
        <w:tblCellMar>
          <w:top w:w="0" w:type="dxa"/>
          <w:left w:w="0" w:type="dxa"/>
          <w:bottom w:w="0" w:type="dxa"/>
          <w:right w:w="0" w:type="dxa"/>
        </w:tblCellMar>
      </w:tblPr>
      <w:tr>
        <w:trPr>
          <w:trHeight w:val="288"/>
        </w:trPr>
        <w:tc>
          <w:tcPr>
            <w:tcW w:w="800" w:type="dxa"/>
            <w:vAlign w:val="bottom"/>
          </w:tcPr>
          <w:p>
            <w:pPr>
              <w:spacing w:after="0"/>
              <w:rPr>
                <w:sz w:val="24"/>
                <w:szCs w:val="24"/>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Name:</w:t>
            </w:r>
          </w:p>
        </w:tc>
        <w:tc>
          <w:tcPr>
            <w:tcW w:w="40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Dr. Michael S. Perry</w:t>
            </w:r>
          </w:p>
        </w:tc>
      </w:tr>
      <w:tr>
        <w:trPr>
          <w:trHeight w:val="455"/>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4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Executive Officer</w:t>
            </w:r>
          </w:p>
        </w:tc>
      </w:tr>
      <w:tr>
        <w:trPr>
          <w:trHeight w:val="479"/>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Date:</w:t>
            </w:r>
          </w:p>
        </w:tc>
        <w:tc>
          <w:tcPr>
            <w:tcW w:w="4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06/28/2021</w:t>
            </w:r>
          </w:p>
        </w:tc>
      </w:tr>
      <w:tr>
        <w:trPr>
          <w:trHeight w:val="490"/>
        </w:trPr>
        <w:tc>
          <w:tcPr>
            <w:tcW w:w="1620" w:type="dxa"/>
            <w:vAlign w:val="bottom"/>
            <w:gridSpan w:val="2"/>
          </w:tcPr>
          <w:p>
            <w:pPr>
              <w:spacing w:after="0"/>
              <w:rPr>
                <w:sz w:val="20"/>
                <w:szCs w:val="20"/>
                <w:color w:val="auto"/>
              </w:rPr>
            </w:pPr>
            <w:r>
              <w:rPr>
                <w:rFonts w:ascii="Arial" w:cs="Arial" w:eastAsia="Arial" w:hAnsi="Arial"/>
                <w:sz w:val="22"/>
                <w:szCs w:val="22"/>
                <w:color w:val="auto"/>
              </w:rPr>
              <w:t>and</w:t>
            </w:r>
          </w:p>
        </w:tc>
        <w:tc>
          <w:tcPr>
            <w:tcW w:w="4000" w:type="dxa"/>
            <w:vAlign w:val="bottom"/>
          </w:tcPr>
          <w:p>
            <w:pPr>
              <w:spacing w:after="0"/>
              <w:rPr>
                <w:sz w:val="24"/>
                <w:szCs w:val="24"/>
                <w:color w:val="auto"/>
              </w:rPr>
            </w:pPr>
          </w:p>
        </w:tc>
      </w:tr>
    </w:tbl>
    <w:p>
      <w:pPr>
        <w:spacing w:after="0" w:line="21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“EXECUTIVE”</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Andrew Quick</w:t>
      </w:r>
    </w:p>
    <w:p>
      <w:pPr>
        <w:spacing w:after="0" w:line="21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-146685</wp:posOffset>
            </wp:positionV>
            <wp:extent cx="3060065" cy="283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3060065" cy="2832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40"/>
        <w:spacing w:after="0"/>
        <w:tabs>
          <w:tab w:leader="none" w:pos="5420" w:val="left"/>
        </w:tabs>
        <w:rPr>
          <w:sz w:val="20"/>
          <w:szCs w:val="20"/>
          <w:color w:val="auto"/>
        </w:rPr>
      </w:pPr>
      <w:r>
        <w:rPr>
          <w:rFonts w:ascii="Arial" w:cs="Arial" w:eastAsia="Arial" w:hAnsi="Arial"/>
          <w:sz w:val="22"/>
          <w:szCs w:val="22"/>
          <w:color w:val="auto"/>
        </w:rPr>
        <w:t>Date:</w:t>
        <w:tab/>
        <w:t>25-Jun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6985</wp:posOffset>
            </wp:positionV>
            <wp:extent cx="30600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60"/>
          </w:cols>
          <w:pgMar w:left="1300" w:top="567"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1"/>
          <w:szCs w:val="21"/>
          <w:b w:val="1"/>
          <w:bCs w:val="1"/>
          <w:color w:val="auto"/>
        </w:rPr>
        <w:t>Exhibit 10.18</w:t>
      </w: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EXECUTIVE EMPLOYMENT AGREEMENT</w:t>
      </w:r>
    </w:p>
    <w:p>
      <w:pPr>
        <w:spacing w:after="0" w:line="345" w:lineRule="exact"/>
        <w:rPr>
          <w:sz w:val="20"/>
          <w:szCs w:val="20"/>
          <w:color w:val="auto"/>
        </w:rPr>
      </w:pPr>
    </w:p>
    <w:p>
      <w:pPr>
        <w:jc w:val="both"/>
        <w:ind w:left="20" w:right="360" w:firstLine="813"/>
        <w:spacing w:after="0" w:line="252" w:lineRule="auto"/>
        <w:rPr>
          <w:sz w:val="20"/>
          <w:szCs w:val="20"/>
          <w:color w:val="auto"/>
        </w:rPr>
      </w:pPr>
      <w:r>
        <w:rPr>
          <w:rFonts w:ascii="Arial" w:cs="Arial" w:eastAsia="Arial" w:hAnsi="Arial"/>
          <w:sz w:val="21"/>
          <w:szCs w:val="21"/>
          <w:color w:val="auto"/>
        </w:rPr>
        <w:t>This EXECUTIVE EMPLOYMENT AGREEMENT ("Agreement") is made and entered into by and between Avita Medical Ltd., an Australian corporation (the "Company"), and Donna Shiroma, an individual (the "Executive") with reference to the following:</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RECITALS</w:t>
      </w:r>
    </w:p>
    <w:p>
      <w:pPr>
        <w:spacing w:after="0" w:line="345" w:lineRule="exact"/>
        <w:rPr>
          <w:sz w:val="20"/>
          <w:szCs w:val="20"/>
          <w:color w:val="auto"/>
        </w:rPr>
      </w:pPr>
    </w:p>
    <w:p>
      <w:pPr>
        <w:ind w:left="20" w:right="500" w:firstLine="821"/>
        <w:spacing w:after="0" w:line="264" w:lineRule="auto"/>
        <w:rPr>
          <w:sz w:val="20"/>
          <w:szCs w:val="20"/>
          <w:color w:val="auto"/>
        </w:rPr>
      </w:pPr>
      <w:r>
        <w:rPr>
          <w:rFonts w:ascii="Arial" w:cs="Arial" w:eastAsia="Arial" w:hAnsi="Arial"/>
          <w:sz w:val="21"/>
          <w:szCs w:val="21"/>
          <w:color w:val="auto"/>
        </w:rPr>
        <w:t>WHEREAS, the Board of Directors of the Company (the "Board") desires to employ Executive to serve as the General Counsel of the Company;</w:t>
      </w:r>
    </w:p>
    <w:p>
      <w:pPr>
        <w:spacing w:after="0" w:line="171" w:lineRule="exact"/>
        <w:rPr>
          <w:sz w:val="20"/>
          <w:szCs w:val="20"/>
          <w:color w:val="auto"/>
        </w:rPr>
      </w:pPr>
    </w:p>
    <w:p>
      <w:pPr>
        <w:ind w:left="20" w:right="380" w:firstLine="821"/>
        <w:spacing w:after="0" w:line="264" w:lineRule="auto"/>
        <w:rPr>
          <w:sz w:val="20"/>
          <w:szCs w:val="20"/>
          <w:color w:val="auto"/>
        </w:rPr>
      </w:pPr>
      <w:r>
        <w:rPr>
          <w:rFonts w:ascii="Arial" w:cs="Arial" w:eastAsia="Arial" w:hAnsi="Arial"/>
          <w:sz w:val="21"/>
          <w:szCs w:val="21"/>
          <w:color w:val="auto"/>
        </w:rPr>
        <w:t>WHEREAS, the Executive is willing to serve in the role of General Counsel of the Company and provide services to the Company and its subsidiaries under the terms and conditions stated herein,</w:t>
      </w:r>
    </w:p>
    <w:p>
      <w:pPr>
        <w:spacing w:after="0" w:line="171" w:lineRule="exact"/>
        <w:rPr>
          <w:sz w:val="20"/>
          <w:szCs w:val="20"/>
          <w:color w:val="auto"/>
        </w:rPr>
      </w:pPr>
    </w:p>
    <w:p>
      <w:pPr>
        <w:ind w:left="20" w:right="760" w:firstLine="801"/>
        <w:spacing w:after="0" w:line="264" w:lineRule="auto"/>
        <w:rPr>
          <w:sz w:val="20"/>
          <w:szCs w:val="20"/>
          <w:color w:val="auto"/>
        </w:rPr>
      </w:pPr>
      <w:r>
        <w:rPr>
          <w:rFonts w:ascii="Arial" w:cs="Arial" w:eastAsia="Arial" w:hAnsi="Arial"/>
          <w:sz w:val="21"/>
          <w:szCs w:val="21"/>
          <w:color w:val="auto"/>
        </w:rPr>
        <w:t>WHEREAS, the Executive would serve as General Counsel, of the Company, but herdirect employer shall be Avita Medical Americas, LLC ("Avita America"), effective as of June 25, 2018 (the Effective Date");</w:t>
      </w:r>
    </w:p>
    <w:p>
      <w:pPr>
        <w:spacing w:after="0" w:line="171" w:lineRule="exact"/>
        <w:rPr>
          <w:sz w:val="20"/>
          <w:szCs w:val="20"/>
          <w:color w:val="auto"/>
        </w:rPr>
      </w:pPr>
    </w:p>
    <w:p>
      <w:pPr>
        <w:ind w:left="20" w:right="380" w:firstLine="801"/>
        <w:spacing w:after="0" w:line="264" w:lineRule="auto"/>
        <w:rPr>
          <w:sz w:val="20"/>
          <w:szCs w:val="20"/>
          <w:color w:val="auto"/>
        </w:rPr>
      </w:pPr>
      <w:r>
        <w:rPr>
          <w:rFonts w:ascii="Arial" w:cs="Arial" w:eastAsia="Arial" w:hAnsi="Arial"/>
          <w:sz w:val="21"/>
          <w:szCs w:val="21"/>
          <w:color w:val="auto"/>
        </w:rPr>
        <w:t>NOW, THEREFORE, in consideration of the mutual covenants and promises contained herein, and intending to be legally bound, it is hereby agreed by and between the parties heretoas follows:</w:t>
      </w:r>
    </w:p>
    <w:p>
      <w:pPr>
        <w:spacing w:after="0" w:line="165" w:lineRule="exact"/>
        <w:rPr>
          <w:sz w:val="20"/>
          <w:szCs w:val="20"/>
          <w:color w:val="auto"/>
        </w:rPr>
      </w:pPr>
    </w:p>
    <w:p>
      <w:pPr>
        <w:ind w:left="840" w:hanging="830"/>
        <w:spacing w:after="0"/>
        <w:tabs>
          <w:tab w:leader="none" w:pos="840" w:val="left"/>
        </w:tabs>
        <w:numPr>
          <w:ilvl w:val="0"/>
          <w:numId w:val="243"/>
        </w:numPr>
        <w:rPr>
          <w:rFonts w:ascii="Arial" w:cs="Arial" w:eastAsia="Arial" w:hAnsi="Arial"/>
          <w:sz w:val="20"/>
          <w:szCs w:val="20"/>
          <w:b w:val="1"/>
          <w:bCs w:val="1"/>
          <w:color w:val="auto"/>
        </w:rPr>
      </w:pPr>
      <w:r>
        <w:rPr>
          <w:rFonts w:ascii="Arial" w:cs="Arial" w:eastAsia="Arial" w:hAnsi="Arial"/>
          <w:sz w:val="21"/>
          <w:szCs w:val="21"/>
          <w:b w:val="1"/>
          <w:bCs w:val="1"/>
          <w:color w:val="auto"/>
        </w:rPr>
        <w:t>Employment and Duties</w:t>
      </w:r>
    </w:p>
    <w:p>
      <w:pPr>
        <w:spacing w:after="0" w:line="224" w:lineRule="exact"/>
        <w:rPr>
          <w:sz w:val="20"/>
          <w:szCs w:val="20"/>
          <w:color w:val="auto"/>
        </w:rPr>
      </w:pPr>
    </w:p>
    <w:p>
      <w:pPr>
        <w:ind w:right="300" w:firstLine="823"/>
        <w:spacing w:after="0" w:line="25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The Company hereby employs the Executive as the General Counsel, of the Company and the Executive hereby accepts such employment as of the Effective Date pursuant to the terms and conditions set forth herein. The Executive shall report directly tothe Chief Executive Officer ("CEO").</w:t>
      </w:r>
    </w:p>
    <w:p>
      <w:pPr>
        <w:spacing w:after="0" w:line="184" w:lineRule="exact"/>
        <w:rPr>
          <w:sz w:val="20"/>
          <w:szCs w:val="20"/>
          <w:color w:val="auto"/>
        </w:rPr>
      </w:pPr>
    </w:p>
    <w:p>
      <w:pPr>
        <w:ind w:right="420" w:firstLine="813"/>
        <w:spacing w:after="0" w:line="247"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Duties.</w:t>
      </w:r>
      <w:r>
        <w:rPr>
          <w:rFonts w:ascii="Arial" w:cs="Arial" w:eastAsia="Arial" w:hAnsi="Arial"/>
          <w:sz w:val="21"/>
          <w:szCs w:val="21"/>
          <w:color w:val="auto"/>
        </w:rPr>
        <w:t xml:space="preserve"> The Executive shall perform, to the best of her ability and in a manner satisfactory to the CEO, all such duties that are consistent with her title and position, and such other duties as may reasonably be assigned to her by the CEO. The Executive's duties will be conducted principally from the Company's North America office, currently located in Valencia,California, or at such other location as determined by the CEO (but subject to the terms of this Agreement), with travel to such other locations from time to time as reasonably required.</w:t>
      </w:r>
    </w:p>
    <w:p>
      <w:pPr>
        <w:spacing w:after="0" w:line="188" w:lineRule="exact"/>
        <w:rPr>
          <w:sz w:val="20"/>
          <w:szCs w:val="20"/>
          <w:color w:val="auto"/>
        </w:rPr>
      </w:pPr>
    </w:p>
    <w:p>
      <w:pPr>
        <w:ind w:right="380" w:firstLine="832"/>
        <w:spacing w:after="0" w:line="27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Time and Efforts.</w:t>
      </w:r>
      <w:r>
        <w:rPr>
          <w:rFonts w:ascii="Arial" w:cs="Arial" w:eastAsia="Arial" w:hAnsi="Arial"/>
          <w:sz w:val="19"/>
          <w:szCs w:val="19"/>
          <w:color w:val="auto"/>
        </w:rPr>
        <w:t xml:space="preserve"> The Executive shall devote her full business time and provide her best efforts, attention, and energies to the business of the Company and its subsidiaries and tothe performance of Executive's duties hereunder, and Executive shall not engage in any other business, profession or occupation for compensation or otherwise during the employment period without the prior written consent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preclude Executive from serving in any capacity with any civic, educational, or charitable organization,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and in the aggregate, such services do not materially conflict or interfere with Executive's obligations to the Company or its subsidiaries hereunder and such service is disclosed in advance by Executive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468630</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480" w:top="120" w:right="339" w:bottom="1440" w:gutter="0" w:footer="0" w:header="0"/>
        </w:sectPr>
      </w:pPr>
    </w:p>
    <w:bookmarkStart w:id="200" w:name="page201"/>
    <w:bookmarkEnd w:id="200"/>
    <w:p>
      <w:pPr>
        <w:ind w:left="120" w:right="200" w:firstLine="817"/>
        <w:spacing w:after="0" w:line="289" w:lineRule="auto"/>
        <w:rPr>
          <w:sz w:val="20"/>
          <w:szCs w:val="20"/>
          <w:color w:val="auto"/>
        </w:rPr>
      </w:pPr>
      <w:r>
        <w:rPr>
          <w:rFonts w:ascii="Arial" w:cs="Arial" w:eastAsia="Arial" w:hAnsi="Arial"/>
          <w:sz w:val="20"/>
          <w:szCs w:val="20"/>
          <w:color w:val="auto"/>
        </w:rPr>
        <w:t>Executive further acknowledges that she owes the Company both a fiduciary duty and a duty of loyalty while employed during the employment period to act at all times in the best interests of the Company and its subsidiaries.</w:t>
      </w:r>
    </w:p>
    <w:p>
      <w:pPr>
        <w:spacing w:after="0" w:line="142" w:lineRule="exact"/>
        <w:rPr>
          <w:sz w:val="20"/>
          <w:szCs w:val="20"/>
          <w:color w:val="auto"/>
        </w:rPr>
      </w:pPr>
    </w:p>
    <w:p>
      <w:pPr>
        <w:ind w:left="960" w:hanging="843"/>
        <w:spacing w:after="0"/>
        <w:tabs>
          <w:tab w:leader="none" w:pos="960" w:val="left"/>
        </w:tabs>
        <w:numPr>
          <w:ilvl w:val="0"/>
          <w:numId w:val="244"/>
        </w:numPr>
        <w:rPr>
          <w:rFonts w:ascii="Arial" w:cs="Arial" w:eastAsia="Arial" w:hAnsi="Arial"/>
          <w:sz w:val="21"/>
          <w:szCs w:val="21"/>
          <w:b w:val="1"/>
          <w:bCs w:val="1"/>
          <w:color w:val="auto"/>
        </w:rPr>
      </w:pPr>
      <w:r>
        <w:rPr>
          <w:rFonts w:ascii="Arial" w:cs="Arial" w:eastAsia="Arial" w:hAnsi="Arial"/>
          <w:sz w:val="21"/>
          <w:szCs w:val="21"/>
          <w:b w:val="1"/>
          <w:bCs w:val="1"/>
          <w:color w:val="auto"/>
        </w:rPr>
        <w:t>Compensation</w:t>
      </w:r>
    </w:p>
    <w:p>
      <w:pPr>
        <w:spacing w:after="0" w:line="237" w:lineRule="exact"/>
        <w:rPr>
          <w:sz w:val="20"/>
          <w:szCs w:val="20"/>
          <w:color w:val="auto"/>
        </w:rPr>
      </w:pPr>
    </w:p>
    <w:p>
      <w:pPr>
        <w:ind w:left="120" w:right="1200" w:firstLine="783"/>
        <w:spacing w:after="0" w:line="264" w:lineRule="auto"/>
        <w:rPr>
          <w:sz w:val="20"/>
          <w:szCs w:val="20"/>
          <w:color w:val="auto"/>
        </w:rPr>
      </w:pPr>
      <w:r>
        <w:rPr>
          <w:rFonts w:ascii="Arial" w:cs="Arial" w:eastAsia="Arial" w:hAnsi="Arial"/>
          <w:sz w:val="21"/>
          <w:szCs w:val="21"/>
          <w:color w:val="auto"/>
        </w:rPr>
        <w:t>As the total consideration for the Executive's services rendered hereunder, Executiveshall be entitled to the following:</w:t>
      </w:r>
    </w:p>
    <w:p>
      <w:pPr>
        <w:spacing w:after="0" w:line="171" w:lineRule="exact"/>
        <w:rPr>
          <w:sz w:val="20"/>
          <w:szCs w:val="20"/>
          <w:color w:val="auto"/>
        </w:rPr>
      </w:pPr>
    </w:p>
    <w:p>
      <w:pPr>
        <w:ind w:left="120" w:right="80" w:firstLine="818"/>
        <w:spacing w:after="0" w:line="28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 shall be paid an annual base salary of Three Hundred Thousand Dollars ($300,000.00) per year ("Base Salary"), subject to applicable tax deductions and withholdings, beginning on the Effective Date of the Agreement and payable in regular installments in accordance with the customary payroll practices of Avita America. The Executive's salary will be subject to annual review by the Board and may be increased in the sole discretion of the Board.</w:t>
      </w:r>
    </w:p>
    <w:p>
      <w:pPr>
        <w:spacing w:after="0" w:line="157" w:lineRule="exact"/>
        <w:rPr>
          <w:sz w:val="20"/>
          <w:szCs w:val="20"/>
          <w:color w:val="auto"/>
        </w:rPr>
      </w:pPr>
    </w:p>
    <w:p>
      <w:pPr>
        <w:ind w:left="940"/>
        <w:spacing w:after="0"/>
        <w:tabs>
          <w:tab w:leader="none" w:pos="176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8"/>
          <w:szCs w:val="18"/>
          <w:u w:val="single" w:color="auto"/>
          <w:color w:val="auto"/>
        </w:rPr>
        <w:t>Bonus and Relocation Expenses.</w:t>
      </w:r>
    </w:p>
    <w:p>
      <w:pPr>
        <w:spacing w:after="0" w:line="204" w:lineRule="exact"/>
        <w:rPr>
          <w:sz w:val="20"/>
          <w:szCs w:val="20"/>
          <w:color w:val="auto"/>
        </w:rPr>
      </w:pPr>
    </w:p>
    <w:p>
      <w:pPr>
        <w:ind w:left="100" w:firstLine="827"/>
        <w:spacing w:after="0" w:line="257" w:lineRule="auto"/>
        <w:rPr>
          <w:sz w:val="20"/>
          <w:szCs w:val="20"/>
          <w:color w:val="auto"/>
        </w:rPr>
      </w:pPr>
      <w:r>
        <w:rPr>
          <w:rFonts w:ascii="Arial" w:cs="Arial" w:eastAsia="Arial" w:hAnsi="Arial"/>
          <w:sz w:val="20"/>
          <w:szCs w:val="20"/>
          <w:u w:val="single" w:color="auto"/>
          <w:color w:val="auto"/>
        </w:rPr>
        <w:t>Annual Performance Bonus.</w:t>
      </w:r>
      <w:r>
        <w:rPr>
          <w:rFonts w:ascii="Arial" w:cs="Arial" w:eastAsia="Arial" w:hAnsi="Arial"/>
          <w:sz w:val="20"/>
          <w:szCs w:val="20"/>
          <w:color w:val="auto"/>
        </w:rPr>
        <w:t xml:space="preserve"> In addition to Base Salary, the Executive shall be eligible to receive an annual performance bonus ("Annual Bonus") based upon the Executive's performance for the preceding year as measured against certain performance targets as mutuallyestablished by the parties to this Agreement. The Annual Bonus, if earned, shall be paid 60 daysafter the close of the fiscal year. The amount of the Annual Bonus shall be twenty-five percent (25%) of Executive's Base Salary ("Target Bonus"). For 2018, Executive will be eligible to receive an Annual Bonus that is equal to 25% of the pro-rata share of the Base Salary (excluding any other bonus or compensation) Executive earned in 2018. At the sole discretion of the Board,Executive may be entitled to an additional amount of up to fifty percent (an additional 12.5%) of the Target Bonus based upon performance. For the Annual Bonus to be deemed earned, and in order to be eligible and entitled to receive any Annual Bonus payment, the Executive must be employed by, and not have given notice of resignation to the Company, or have been given notice of termination by the Company.</w:t>
      </w:r>
    </w:p>
    <w:p>
      <w:pPr>
        <w:spacing w:after="0" w:line="170" w:lineRule="exact"/>
        <w:rPr>
          <w:sz w:val="20"/>
          <w:szCs w:val="20"/>
          <w:color w:val="auto"/>
        </w:rPr>
      </w:pPr>
    </w:p>
    <w:p>
      <w:pPr>
        <w:ind w:left="100" w:right="100" w:firstLine="821"/>
        <w:spacing w:after="0" w:line="264" w:lineRule="auto"/>
        <w:rPr>
          <w:sz w:val="20"/>
          <w:szCs w:val="20"/>
          <w:color w:val="auto"/>
        </w:rPr>
      </w:pPr>
      <w:r>
        <w:rPr>
          <w:rFonts w:ascii="Arial" w:cs="Arial" w:eastAsia="Arial" w:hAnsi="Arial"/>
          <w:sz w:val="21"/>
          <w:szCs w:val="21"/>
          <w:u w:val="single" w:color="auto"/>
          <w:color w:val="auto"/>
        </w:rPr>
        <w:t>Retention Bonus.</w:t>
      </w:r>
      <w:r>
        <w:rPr>
          <w:rFonts w:ascii="Arial" w:cs="Arial" w:eastAsia="Arial" w:hAnsi="Arial"/>
          <w:sz w:val="21"/>
          <w:szCs w:val="21"/>
          <w:color w:val="auto"/>
        </w:rPr>
        <w:t xml:space="preserve"> In addition to Base Salary and Annual Performance Bonus, the Executive shall be eligible to receive a retention bonus ("Retention Bonus") of $15,000. The Retention Bonus shall be paid as follows:</w:t>
      </w:r>
    </w:p>
    <w:p>
      <w:pPr>
        <w:spacing w:after="0" w:line="184" w:lineRule="exact"/>
        <w:rPr>
          <w:sz w:val="20"/>
          <w:szCs w:val="20"/>
          <w:color w:val="auto"/>
        </w:rPr>
      </w:pPr>
    </w:p>
    <w:p>
      <w:pPr>
        <w:ind w:left="1340" w:right="80" w:hanging="413"/>
        <w:spacing w:after="0" w:line="247" w:lineRule="auto"/>
        <w:tabs>
          <w:tab w:leader="none" w:pos="134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Bonus amount will be paid after twelve (12) months employment. This payment is provided with the express understanding that it is being paid with the expectation thatExecutive shall remain employed with the Company for at least one year following the Effective Date. Accordingly, the Retention Bonus is an advance that will not be considered earned by either Executive or the Company until Executive has completedone year of employment with the Company.</w:t>
      </w:r>
    </w:p>
    <w:p>
      <w:pPr>
        <w:spacing w:after="0" w:line="188" w:lineRule="exact"/>
        <w:rPr>
          <w:sz w:val="20"/>
          <w:szCs w:val="20"/>
          <w:color w:val="auto"/>
        </w:rPr>
      </w:pPr>
    </w:p>
    <w:p>
      <w:pPr>
        <w:ind w:left="1360" w:right="60" w:hanging="353"/>
        <w:spacing w:after="0" w:line="252" w:lineRule="auto"/>
        <w:rPr>
          <w:sz w:val="20"/>
          <w:szCs w:val="20"/>
          <w:color w:val="auto"/>
        </w:rPr>
      </w:pPr>
      <w:r>
        <w:rPr>
          <w:rFonts w:ascii="Arial" w:cs="Arial" w:eastAsia="Arial" w:hAnsi="Arial"/>
          <w:sz w:val="21"/>
          <w:szCs w:val="21"/>
          <w:color w:val="auto"/>
        </w:rPr>
        <w:t>Relocation Expenses. The Company will provide reimbursement of shipment of reasonable household goods to the Los Angeles area. In addition, the Company willreimburse temporary housing expenses in the Valencia area of up to $4,000 per month from June 25, 2018 through October 31,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00" w:top="639" w:right="559" w:bottom="1440" w:gutter="0" w:footer="0" w:header="0"/>
        </w:sectPr>
      </w:pPr>
    </w:p>
    <w:bookmarkStart w:id="201" w:name="page202"/>
    <w:bookmarkEnd w:id="201"/>
    <w:p>
      <w:pPr>
        <w:ind w:left="860"/>
        <w:spacing w:after="0"/>
        <w:rPr>
          <w:sz w:val="20"/>
          <w:szCs w:val="20"/>
          <w:color w:val="auto"/>
        </w:rPr>
      </w:pPr>
      <w:r>
        <w:rPr>
          <w:rFonts w:ascii="Arial" w:cs="Arial" w:eastAsia="Arial" w:hAnsi="Arial"/>
          <w:sz w:val="21"/>
          <w:szCs w:val="21"/>
          <w:color w:val="auto"/>
        </w:rPr>
        <w:t>2.3</w:t>
      </w:r>
    </w:p>
    <w:p>
      <w:pPr>
        <w:spacing w:after="0" w:line="21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xml:space="preserve"> Executive shall be eligible for 3,000,000 options, which will vest as follows:</w:t>
      </w:r>
    </w:p>
    <w:p>
      <w:pPr>
        <w:spacing w:after="0" w:line="241" w:lineRule="exact"/>
        <w:rPr>
          <w:sz w:val="20"/>
          <w:szCs w:val="20"/>
          <w:color w:val="auto"/>
        </w:rPr>
      </w:pPr>
    </w:p>
    <w:p>
      <w:pPr>
        <w:ind w:right="1320"/>
        <w:spacing w:after="0" w:line="264" w:lineRule="auto"/>
        <w:rPr>
          <w:sz w:val="20"/>
          <w:szCs w:val="20"/>
          <w:color w:val="auto"/>
        </w:rPr>
      </w:pPr>
      <w:r>
        <w:rPr>
          <w:rFonts w:ascii="Arial" w:cs="Arial" w:eastAsia="Arial" w:hAnsi="Arial"/>
          <w:sz w:val="21"/>
          <w:szCs w:val="21"/>
          <w:color w:val="auto"/>
        </w:rPr>
        <w:t>2,220,000 options will vest based upon Executive's achieving certainestablished metrics as agreed upon between Executive and the CEO;</w:t>
      </w:r>
    </w:p>
    <w:p>
      <w:pPr>
        <w:spacing w:after="0" w:line="171" w:lineRule="exact"/>
        <w:rPr>
          <w:sz w:val="20"/>
          <w:szCs w:val="20"/>
          <w:color w:val="auto"/>
        </w:rPr>
      </w:pPr>
    </w:p>
    <w:p>
      <w:pPr>
        <w:sectPr>
          <w:pgSz w:w="11900" w:h="16838" w:orient="portrait"/>
          <w:cols w:equalWidth="0" w:num="2">
            <w:col w:w="1460" w:space="720"/>
            <w:col w:w="8820"/>
          </w:cols>
          <w:pgMar w:left="400" w:top="639" w:right="499" w:bottom="1440" w:gutter="0" w:footer="0" w:header="0"/>
        </w:sectPr>
      </w:pPr>
    </w:p>
    <w:p>
      <w:pPr>
        <w:jc w:val="both"/>
        <w:ind w:left="2180" w:right="280" w:hanging="835"/>
        <w:spacing w:after="0" w:line="252" w:lineRule="auto"/>
        <w:tabs>
          <w:tab w:leader="none" w:pos="2180" w:val="left"/>
        </w:tabs>
        <w:numPr>
          <w:ilvl w:val="0"/>
          <w:numId w:val="246"/>
        </w:numPr>
        <w:rPr>
          <w:rFonts w:ascii="Arial" w:cs="Arial" w:eastAsia="Arial" w:hAnsi="Arial"/>
          <w:sz w:val="21"/>
          <w:szCs w:val="21"/>
          <w:color w:val="auto"/>
        </w:rPr>
      </w:pPr>
      <w:r>
        <w:rPr>
          <w:rFonts w:ascii="Arial" w:cs="Arial" w:eastAsia="Arial" w:hAnsi="Arial"/>
          <w:sz w:val="21"/>
          <w:szCs w:val="21"/>
          <w:color w:val="auto"/>
        </w:rPr>
        <w:t>800,000 options will vest based on Executive's continued employment with the Company at a rate of 200,000 per year for four years, commencing with the first 200,000 option installment, which will vest upon the completion ofExecutive's first year of service.</w:t>
      </w:r>
    </w:p>
    <w:p>
      <w:pPr>
        <w:spacing w:after="0" w:line="184" w:lineRule="exact"/>
        <w:rPr>
          <w:sz w:val="20"/>
          <w:szCs w:val="20"/>
          <w:color w:val="auto"/>
        </w:rPr>
      </w:pPr>
    </w:p>
    <w:p>
      <w:pPr>
        <w:ind w:left="80" w:right="560" w:firstLine="792"/>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Business Expenses.</w:t>
      </w:r>
      <w:r>
        <w:rPr>
          <w:rFonts w:ascii="Arial" w:cs="Arial" w:eastAsia="Arial" w:hAnsi="Arial"/>
          <w:sz w:val="21"/>
          <w:szCs w:val="21"/>
          <w:color w:val="auto"/>
        </w:rPr>
        <w:t xml:space="preserve"> During employment, the Executive is entitled to reimbursement (through Avita America) for 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2500" w:type="dxa"/>
            <w:vAlign w:val="bottom"/>
          </w:tcPr>
          <w:p>
            <w:pPr>
              <w:jc w:val="right"/>
              <w:ind w:right="1337"/>
              <w:spacing w:after="0"/>
              <w:rPr>
                <w:sz w:val="20"/>
                <w:szCs w:val="20"/>
                <w:color w:val="auto"/>
              </w:rPr>
            </w:pPr>
            <w:r>
              <w:rPr>
                <w:rFonts w:ascii="Arial" w:cs="Arial" w:eastAsia="Arial" w:hAnsi="Arial"/>
                <w:sz w:val="21"/>
                <w:szCs w:val="21"/>
                <w:color w:val="auto"/>
              </w:rPr>
              <w:t>2.5</w:t>
            </w:r>
          </w:p>
        </w:tc>
        <w:tc>
          <w:tcPr>
            <w:tcW w:w="8200" w:type="dxa"/>
            <w:vAlign w:val="bottom"/>
            <w:gridSpan w:val="3"/>
          </w:tcPr>
          <w:p>
            <w:pPr>
              <w:spacing w:after="0"/>
              <w:rPr>
                <w:sz w:val="20"/>
                <w:szCs w:val="20"/>
                <w:color w:val="auto"/>
              </w:rPr>
            </w:pPr>
            <w:r>
              <w:rPr>
                <w:rFonts w:ascii="Arial" w:cs="Arial" w:eastAsia="Arial" w:hAnsi="Arial"/>
                <w:sz w:val="21"/>
                <w:szCs w:val="21"/>
                <w:color w:val="auto"/>
                <w:w w:val="93"/>
              </w:rPr>
              <w:t>Fringe Benefits. The Executive shall be entitled to fringe benefits in accordance with the plans,</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72"/>
        </w:trPr>
        <w:tc>
          <w:tcPr>
            <w:tcW w:w="10700" w:type="dxa"/>
            <w:vAlign w:val="bottom"/>
            <w:gridSpan w:val="4"/>
          </w:tcPr>
          <w:p>
            <w:pPr>
              <w:spacing w:after="0"/>
              <w:rPr>
                <w:sz w:val="20"/>
                <w:szCs w:val="20"/>
                <w:color w:val="auto"/>
              </w:rPr>
            </w:pPr>
            <w:r>
              <w:rPr>
                <w:rFonts w:ascii="Arial" w:cs="Arial" w:eastAsia="Arial" w:hAnsi="Arial"/>
                <w:sz w:val="21"/>
                <w:szCs w:val="21"/>
                <w:color w:val="auto"/>
              </w:rPr>
              <w:t>practices, programs and policies as in effect generally with respect to other peerexecutives of the Company.</w:t>
            </w:r>
          </w:p>
        </w:tc>
      </w:tr>
      <w:tr>
        <w:trPr>
          <w:trHeight w:val="411"/>
        </w:trPr>
        <w:tc>
          <w:tcPr>
            <w:tcW w:w="2500" w:type="dxa"/>
            <w:vAlign w:val="bottom"/>
          </w:tcPr>
          <w:p>
            <w:pPr>
              <w:jc w:val="right"/>
              <w:ind w:right="1337"/>
              <w:spacing w:after="0"/>
              <w:rPr>
                <w:sz w:val="20"/>
                <w:szCs w:val="20"/>
                <w:color w:val="auto"/>
              </w:rPr>
            </w:pPr>
            <w:r>
              <w:rPr>
                <w:rFonts w:ascii="Arial" w:cs="Arial" w:eastAsia="Arial" w:hAnsi="Arial"/>
                <w:sz w:val="21"/>
                <w:szCs w:val="21"/>
                <w:color w:val="auto"/>
              </w:rPr>
              <w:t>2.6</w:t>
            </w:r>
          </w:p>
        </w:tc>
        <w:tc>
          <w:tcPr>
            <w:tcW w:w="8200" w:type="dxa"/>
            <w:vAlign w:val="bottom"/>
            <w:gridSpan w:val="3"/>
          </w:tcPr>
          <w:p>
            <w:pPr>
              <w:spacing w:after="0"/>
              <w:rPr>
                <w:sz w:val="20"/>
                <w:szCs w:val="20"/>
                <w:color w:val="auto"/>
              </w:rPr>
            </w:pPr>
            <w:r>
              <w:rPr>
                <w:rFonts w:ascii="Arial" w:cs="Arial" w:eastAsia="Arial" w:hAnsi="Arial"/>
                <w:sz w:val="21"/>
                <w:szCs w:val="21"/>
                <w:color w:val="auto"/>
              </w:rPr>
              <w:t>Vacation. The Executive shall be entitled each year to a vacation, during which time her</w:t>
            </w:r>
          </w:p>
        </w:tc>
      </w:tr>
      <w:tr>
        <w:trPr>
          <w:trHeight w:val="20"/>
        </w:trPr>
        <w:tc>
          <w:tcPr>
            <w:tcW w:w="2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14" w:lineRule="exact"/>
        <w:rPr>
          <w:sz w:val="20"/>
          <w:szCs w:val="20"/>
          <w:color w:val="auto"/>
        </w:rPr>
      </w:pPr>
    </w:p>
    <w:p>
      <w:pPr>
        <w:ind w:left="80" w:right="240"/>
        <w:spacing w:after="0" w:line="283" w:lineRule="auto"/>
        <w:rPr>
          <w:sz w:val="20"/>
          <w:szCs w:val="20"/>
          <w:color w:val="auto"/>
        </w:rPr>
      </w:pPr>
      <w:r>
        <w:rPr>
          <w:rFonts w:ascii="Arial" w:cs="Arial" w:eastAsia="Arial" w:hAnsi="Arial"/>
          <w:sz w:val="19"/>
          <w:szCs w:val="19"/>
          <w:color w:val="auto"/>
        </w:rPr>
        <w:t>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and the Company.</w:t>
      </w:r>
    </w:p>
    <w:p>
      <w:pPr>
        <w:spacing w:after="0" w:line="157" w:lineRule="exact"/>
        <w:rPr>
          <w:sz w:val="20"/>
          <w:szCs w:val="20"/>
          <w:color w:val="auto"/>
        </w:rPr>
      </w:pPr>
    </w:p>
    <w:p>
      <w:pPr>
        <w:ind w:left="80" w:right="100" w:firstLine="829"/>
        <w:spacing w:after="0" w:line="264"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Health Insurance and Benefits.</w:t>
      </w:r>
      <w:r>
        <w:rPr>
          <w:rFonts w:ascii="Arial" w:cs="Arial" w:eastAsia="Arial" w:hAnsi="Arial"/>
          <w:sz w:val="21"/>
          <w:szCs w:val="21"/>
          <w:color w:val="auto"/>
        </w:rPr>
        <w:t xml:space="preserve"> The Executive shall be eligible to participate in theCompany's health, dental and vision plans, as well as the Company's 401k program.</w:t>
      </w:r>
    </w:p>
    <w:p>
      <w:pPr>
        <w:spacing w:after="0" w:line="130" w:lineRule="exact"/>
        <w:rPr>
          <w:sz w:val="20"/>
          <w:szCs w:val="20"/>
          <w:color w:val="auto"/>
        </w:rPr>
      </w:pPr>
    </w:p>
    <w:p>
      <w:pPr>
        <w:ind w:left="920" w:hanging="857"/>
        <w:spacing w:after="0"/>
        <w:tabs>
          <w:tab w:leader="none" w:pos="92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 of Employment</w:t>
      </w:r>
    </w:p>
    <w:p>
      <w:pPr>
        <w:spacing w:after="0" w:line="247"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8"/>
          <w:szCs w:val="18"/>
          <w:u w:val="single" w:color="auto"/>
          <w:color w:val="auto"/>
        </w:rPr>
        <w:t xml:space="preserve">At-Will Employment. </w:t>
      </w:r>
      <w:r>
        <w:rPr>
          <w:rFonts w:ascii="Arial" w:cs="Arial" w:eastAsia="Arial" w:hAnsi="Arial"/>
          <w:sz w:val="18"/>
          <w:szCs w:val="18"/>
          <w:color w:val="auto"/>
        </w:rPr>
        <w:t>The Company and the Executive hereby agree that the Executive's</w:t>
      </w:r>
    </w:p>
    <w:p>
      <w:pPr>
        <w:spacing w:after="0" w:line="20" w:lineRule="exact"/>
        <w:rPr>
          <w:sz w:val="20"/>
          <w:szCs w:val="20"/>
          <w:color w:val="auto"/>
        </w:rPr>
      </w:pPr>
    </w:p>
    <w:p>
      <w:pPr>
        <w:jc w:val="both"/>
        <w:ind w:left="60" w:right="200"/>
        <w:spacing w:after="0" w:line="262" w:lineRule="auto"/>
        <w:rPr>
          <w:sz w:val="20"/>
          <w:szCs w:val="20"/>
          <w:color w:val="auto"/>
        </w:rPr>
      </w:pPr>
      <w:r>
        <w:rPr>
          <w:rFonts w:ascii="Arial" w:cs="Arial" w:eastAsia="Arial" w:hAnsi="Arial"/>
          <w:sz w:val="20"/>
          <w:szCs w:val="20"/>
          <w:color w:val="auto"/>
        </w:rPr>
        <w:t>employment by the Company shall be "at-will" and for an indefinite period of time.Subject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520" w:type="dxa"/>
            <w:vAlign w:val="bottom"/>
          </w:tcPr>
          <w:p>
            <w:pPr>
              <w:jc w:val="right"/>
              <w:ind w:right="157"/>
              <w:spacing w:after="0"/>
              <w:rPr>
                <w:sz w:val="20"/>
                <w:szCs w:val="20"/>
                <w:color w:val="auto"/>
              </w:rPr>
            </w:pPr>
            <w:r>
              <w:rPr>
                <w:rFonts w:ascii="Arial" w:cs="Arial" w:eastAsia="Arial" w:hAnsi="Arial"/>
                <w:sz w:val="21"/>
                <w:szCs w:val="21"/>
                <w:color w:val="auto"/>
                <w:w w:val="82"/>
              </w:rPr>
              <w:t>3.2</w:t>
            </w:r>
          </w:p>
        </w:tc>
        <w:tc>
          <w:tcPr>
            <w:tcW w:w="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2"/>
              </w:rPr>
              <w:t>Definitions.</w:t>
            </w:r>
          </w:p>
        </w:tc>
        <w:tc>
          <w:tcPr>
            <w:tcW w:w="62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484"/>
        </w:trPr>
        <w:tc>
          <w:tcPr>
            <w:tcW w:w="520" w:type="dxa"/>
            <w:vAlign w:val="bottom"/>
          </w:tcPr>
          <w:p>
            <w:pPr>
              <w:spacing w:after="0"/>
              <w:rPr>
                <w:sz w:val="24"/>
                <w:szCs w:val="24"/>
                <w:color w:val="auto"/>
              </w:rPr>
            </w:pPr>
          </w:p>
        </w:tc>
        <w:tc>
          <w:tcPr>
            <w:tcW w:w="1920" w:type="dxa"/>
            <w:vAlign w:val="bottom"/>
            <w:gridSpan w:val="3"/>
          </w:tcPr>
          <w:p>
            <w:pPr>
              <w:ind w:left="280"/>
              <w:spacing w:after="0"/>
              <w:rPr>
                <w:sz w:val="20"/>
                <w:szCs w:val="20"/>
                <w:color w:val="auto"/>
              </w:rPr>
            </w:pPr>
            <w:r>
              <w:rPr>
                <w:rFonts w:ascii="Arial" w:cs="Arial" w:eastAsia="Arial" w:hAnsi="Arial"/>
                <w:sz w:val="21"/>
                <w:szCs w:val="21"/>
                <w:color w:val="auto"/>
              </w:rPr>
              <w:t>(a)</w:t>
            </w:r>
          </w:p>
        </w:tc>
        <w:tc>
          <w:tcPr>
            <w:tcW w:w="7640" w:type="dxa"/>
            <w:vAlign w:val="bottom"/>
          </w:tcPr>
          <w:p>
            <w:pPr>
              <w:ind w:left="640"/>
              <w:spacing w:after="0"/>
              <w:rPr>
                <w:sz w:val="20"/>
                <w:szCs w:val="20"/>
                <w:color w:val="auto"/>
              </w:rPr>
            </w:pPr>
            <w:r>
              <w:rPr>
                <w:rFonts w:ascii="Arial" w:cs="Arial" w:eastAsia="Arial" w:hAnsi="Arial"/>
                <w:sz w:val="22"/>
                <w:szCs w:val="22"/>
                <w:b w:val="1"/>
                <w:bCs w:val="1"/>
                <w:color w:val="auto"/>
                <w:w w:val="91"/>
              </w:rPr>
              <w:t xml:space="preserve">Cause. </w:t>
            </w:r>
            <w:r>
              <w:rPr>
                <w:rFonts w:ascii="Arial" w:cs="Arial" w:eastAsia="Arial" w:hAnsi="Arial"/>
                <w:sz w:val="20"/>
                <w:szCs w:val="20"/>
                <w:color w:val="auto"/>
                <w:w w:val="91"/>
              </w:rPr>
              <w:t>For purposes of this Agreement, "Cause" shall mean the occurrence of one or</w:t>
            </w:r>
          </w:p>
        </w:tc>
      </w:tr>
    </w:tbl>
    <w:p>
      <w:pPr>
        <w:ind w:left="60" w:right="240"/>
        <w:spacing w:after="0" w:line="262" w:lineRule="auto"/>
        <w:rPr>
          <w:sz w:val="20"/>
          <w:szCs w:val="20"/>
          <w:color w:val="auto"/>
        </w:rPr>
      </w:pPr>
      <w:r>
        <w:rPr>
          <w:rFonts w:ascii="Arial" w:cs="Arial" w:eastAsia="Arial" w:hAnsi="Arial"/>
          <w:sz w:val="20"/>
          <w:szCs w:val="20"/>
          <w:color w:val="auto"/>
        </w:rPr>
        <w:t>more of the following: (i) conviction of, or a plea of guilty or nolo contendere to, a felony or crime involving moral turpitude; (ii) participation in an act of fraud or theft against the Company; (iii) willful and material breach of Section 4.1 of this Agreement; (iv) willful and repeated failure to satisfactorily perform job duties; or (v) any willful act that is likely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639" w:right="499" w:bottom="1440" w:gutter="0" w:footer="0" w:header="0"/>
          <w:type w:val="continuous"/>
        </w:sectPr>
      </w:pPr>
    </w:p>
    <w:bookmarkStart w:id="202" w:name="page203"/>
    <w:bookmarkEnd w:id="202"/>
    <w:p>
      <w:pPr>
        <w:ind w:left="100" w:right="140"/>
        <w:spacing w:after="0" w:line="250" w:lineRule="auto"/>
        <w:rPr>
          <w:sz w:val="20"/>
          <w:szCs w:val="20"/>
          <w:color w:val="auto"/>
        </w:rPr>
      </w:pPr>
      <w:r>
        <w:rPr>
          <w:rFonts w:ascii="Arial" w:cs="Arial" w:eastAsia="Arial" w:hAnsi="Arial"/>
          <w:sz w:val="21"/>
          <w:szCs w:val="21"/>
          <w:color w:val="auto"/>
        </w:rPr>
        <w:t xml:space="preserve">to and which does in fact have the effect of injuring the reputation, business, or a business relationship of the </w:t>
      </w:r>
      <w:r>
        <w:rPr>
          <w:rFonts w:ascii="Arial" w:cs="Arial" w:eastAsia="Arial" w:hAnsi="Arial"/>
          <w:sz w:val="21"/>
          <w:szCs w:val="21"/>
          <w:i w:val="1"/>
          <w:iCs w:val="1"/>
          <w:color w:val="auto"/>
        </w:rPr>
        <w:t>Company, provided,</w:t>
      </w:r>
      <w:r>
        <w:rPr>
          <w:rFonts w:ascii="Arial" w:cs="Arial" w:eastAsia="Arial" w:hAnsi="Arial"/>
          <w:sz w:val="21"/>
          <w:szCs w:val="21"/>
          <w:color w:val="auto"/>
        </w:rPr>
        <w:t xml:space="preserve"> however, that the conduct described in the foregoing subsections (ii) through (v) will only constitute Cause if such conduct is not cured within thirty</w:t>
      </w:r>
    </w:p>
    <w:p>
      <w:pPr>
        <w:ind w:left="100" w:right="260" w:hanging="8"/>
        <w:spacing w:after="0" w:line="246" w:lineRule="auto"/>
        <w:tabs>
          <w:tab w:leader="none" w:pos="495" w:val="left"/>
        </w:tabs>
        <w:numPr>
          <w:ilvl w:val="0"/>
          <w:numId w:val="248"/>
        </w:numPr>
        <w:rPr>
          <w:rFonts w:ascii="Arial" w:cs="Arial" w:eastAsia="Arial" w:hAnsi="Arial"/>
          <w:sz w:val="21"/>
          <w:szCs w:val="21"/>
          <w:color w:val="auto"/>
        </w:rPr>
      </w:pPr>
      <w:r>
        <w:rPr>
          <w:rFonts w:ascii="Arial" w:cs="Arial" w:eastAsia="Arial" w:hAnsi="Arial"/>
          <w:sz w:val="21"/>
          <w:szCs w:val="21"/>
          <w:color w:val="auto"/>
        </w:rPr>
        <w:t>days after the Executive's receipt of written notice from the Company specifying theparticulars of the conduct the Company believes constitutes Cause.</w:t>
      </w:r>
    </w:p>
    <w:p>
      <w:pPr>
        <w:spacing w:after="0" w:line="183" w:lineRule="exact"/>
        <w:rPr>
          <w:sz w:val="20"/>
          <w:szCs w:val="20"/>
          <w:color w:val="auto"/>
        </w:rPr>
      </w:pPr>
    </w:p>
    <w:p>
      <w:pPr>
        <w:ind w:left="80" w:firstLine="1654"/>
        <w:spacing w:after="0" w:line="244"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b w:val="1"/>
          <w:bCs w:val="1"/>
          <w:color w:val="auto"/>
        </w:rPr>
        <w:t>Good Reason.</w:t>
      </w:r>
      <w:r>
        <w:rPr>
          <w:rFonts w:ascii="Arial" w:cs="Arial" w:eastAsia="Arial" w:hAnsi="Arial"/>
          <w:sz w:val="21"/>
          <w:szCs w:val="21"/>
          <w:color w:val="auto"/>
        </w:rPr>
        <w:t xml:space="preserve"> For purposes of this Agreement, "Good Reason" shall mean: (i) a material diminution in Executive's authority, duties, or responsibilities in effect at thetime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(v) material reduction of the Target Bonus for the then-current fiscal year before the end of the then-current fiscal year; or</w:t>
      </w:r>
    </w:p>
    <w:p>
      <w:pPr>
        <w:spacing w:after="0" w:line="1" w:lineRule="exact"/>
        <w:rPr>
          <w:sz w:val="20"/>
          <w:szCs w:val="20"/>
          <w:color w:val="auto"/>
        </w:rPr>
      </w:pPr>
    </w:p>
    <w:p>
      <w:pPr>
        <w:ind w:left="80" w:right="40" w:firstLine="11"/>
        <w:spacing w:after="0" w:line="245" w:lineRule="auto"/>
        <w:tabs>
          <w:tab w:leader="none" w:pos="434"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the occurrence of a Change in Control of the Company as defined in Section 3.3(c) below,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however, that the conduct described in the foregoing subsections (i) through (v) will only constitute Good Reason if such conduct is not cured within thirty (30) days after the Company's receipt of written notice from the Executive specifying the particulars of the conductthe Executive believes constitutes Good Reason.</w:t>
      </w:r>
    </w:p>
    <w:p>
      <w:pPr>
        <w:spacing w:after="0" w:line="186" w:lineRule="exact"/>
        <w:rPr>
          <w:sz w:val="20"/>
          <w:szCs w:val="20"/>
          <w:color w:val="auto"/>
        </w:rPr>
      </w:pPr>
    </w:p>
    <w:p>
      <w:pPr>
        <w:ind w:left="80" w:right="140" w:firstLine="1654"/>
        <w:spacing w:after="0" w:line="264"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b w:val="1"/>
          <w:bCs w:val="1"/>
          <w:color w:val="auto"/>
        </w:rPr>
        <w:t>Change in Control.</w:t>
      </w:r>
      <w:r>
        <w:rPr>
          <w:rFonts w:ascii="Arial" w:cs="Arial" w:eastAsia="Arial" w:hAnsi="Arial"/>
          <w:sz w:val="20"/>
          <w:szCs w:val="20"/>
          <w:color w:val="auto"/>
        </w:rPr>
        <w:t xml:space="preserve"> For purposes of this Agreement, "Change in Control" shall mean any of the following events occurring after the 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stockof Company in one or more related transactions such as a buy out or exit of the Company (but excluding any change in stock listing).</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540" w:type="dxa"/>
            <w:vAlign w:val="bottom"/>
          </w:tcPr>
          <w:p>
            <w:pPr>
              <w:jc w:val="right"/>
              <w:ind w:right="177"/>
              <w:spacing w:after="0"/>
              <w:rPr>
                <w:sz w:val="20"/>
                <w:szCs w:val="20"/>
                <w:color w:val="auto"/>
              </w:rPr>
            </w:pPr>
            <w:r>
              <w:rPr>
                <w:rFonts w:ascii="Arial" w:cs="Arial" w:eastAsia="Arial" w:hAnsi="Arial"/>
                <w:sz w:val="21"/>
                <w:szCs w:val="21"/>
                <w:color w:val="auto"/>
                <w:w w:val="82"/>
              </w:rPr>
              <w:t>3.3</w:t>
            </w:r>
          </w:p>
        </w:tc>
        <w:tc>
          <w:tcPr>
            <w:tcW w:w="3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21"/>
                <w:szCs w:val="21"/>
                <w:color w:val="auto"/>
              </w:rPr>
              <w:t>Termination.</w:t>
            </w:r>
          </w:p>
        </w:tc>
        <w:tc>
          <w:tcPr>
            <w:tcW w:w="7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80" w:type="dxa"/>
            <w:vAlign w:val="bottom"/>
            <w:vMerge w:val="restart"/>
          </w:tcPr>
          <w:p>
            <w:pPr>
              <w:ind w:left="600"/>
              <w:spacing w:after="0"/>
              <w:rPr>
                <w:sz w:val="20"/>
                <w:szCs w:val="20"/>
                <w:color w:val="auto"/>
              </w:rPr>
            </w:pPr>
            <w:r>
              <w:rPr>
                <w:rFonts w:ascii="Arial" w:cs="Arial" w:eastAsia="Arial" w:hAnsi="Arial"/>
                <w:sz w:val="21"/>
                <w:szCs w:val="21"/>
                <w:b w:val="1"/>
                <w:bCs w:val="1"/>
                <w:color w:val="auto"/>
                <w:w w:val="87"/>
              </w:rPr>
              <w:t xml:space="preserve">Termination for Cause or Resignation without Good Reason. </w:t>
            </w:r>
            <w:r>
              <w:rPr>
                <w:rFonts w:ascii="Arial" w:cs="Arial" w:eastAsia="Arial" w:hAnsi="Arial"/>
                <w:sz w:val="21"/>
                <w:szCs w:val="21"/>
                <w:color w:val="auto"/>
                <w:w w:val="87"/>
              </w:rPr>
              <w:t>In the event that</w:t>
            </w:r>
          </w:p>
        </w:tc>
        <w:tc>
          <w:tcPr>
            <w:tcW w:w="0" w:type="dxa"/>
            <w:vAlign w:val="bottom"/>
          </w:tcPr>
          <w:p>
            <w:pPr>
              <w:spacing w:after="0" w:line="20" w:lineRule="exact"/>
              <w:rPr>
                <w:sz w:val="1"/>
                <w:szCs w:val="1"/>
                <w:color w:val="auto"/>
              </w:rPr>
            </w:pPr>
          </w:p>
        </w:tc>
      </w:tr>
      <w:tr>
        <w:trPr>
          <w:trHeight w:val="484"/>
        </w:trPr>
        <w:tc>
          <w:tcPr>
            <w:tcW w:w="540" w:type="dxa"/>
            <w:vAlign w:val="bottom"/>
          </w:tcPr>
          <w:p>
            <w:pPr>
              <w:spacing w:after="0"/>
              <w:rPr>
                <w:sz w:val="24"/>
                <w:szCs w:val="24"/>
                <w:color w:val="auto"/>
              </w:rPr>
            </w:pPr>
          </w:p>
        </w:tc>
        <w:tc>
          <w:tcPr>
            <w:tcW w:w="1960" w:type="dxa"/>
            <w:vAlign w:val="bottom"/>
            <w:gridSpan w:val="3"/>
          </w:tcPr>
          <w:p>
            <w:pPr>
              <w:ind w:left="260"/>
              <w:spacing w:after="0"/>
              <w:rPr>
                <w:sz w:val="20"/>
                <w:szCs w:val="20"/>
                <w:color w:val="auto"/>
              </w:rPr>
            </w:pPr>
            <w:r>
              <w:rPr>
                <w:rFonts w:ascii="Arial" w:cs="Arial" w:eastAsia="Arial" w:hAnsi="Arial"/>
                <w:sz w:val="21"/>
                <w:szCs w:val="21"/>
                <w:color w:val="auto"/>
              </w:rPr>
              <w:t>(a)</w:t>
            </w:r>
          </w:p>
        </w:tc>
        <w:tc>
          <w:tcPr>
            <w:tcW w:w="7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80" w:right="60"/>
        <w:spacing w:after="0" w:line="243" w:lineRule="auto"/>
        <w:rPr>
          <w:sz w:val="20"/>
          <w:szCs w:val="20"/>
          <w:color w:val="auto"/>
        </w:rPr>
      </w:pPr>
      <w:r>
        <w:rPr>
          <w:rFonts w:ascii="Arial" w:cs="Arial" w:eastAsia="Arial" w:hAnsi="Arial"/>
          <w:sz w:val="21"/>
          <w:szCs w:val="21"/>
          <w:color w:val="auto"/>
        </w:rPr>
        <w:t>the Company terminates the Executive's employment for Cause or the Executive resigns her employment without Good Reason, this Agreement will terminate without further obligations to Executive other than the following: Executive shall be entitled to receive her unpaid base salary earned through her last day of employment, accrued but unused vacation pay,and vested benefits through and including Executive's last day of employment.</w:t>
      </w:r>
    </w:p>
    <w:p>
      <w:pPr>
        <w:spacing w:after="0" w:line="186" w:lineRule="exact"/>
        <w:rPr>
          <w:sz w:val="20"/>
          <w:szCs w:val="20"/>
          <w:color w:val="auto"/>
        </w:rPr>
      </w:pPr>
    </w:p>
    <w:p>
      <w:pPr>
        <w:ind w:left="1720"/>
        <w:spacing w:after="0"/>
        <w:tabs>
          <w:tab w:leader="none" w:pos="40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b w:val="1"/>
          <w:bCs w:val="1"/>
          <w:color w:val="auto"/>
        </w:rPr>
        <w:t xml:space="preserve">Involuntary Termination Without Cause or Resignation With Good Reason. </w:t>
      </w:r>
      <w:r>
        <w:rPr>
          <w:rFonts w:ascii="Arial" w:cs="Arial" w:eastAsia="Arial" w:hAnsi="Arial"/>
          <w:sz w:val="19"/>
          <w:szCs w:val="19"/>
          <w:color w:val="auto"/>
        </w:rPr>
        <w:t>In</w:t>
      </w:r>
    </w:p>
    <w:p>
      <w:pPr>
        <w:spacing w:after="0" w:line="49" w:lineRule="exact"/>
        <w:rPr>
          <w:sz w:val="20"/>
          <w:szCs w:val="20"/>
          <w:color w:val="auto"/>
        </w:rPr>
      </w:pPr>
    </w:p>
    <w:p>
      <w:pPr>
        <w:ind w:left="80" w:right="200"/>
        <w:spacing w:after="0" w:line="243" w:lineRule="auto"/>
        <w:rPr>
          <w:sz w:val="20"/>
          <w:szCs w:val="20"/>
          <w:color w:val="auto"/>
        </w:rPr>
      </w:pPr>
      <w:r>
        <w:rPr>
          <w:rFonts w:ascii="Arial" w:cs="Arial" w:eastAsia="Arial" w:hAnsi="Arial"/>
          <w:sz w:val="21"/>
          <w:szCs w:val="21"/>
          <w:color w:val="auto"/>
        </w:rPr>
        <w:t>the event of either an involuntary termination of the Executive's employment Without Cause or a voluntary resignation by the Executive for Good Reason, in exchange for theExecutive signing a separation and release of all claims agreement in a form acceptable to the Company, the Company shall provide the Executive with the following severance benefits in accordance with the timing set forth in Section 3.3(b)(v) below:</w:t>
      </w:r>
    </w:p>
    <w:p>
      <w:pPr>
        <w:spacing w:after="0" w:line="192" w:lineRule="exact"/>
        <w:rPr>
          <w:sz w:val="20"/>
          <w:szCs w:val="20"/>
          <w:color w:val="auto"/>
        </w:rPr>
      </w:pPr>
    </w:p>
    <w:p>
      <w:pPr>
        <w:jc w:val="both"/>
        <w:ind w:left="3460" w:right="80" w:hanging="846"/>
        <w:spacing w:after="0" w:line="252" w:lineRule="auto"/>
        <w:tabs>
          <w:tab w:leader="none" w:pos="3460" w:val="left"/>
        </w:tabs>
        <w:numPr>
          <w:ilvl w:val="0"/>
          <w:numId w:val="250"/>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xml:space="preserve"> The Company shall pay the Executive the equivalentof six (6) months of the Executive's annual base salary in effect at the time of the termination Without Cause or resignation 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631" w:right="499" w:bottom="1440" w:gutter="0" w:footer="0" w:header="0"/>
        </w:sectPr>
      </w:pPr>
    </w:p>
    <w:bookmarkStart w:id="203" w:name="page204"/>
    <w:bookmarkEnd w:id="203"/>
    <w:p>
      <w:pPr>
        <w:ind w:left="3480"/>
        <w:spacing w:after="0"/>
        <w:rPr>
          <w:sz w:val="20"/>
          <w:szCs w:val="20"/>
          <w:color w:val="auto"/>
        </w:rPr>
      </w:pPr>
      <w:r>
        <w:rPr>
          <w:rFonts w:ascii="Arial" w:cs="Arial" w:eastAsia="Arial" w:hAnsi="Arial"/>
          <w:sz w:val="20"/>
          <w:szCs w:val="20"/>
          <w:color w:val="auto"/>
        </w:rPr>
        <w:t>Good Reason in one lump sum payment, less standard deductionsand withholdings.</w:t>
      </w:r>
    </w:p>
    <w:p>
      <w:pPr>
        <w:spacing w:after="0" w:line="202" w:lineRule="exact"/>
        <w:rPr>
          <w:sz w:val="20"/>
          <w:szCs w:val="20"/>
          <w:color w:val="auto"/>
        </w:rPr>
      </w:pPr>
    </w:p>
    <w:p>
      <w:pPr>
        <w:ind w:left="3480" w:right="280" w:firstLine="3"/>
        <w:spacing w:after="0" w:line="246" w:lineRule="auto"/>
        <w:rPr>
          <w:sz w:val="20"/>
          <w:szCs w:val="20"/>
          <w:color w:val="auto"/>
        </w:rPr>
      </w:pPr>
      <w:r>
        <w:rPr>
          <w:rFonts w:ascii="Arial" w:cs="Arial" w:eastAsia="Arial" w:hAnsi="Arial"/>
          <w:sz w:val="20"/>
          <w:szCs w:val="20"/>
          <w:u w:val="single" w:color="auto"/>
          <w:color w:val="auto"/>
        </w:rPr>
        <w:t>Benefits Coverage.</w:t>
      </w:r>
      <w:r>
        <w:rPr>
          <w:rFonts w:ascii="Arial" w:cs="Arial" w:eastAsia="Arial" w:hAnsi="Arial"/>
          <w:sz w:val="20"/>
          <w:szCs w:val="20"/>
          <w:color w:val="auto"/>
        </w:rPr>
        <w:t xml:space="preserve"> The Company shall continue to provide grouphealth, vision, and dental plan benefits to the Executive for a period of six (6) months from and after the date of termination, with the cost of all regular premiums for such benefits paid by theCompany (or its successor).</w:t>
      </w:r>
    </w:p>
    <w:p>
      <w:pPr>
        <w:spacing w:after="0" w:line="178" w:lineRule="exact"/>
        <w:rPr>
          <w:sz w:val="20"/>
          <w:szCs w:val="20"/>
          <w:color w:val="auto"/>
        </w:rPr>
      </w:pPr>
    </w:p>
    <w:p>
      <w:pPr>
        <w:ind w:left="3460" w:right="200" w:hanging="846"/>
        <w:spacing w:after="0" w:line="260" w:lineRule="auto"/>
        <w:tabs>
          <w:tab w:leader="none" w:pos="3460"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Pro-Rated Annual Bonus.</w:t>
      </w:r>
      <w:r>
        <w:rPr>
          <w:rFonts w:ascii="Arial" w:cs="Arial" w:eastAsia="Arial" w:hAnsi="Arial"/>
          <w:sz w:val="19"/>
          <w:szCs w:val="19"/>
          <w:color w:val="auto"/>
        </w:rPr>
        <w:t xml:space="preserve"> The Company shall pay the Executive apro-rata portion of her Annual Bonus payment for the then-current fiscal year. The pro-rata Annual Bonus calculation shall assume that the Executive attained 100% of the performance target established for the then-current fiscal year and then will be prorated for the time the Executive actually remained employed during the then-current fiscal year.</w:t>
      </w:r>
    </w:p>
    <w:p>
      <w:pPr>
        <w:spacing w:after="0" w:line="166" w:lineRule="exact"/>
        <w:rPr>
          <w:rFonts w:ascii="Arial" w:cs="Arial" w:eastAsia="Arial" w:hAnsi="Arial"/>
          <w:sz w:val="19"/>
          <w:szCs w:val="19"/>
          <w:color w:val="auto"/>
        </w:rPr>
      </w:pPr>
    </w:p>
    <w:p>
      <w:pPr>
        <w:ind w:left="3460" w:hanging="846"/>
        <w:spacing w:after="0" w:line="278" w:lineRule="auto"/>
        <w:tabs>
          <w:tab w:leader="none" w:pos="346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xml:space="preserve"> Executive's stock options shall immediately accelerate so that 100% of any then unvested stock options shall immediately vest and become exercisable upon the date of Executive's termination Without Cause or resignation with Good Reason and shall continue to be exercisable for either a period of 180 days aftersuch termination or resignation or for the period specified in the vesting schedule of the applicable stock agreement, whichever is longer.</w:t>
      </w:r>
    </w:p>
    <w:p>
      <w:pPr>
        <w:spacing w:after="0" w:line="178" w:lineRule="exact"/>
        <w:rPr>
          <w:sz w:val="20"/>
          <w:szCs w:val="20"/>
          <w:color w:val="auto"/>
        </w:rPr>
      </w:pPr>
    </w:p>
    <w:p>
      <w:pPr>
        <w:jc w:val="both"/>
        <w:ind w:left="3440" w:right="580" w:hanging="839"/>
        <w:spacing w:after="0" w:line="291" w:lineRule="auto"/>
        <w:tabs>
          <w:tab w:leader="none" w:pos="34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xml:space="preserve"> The severance benefits in the above subsections 3.3(b)(i) and 3.3(b) (iii) shall be paid to executive within 15 days of the date the Executive signs the severance andrelease agreement and the revocation period, if any, has expired.</w:t>
      </w:r>
    </w:p>
    <w:p>
      <w:pPr>
        <w:spacing w:after="0" w:line="127" w:lineRule="exact"/>
        <w:rPr>
          <w:sz w:val="20"/>
          <w:szCs w:val="20"/>
          <w:color w:val="auto"/>
        </w:rPr>
      </w:pPr>
    </w:p>
    <w:p>
      <w:pPr>
        <w:ind w:left="1680"/>
        <w:spacing w:after="0"/>
        <w:tabs>
          <w:tab w:leader="none" w:pos="39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b w:val="1"/>
          <w:bCs w:val="1"/>
          <w:color w:val="auto"/>
        </w:rPr>
        <w:t xml:space="preserve">Termination or Resignation In Connection With Change In Control. </w:t>
      </w:r>
      <w:r>
        <w:rPr>
          <w:rFonts w:ascii="Arial" w:cs="Arial" w:eastAsia="Arial" w:hAnsi="Arial"/>
          <w:sz w:val="17"/>
          <w:szCs w:val="17"/>
          <w:color w:val="auto"/>
        </w:rPr>
        <w:t>In the</w:t>
      </w:r>
    </w:p>
    <w:p>
      <w:pPr>
        <w:spacing w:after="0" w:line="51" w:lineRule="exact"/>
        <w:rPr>
          <w:sz w:val="20"/>
          <w:szCs w:val="20"/>
          <w:color w:val="auto"/>
        </w:rPr>
      </w:pPr>
    </w:p>
    <w:p>
      <w:pPr>
        <w:ind w:left="60" w:right="260"/>
        <w:spacing w:after="0" w:line="269" w:lineRule="auto"/>
        <w:rPr>
          <w:sz w:val="20"/>
          <w:szCs w:val="20"/>
          <w:color w:val="auto"/>
        </w:rPr>
      </w:pPr>
      <w:r>
        <w:rPr>
          <w:rFonts w:ascii="Arial" w:cs="Arial" w:eastAsia="Arial" w:hAnsi="Arial"/>
          <w:sz w:val="19"/>
          <w:szCs w:val="19"/>
          <w:color w:val="auto"/>
        </w:rPr>
        <w:t>event Executive is terminated or resigns in connection with or within one (1) year following a Change in Control and for Good Reason as defined in 3.2(b), the Executive shall beentitled to all of the severance benefits set forth in Section 3.3(b) above.</w:t>
      </w:r>
    </w:p>
    <w:p>
      <w:pPr>
        <w:spacing w:after="0" w:line="145" w:lineRule="exact"/>
        <w:rPr>
          <w:sz w:val="20"/>
          <w:szCs w:val="20"/>
          <w:color w:val="auto"/>
        </w:rPr>
      </w:pPr>
    </w:p>
    <w:p>
      <w:pPr>
        <w:ind w:left="880" w:hanging="817"/>
        <w:spacing w:after="0"/>
        <w:tabs>
          <w:tab w:leader="none" w:pos="880" w:val="left"/>
        </w:tabs>
        <w:numPr>
          <w:ilvl w:val="0"/>
          <w:numId w:val="253"/>
        </w:numPr>
        <w:rPr>
          <w:rFonts w:ascii="Arial" w:cs="Arial" w:eastAsia="Arial" w:hAnsi="Arial"/>
          <w:sz w:val="22"/>
          <w:szCs w:val="22"/>
          <w:b w:val="1"/>
          <w:bCs w:val="1"/>
          <w:color w:val="auto"/>
        </w:rPr>
      </w:pPr>
      <w:r>
        <w:rPr>
          <w:rFonts w:ascii="Arial" w:cs="Arial" w:eastAsia="Arial" w:hAnsi="Arial"/>
          <w:sz w:val="22"/>
          <w:szCs w:val="22"/>
          <w:b w:val="1"/>
          <w:bCs w:val="1"/>
          <w:color w:val="auto"/>
        </w:rPr>
        <w:t>Proprietary Information</w:t>
      </w:r>
    </w:p>
    <w:p>
      <w:pPr>
        <w:spacing w:after="0" w:line="244" w:lineRule="exact"/>
        <w:rPr>
          <w:sz w:val="20"/>
          <w:szCs w:val="20"/>
          <w:color w:val="auto"/>
        </w:rPr>
      </w:pPr>
    </w:p>
    <w:p>
      <w:pPr>
        <w:ind w:left="60" w:right="160" w:firstLine="825"/>
        <w:spacing w:after="0" w:line="243" w:lineRule="auto"/>
        <w:rPr>
          <w:sz w:val="20"/>
          <w:szCs w:val="20"/>
          <w:color w:val="auto"/>
        </w:rPr>
      </w:pPr>
      <w:r>
        <w:rPr>
          <w:rFonts w:ascii="Arial" w:cs="Arial" w:eastAsia="Arial" w:hAnsi="Arial"/>
          <w:sz w:val="20"/>
          <w:szCs w:val="20"/>
          <w:color w:val="auto"/>
        </w:rPr>
        <w:t>The Executive acknowledges that: (i) the Executive has a major responsibility for the operation, development and growth of the Company's business and subsidiaries; (ii) the Executive's work for the Company and its subsidiaries has brought the Executive and will continue to bring the Executive into close contact with "Confidential Information" (as defined below); and (iii) the agreements and covenants contained in this Section 4 are essential to protectthe business interests of the Company and its subsidiaries and that the Company will not enter into this Agreement but for such agreements and covenants. Accordingly, the Executive covenants and agrees to the following: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400" w:top="636" w:right="459" w:bottom="1440" w:gutter="0" w:footer="0" w:header="0"/>
        </w:sectPr>
      </w:pPr>
    </w:p>
    <w:bookmarkStart w:id="204" w:name="page205"/>
    <w:bookmarkEnd w:id="204"/>
    <w:p>
      <w:pPr>
        <w:ind w:left="100" w:firstLine="841"/>
        <w:spacing w:after="0" w:line="28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Both during the term of the Executive's employment under this Agreement and indefinitely after the Executive is no longer employed as General Counsel of the Company, the Executive shall not, directly or indirectly, (i) knowingly use for an improper personal benefit any "Confidential Information" (as defined below) that was acquired by, learned by or disclosed to Executive by reason of the Executive's employment as General Counsel of the Company (before or after the date of this Agreement), or (ii) disclose any such Confidential Information to any person, business or entity, except in the proper course of the Executive's duties as General Counsel, of the Company. As used in this Agreement, </w:t>
      </w:r>
      <w:r>
        <w:rPr>
          <w:rFonts w:ascii="Arial" w:cs="Arial" w:eastAsia="Arial" w:hAnsi="Arial"/>
          <w:sz w:val="18"/>
          <w:szCs w:val="18"/>
          <w:b w:val="1"/>
          <w:bCs w:val="1"/>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and all confidential or proprietary information of the Company and its subsidiaries or affiliates that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known to the public, including, without limitation, business, financial, marketing, technical, developmental, operating, performance, know -how, and process information, drawings and 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thisSection 5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standard form Intellectual Property and Confidentiality Agreement protecting the trade secrets and other intellectual property of the Company.</w:t>
      </w:r>
    </w:p>
    <w:p>
      <w:pPr>
        <w:spacing w:after="0" w:line="200" w:lineRule="exact"/>
        <w:rPr>
          <w:sz w:val="20"/>
          <w:szCs w:val="20"/>
          <w:color w:val="auto"/>
        </w:rPr>
      </w:pPr>
    </w:p>
    <w:p>
      <w:pPr>
        <w:spacing w:after="0" w:line="209" w:lineRule="exact"/>
        <w:rPr>
          <w:sz w:val="20"/>
          <w:szCs w:val="20"/>
          <w:color w:val="auto"/>
        </w:rPr>
      </w:pPr>
    </w:p>
    <w:p>
      <w:pPr>
        <w:ind w:left="80" w:right="40" w:firstLine="829"/>
        <w:spacing w:after="0" w:line="247"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Duty of Loyalty and Non-Competition.</w:t>
      </w:r>
      <w:r>
        <w:rPr>
          <w:rFonts w:ascii="Arial" w:cs="Arial" w:eastAsia="Arial" w:hAnsi="Arial"/>
          <w:sz w:val="21"/>
          <w:szCs w:val="21"/>
          <w:color w:val="auto"/>
        </w:rPr>
        <w:t xml:space="preserve">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936" w:right="499" w:bottom="1440" w:gutter="0" w:footer="0" w:header="0"/>
        </w:sectPr>
      </w:pPr>
    </w:p>
    <w:bookmarkStart w:id="205" w:name="page206"/>
    <w:bookmarkEnd w:id="205"/>
    <w:p>
      <w:pPr>
        <w:ind w:left="100" w:right="80" w:firstLine="10"/>
        <w:spacing w:after="0" w:line="292" w:lineRule="auto"/>
        <w:rPr>
          <w:sz w:val="20"/>
          <w:szCs w:val="20"/>
          <w:color w:val="auto"/>
        </w:rPr>
      </w:pPr>
      <w:r>
        <w:rPr>
          <w:rFonts w:ascii="Arial" w:cs="Arial" w:eastAsia="Arial" w:hAnsi="Arial"/>
          <w:sz w:val="18"/>
          <w:szCs w:val="18"/>
          <w:color w:val="auto"/>
        </w:rPr>
        <w:t>the Company or any of its subsidiaries or affiliates, or in a business that the Company or any of its subsidiaries or affiliates has taken reasonable steps to engage in (including, but not limited to,meeting with management teams or entering into preliminary or 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totaloutstanding stock of a publicly held company. At all times following the termination of Executive's employment as General Counsel of the Company for any reason, Executive shall not, either directly or indirectly, engage in any unlawful competitive activities or use confidential trade secret information for any purpose.</w:t>
      </w:r>
    </w:p>
    <w:p>
      <w:pPr>
        <w:spacing w:after="0" w:line="129"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320" w:type="dxa"/>
            <w:vAlign w:val="bottom"/>
          </w:tcPr>
          <w:p>
            <w:pPr>
              <w:jc w:val="right"/>
              <w:ind w:right="137"/>
              <w:spacing w:after="0"/>
              <w:rPr>
                <w:sz w:val="20"/>
                <w:szCs w:val="20"/>
                <w:color w:val="auto"/>
              </w:rPr>
            </w:pPr>
            <w:r>
              <w:rPr>
                <w:rFonts w:ascii="Arial" w:cs="Arial" w:eastAsia="Arial" w:hAnsi="Arial"/>
                <w:sz w:val="21"/>
                <w:szCs w:val="21"/>
                <w:color w:val="auto"/>
              </w:rPr>
              <w:t>4.3</w:t>
            </w:r>
          </w:p>
        </w:tc>
        <w:tc>
          <w:tcPr>
            <w:tcW w:w="1200" w:type="dxa"/>
            <w:vAlign w:val="bottom"/>
          </w:tcPr>
          <w:p>
            <w:pPr>
              <w:spacing w:after="0"/>
              <w:rPr>
                <w:sz w:val="21"/>
                <w:szCs w:val="21"/>
                <w:color w:val="auto"/>
              </w:rPr>
            </w:pPr>
          </w:p>
        </w:tc>
        <w:tc>
          <w:tcPr>
            <w:tcW w:w="8140" w:type="dxa"/>
            <w:vAlign w:val="bottom"/>
            <w:gridSpan w:val="4"/>
          </w:tcPr>
          <w:p>
            <w:pPr>
              <w:spacing w:after="0"/>
              <w:rPr>
                <w:sz w:val="20"/>
                <w:szCs w:val="20"/>
                <w:color w:val="auto"/>
              </w:rPr>
            </w:pPr>
            <w:r>
              <w:rPr>
                <w:rFonts w:ascii="Arial" w:cs="Arial" w:eastAsia="Arial" w:hAnsi="Arial"/>
                <w:sz w:val="21"/>
                <w:szCs w:val="21"/>
                <w:color w:val="auto"/>
                <w:w w:val="89"/>
              </w:rPr>
              <w:t>Non-Solicitation. For a period beginning on the Effective Date and ending two years after the date</w:t>
            </w:r>
          </w:p>
        </w:tc>
      </w:tr>
      <w:tr>
        <w:trPr>
          <w:trHeight w:val="20"/>
        </w:trPr>
        <w:tc>
          <w:tcPr>
            <w:tcW w:w="252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0660" w:type="dxa"/>
            <w:vAlign w:val="bottom"/>
            <w:gridSpan w:val="6"/>
          </w:tcPr>
          <w:p>
            <w:pPr>
              <w:spacing w:after="0" w:line="223" w:lineRule="exact"/>
              <w:rPr>
                <w:sz w:val="20"/>
                <w:szCs w:val="20"/>
                <w:color w:val="auto"/>
              </w:rPr>
            </w:pPr>
            <w:r>
              <w:rPr>
                <w:rFonts w:ascii="Arial" w:cs="Arial" w:eastAsia="Arial" w:hAnsi="Arial"/>
                <w:sz w:val="21"/>
                <w:szCs w:val="21"/>
                <w:color w:val="auto"/>
                <w:w w:val="95"/>
              </w:rPr>
              <w:t xml:space="preserve">on which the Executive is no longer employed as General Counsel of the Company (the </w:t>
            </w:r>
            <w:r>
              <w:rPr>
                <w:rFonts w:ascii="Arial" w:cs="Arial" w:eastAsia="Arial" w:hAnsi="Arial"/>
                <w:sz w:val="21"/>
                <w:szCs w:val="21"/>
                <w:b w:val="1"/>
                <w:bCs w:val="1"/>
                <w:color w:val="auto"/>
                <w:w w:val="95"/>
              </w:rPr>
              <w:t>"Non-Solicitation Period"),</w:t>
            </w:r>
            <w:r>
              <w:rPr>
                <w:rFonts w:ascii="Arial" w:cs="Arial" w:eastAsia="Arial" w:hAnsi="Arial"/>
                <w:sz w:val="21"/>
                <w:szCs w:val="21"/>
                <w:color w:val="auto"/>
                <w:w w:val="95"/>
              </w:rPr>
              <w:t xml:space="preserve"> the</w:t>
            </w:r>
          </w:p>
        </w:tc>
      </w:tr>
      <w:tr>
        <w:trPr>
          <w:trHeight w:val="20"/>
        </w:trPr>
        <w:tc>
          <w:tcPr>
            <w:tcW w:w="132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8"/>
        </w:trPr>
        <w:tc>
          <w:tcPr>
            <w:tcW w:w="1320" w:type="dxa"/>
            <w:vAlign w:val="bottom"/>
          </w:tcPr>
          <w:p>
            <w:pPr>
              <w:spacing w:after="0"/>
              <w:rPr>
                <w:sz w:val="20"/>
                <w:szCs w:val="20"/>
                <w:color w:val="auto"/>
              </w:rPr>
            </w:pPr>
            <w:r>
              <w:rPr>
                <w:rFonts w:ascii="Arial" w:cs="Arial" w:eastAsia="Arial" w:hAnsi="Arial"/>
                <w:sz w:val="21"/>
                <w:szCs w:val="21"/>
                <w:color w:val="auto"/>
                <w:w w:val="92"/>
              </w:rPr>
              <w:t>Executive shall</w:t>
            </w:r>
          </w:p>
        </w:tc>
        <w:tc>
          <w:tcPr>
            <w:tcW w:w="9340" w:type="dxa"/>
            <w:vAlign w:val="bottom"/>
            <w:gridSpan w:val="5"/>
          </w:tcPr>
          <w:p>
            <w:pPr>
              <w:ind w:left="60"/>
              <w:spacing w:after="0"/>
              <w:rPr>
                <w:sz w:val="20"/>
                <w:szCs w:val="20"/>
                <w:color w:val="auto"/>
              </w:rPr>
            </w:pPr>
            <w:r>
              <w:rPr>
                <w:rFonts w:ascii="Arial" w:cs="Arial" w:eastAsia="Arial" w:hAnsi="Arial"/>
                <w:sz w:val="21"/>
                <w:szCs w:val="21"/>
                <w:color w:val="auto"/>
                <w:w w:val="95"/>
              </w:rPr>
              <w:t>not in any capacity, either separately or in association with others: (i) unlawfully solicit for employment or</w:t>
            </w:r>
          </w:p>
        </w:tc>
      </w:tr>
    </w:tbl>
    <w:p>
      <w:pPr>
        <w:ind w:left="100" w:right="20"/>
        <w:spacing w:after="0" w:line="242" w:lineRule="auto"/>
        <w:rPr>
          <w:sz w:val="20"/>
          <w:szCs w:val="20"/>
          <w:color w:val="auto"/>
        </w:rPr>
      </w:pPr>
      <w:r>
        <w:rPr>
          <w:rFonts w:ascii="Arial" w:cs="Arial" w:eastAsia="Arial" w:hAnsi="Arial"/>
          <w:sz w:val="21"/>
          <w:szCs w:val="21"/>
          <w:color w:val="auto"/>
        </w:rPr>
        <w:t>endeavor in any way to unlawfully entice away from employment with the Company or its subsidiaries or affiliates any employee of the Company or its subsidiaries or affiliates, or any person or entity that had been an employee or affiliate of the Company or its subsidiaries within the six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to discontinue, reduce or modify such relationship with the Company or its subsidiaries.</w:t>
      </w:r>
    </w:p>
    <w:p>
      <w:pPr>
        <w:spacing w:after="0" w:line="195" w:lineRule="exact"/>
        <w:rPr>
          <w:sz w:val="20"/>
          <w:szCs w:val="20"/>
          <w:color w:val="auto"/>
        </w:rPr>
      </w:pPr>
    </w:p>
    <w:p>
      <w:pPr>
        <w:ind w:left="80" w:firstLine="834"/>
        <w:spacing w:after="0" w:line="256"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Non-disparagement.</w:t>
      </w:r>
      <w:r>
        <w:rPr>
          <w:rFonts w:ascii="Arial" w:cs="Arial" w:eastAsia="Arial" w:hAnsi="Arial"/>
          <w:sz w:val="20"/>
          <w:szCs w:val="20"/>
          <w:color w:val="auto"/>
        </w:rPr>
        <w:t xml:space="preserve"> The Executive agrees (whether during or after Executive's employment as General Counsel of the Company) not to issue, circulate, publish or utter any comments or statements to the press or other media, or to any third parties, or to any employees of the Company or its subsidiaries or affiliates, or any consultants or any individual or entity with whom the Company or its subsidiaries or affiliates has a business relationship, which couldreasonably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188" w:lineRule="exact"/>
        <w:rPr>
          <w:sz w:val="20"/>
          <w:szCs w:val="20"/>
          <w:color w:val="auto"/>
        </w:rPr>
      </w:pPr>
    </w:p>
    <w:p>
      <w:pPr>
        <w:ind w:left="80" w:right="180" w:firstLine="824"/>
        <w:spacing w:after="0" w:line="265"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Return of Property.</w:t>
      </w:r>
      <w:r>
        <w:rPr>
          <w:rFonts w:ascii="Arial" w:cs="Arial" w:eastAsia="Arial" w:hAnsi="Arial"/>
          <w:sz w:val="20"/>
          <w:szCs w:val="20"/>
          <w:color w:val="auto"/>
        </w:rPr>
        <w:t xml:space="preserve"> Upon termination of her employment as General Counsel of the Company or at any time as the Company requests, the Executive will promptly deliver to the Company all documents (whether prepared by the Company, a subsidiary, an affiliate, the Executive or a third party) relating to the Company, any of its subsidiaries, an affiliate or any oftheir businesses or property that the Executive may possess or have under the Executive's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400" w:top="653" w:right="539" w:bottom="1440" w:gutter="0" w:footer="0" w:header="0"/>
        </w:sectPr>
      </w:pPr>
    </w:p>
    <w:bookmarkStart w:id="206" w:name="page207"/>
    <w:bookmarkEnd w:id="206"/>
    <w:p>
      <w:pPr>
        <w:ind w:left="80" w:right="340"/>
        <w:spacing w:after="0" w:line="260" w:lineRule="auto"/>
        <w:rPr>
          <w:sz w:val="20"/>
          <w:szCs w:val="20"/>
          <w:color w:val="auto"/>
        </w:rPr>
      </w:pPr>
      <w:r>
        <w:rPr>
          <w:rFonts w:ascii="Arial" w:cs="Arial" w:eastAsia="Arial" w:hAnsi="Arial"/>
          <w:sz w:val="20"/>
          <w:szCs w:val="20"/>
          <w:color w:val="auto"/>
        </w:rPr>
        <w:t>direction or control other than documents provided to the Executive in the Executive's capacityas a participant in any employee benefit plan, policy or program of the Company.</w:t>
      </w:r>
    </w:p>
    <w:p>
      <w:pPr>
        <w:spacing w:after="0" w:line="172" w:lineRule="exact"/>
        <w:rPr>
          <w:sz w:val="20"/>
          <w:szCs w:val="20"/>
          <w:color w:val="auto"/>
        </w:rPr>
      </w:pPr>
    </w:p>
    <w:p>
      <w:pPr>
        <w:ind w:left="900"/>
        <w:spacing w:after="0"/>
        <w:tabs>
          <w:tab w:leader="none" w:pos="25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 xml:space="preserve">Remedies. </w:t>
      </w:r>
      <w:r>
        <w:rPr>
          <w:rFonts w:ascii="Arial" w:cs="Arial" w:eastAsia="Arial" w:hAnsi="Arial"/>
          <w:sz w:val="19"/>
          <w:szCs w:val="19"/>
          <w:color w:val="auto"/>
        </w:rPr>
        <w:t>The Executive acknowledges that</w:t>
      </w:r>
      <w:r>
        <w:rPr>
          <w:rFonts w:ascii="Arial" w:cs="Arial" w:eastAsia="Arial" w:hAnsi="Arial"/>
          <w:sz w:val="19"/>
          <w:szCs w:val="19"/>
          <w:u w:val="single" w:color="auto"/>
          <w:color w:val="auto"/>
        </w:rPr>
        <w:t xml:space="preserve"> </w:t>
      </w:r>
      <w:r>
        <w:rPr>
          <w:rFonts w:ascii="Arial" w:cs="Arial" w:eastAsia="Arial" w:hAnsi="Arial"/>
          <w:sz w:val="17"/>
          <w:szCs w:val="17"/>
          <w:color w:val="auto"/>
        </w:rPr>
        <w:t>(i)</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Executive has had</w:t>
      </w:r>
      <w:r>
        <w:rPr>
          <w:rFonts w:ascii="Arial" w:cs="Arial" w:eastAsia="Arial" w:hAnsi="Arial"/>
          <w:sz w:val="19"/>
          <w:szCs w:val="19"/>
          <w:u w:val="single" w:color="auto"/>
          <w:color w:val="auto"/>
        </w:rPr>
        <w:t xml:space="preserve"> </w:t>
      </w:r>
      <w:r>
        <w:rPr>
          <w:rFonts w:ascii="Arial" w:cs="Arial" w:eastAsia="Arial" w:hAnsi="Arial"/>
          <w:sz w:val="13"/>
          <w:szCs w:val="13"/>
          <w:color w:val="auto"/>
        </w:rPr>
        <w:t>a..11</w:t>
      </w:r>
      <w:r>
        <w:rPr>
          <w:rFonts w:ascii="Arial" w:cs="Arial" w:eastAsia="Arial" w:hAnsi="Arial"/>
          <w:sz w:val="19"/>
          <w:szCs w:val="19"/>
          <w:u w:val="single" w:color="auto"/>
          <w:color w:val="auto"/>
        </w:rPr>
        <w:t xml:space="preserve"> </w:t>
      </w:r>
      <w:r>
        <w:rPr>
          <w:rFonts w:ascii="Arial" w:cs="Arial" w:eastAsia="Arial" w:hAnsi="Arial"/>
          <w:sz w:val="17"/>
          <w:szCs w:val="17"/>
          <w:color w:val="auto"/>
        </w:rPr>
        <w:t>opportunity to seek the</w:t>
      </w:r>
    </w:p>
    <w:p>
      <w:pPr>
        <w:spacing w:after="0" w:line="11" w:lineRule="exact"/>
        <w:rPr>
          <w:sz w:val="20"/>
          <w:szCs w:val="20"/>
          <w:color w:val="auto"/>
        </w:rPr>
      </w:pPr>
    </w:p>
    <w:p>
      <w:pPr>
        <w:ind w:left="80" w:right="280"/>
        <w:spacing w:after="0" w:line="272" w:lineRule="auto"/>
        <w:rPr>
          <w:sz w:val="20"/>
          <w:szCs w:val="20"/>
          <w:color w:val="auto"/>
        </w:rPr>
      </w:pPr>
      <w:r>
        <w:rPr>
          <w:rFonts w:ascii="Arial" w:cs="Arial" w:eastAsia="Arial" w:hAnsi="Arial"/>
          <w:sz w:val="18"/>
          <w:szCs w:val="18"/>
          <w:color w:val="auto"/>
        </w:rPr>
        <w:t>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appropriateremedy for the Company. If the Executive breaches or threatens to breach any of these provisions, the Company shall be entitled, in addition to all other remedies, to seek an injunctionrestraining any such breach, without any bond or other security being required and without the necessity of showing actual damages.</w:t>
      </w:r>
    </w:p>
    <w:p>
      <w:pPr>
        <w:spacing w:after="0" w:line="118" w:lineRule="exact"/>
        <w:rPr>
          <w:sz w:val="20"/>
          <w:szCs w:val="20"/>
          <w:color w:val="auto"/>
        </w:rPr>
      </w:pPr>
    </w:p>
    <w:p>
      <w:pPr>
        <w:ind w:left="900" w:hanging="837"/>
        <w:spacing w:after="0"/>
        <w:tabs>
          <w:tab w:leader="none" w:pos="90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w:t>
      </w:r>
    </w:p>
    <w:p>
      <w:pPr>
        <w:spacing w:after="0" w:line="230" w:lineRule="exact"/>
        <w:rPr>
          <w:sz w:val="20"/>
          <w:szCs w:val="20"/>
          <w:color w:val="auto"/>
        </w:rPr>
      </w:pPr>
    </w:p>
    <w:p>
      <w:pPr>
        <w:ind w:left="80" w:right="260" w:firstLine="811"/>
        <w:spacing w:after="0" w:line="250" w:lineRule="auto"/>
        <w:rPr>
          <w:sz w:val="20"/>
          <w:szCs w:val="20"/>
          <w:color w:val="auto"/>
        </w:rPr>
      </w:pPr>
      <w:r>
        <w:rPr>
          <w:rFonts w:ascii="Arial" w:cs="Arial" w:eastAsia="Arial" w:hAnsi="Arial"/>
          <w:sz w:val="20"/>
          <w:szCs w:val="20"/>
          <w:color w:val="auto"/>
        </w:rPr>
        <w:t>This Agreement is personal in nature, and neither this Agreement nor any part of any obligation herein shall be assignable by Executive. The Company shall be entitled to assign thisAgreement to any affiliate of the Company or any entity that assumes the ownership and controlof the business of the Company.</w:t>
      </w:r>
    </w:p>
    <w:p>
      <w:pPr>
        <w:spacing w:after="0" w:line="162" w:lineRule="exact"/>
        <w:rPr>
          <w:sz w:val="20"/>
          <w:szCs w:val="20"/>
          <w:color w:val="auto"/>
        </w:rPr>
      </w:pPr>
    </w:p>
    <w:p>
      <w:pPr>
        <w:ind w:left="880" w:hanging="831"/>
        <w:spacing w:after="0"/>
        <w:tabs>
          <w:tab w:leader="none" w:pos="880"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30" w:lineRule="exact"/>
        <w:rPr>
          <w:sz w:val="20"/>
          <w:szCs w:val="20"/>
          <w:color w:val="auto"/>
        </w:rPr>
      </w:pPr>
    </w:p>
    <w:p>
      <w:pPr>
        <w:ind w:left="60" w:right="80" w:firstLine="826"/>
        <w:spacing w:after="0" w:line="250" w:lineRule="auto"/>
        <w:rPr>
          <w:sz w:val="20"/>
          <w:szCs w:val="20"/>
          <w:color w:val="auto"/>
        </w:rPr>
      </w:pPr>
      <w:r>
        <w:rPr>
          <w:rFonts w:ascii="Arial" w:cs="Arial" w:eastAsia="Arial" w:hAnsi="Arial"/>
          <w:sz w:val="20"/>
          <w:szCs w:val="20"/>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voidedterm, provision, covenant or condition is not contained herein.</w:t>
      </w:r>
    </w:p>
    <w:p>
      <w:pPr>
        <w:spacing w:after="0" w:line="162" w:lineRule="exact"/>
        <w:rPr>
          <w:sz w:val="20"/>
          <w:szCs w:val="20"/>
          <w:color w:val="auto"/>
        </w:rPr>
      </w:pPr>
    </w:p>
    <w:p>
      <w:pPr>
        <w:ind w:left="900" w:hanging="837"/>
        <w:spacing w:after="0"/>
        <w:tabs>
          <w:tab w:leader="none" w:pos="900"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Binding Arbitration</w:t>
      </w:r>
    </w:p>
    <w:p>
      <w:pPr>
        <w:spacing w:after="0" w:line="230" w:lineRule="exact"/>
        <w:rPr>
          <w:sz w:val="20"/>
          <w:szCs w:val="20"/>
          <w:color w:val="auto"/>
        </w:rPr>
      </w:pPr>
    </w:p>
    <w:p>
      <w:pPr>
        <w:ind w:left="60" w:firstLine="842"/>
        <w:spacing w:after="0" w:line="274" w:lineRule="auto"/>
        <w:rPr>
          <w:sz w:val="20"/>
          <w:szCs w:val="20"/>
          <w:color w:val="auto"/>
        </w:rPr>
      </w:pPr>
      <w:r>
        <w:rPr>
          <w:rFonts w:ascii="Arial" w:cs="Arial" w:eastAsia="Arial" w:hAnsi="Arial"/>
          <w:sz w:val="18"/>
          <w:szCs w:val="18"/>
          <w:color w:val="auto"/>
        </w:rPr>
        <w:t>Any and all disputes which involve or relate in any way to this Agreement and/or to Executive's employment or termination of employment as General Counsel of the Company, whether initiated by Executive or by the Company and whether based on contract, tort, statute, orcommon law, shall be submitted to and resolved by final and binding arbitration as the exclusivemethod for resolving all such disputes. The arbitration shall be private and confidential and conducted in Los Angeles, California pursuant to the Federal Arbitration Act and applicable California law, and pursuant to the applicable rules of the American Arbitration Association ("AAA") relating to employment disputes, unless the parties otherwise mutually agree to modifythe AAA Rules. A copy of the AAA Employment Rules are available for review at www.adr.org/employment and are incorporated herein by reference.</w:t>
      </w:r>
    </w:p>
    <w:p>
      <w:pPr>
        <w:spacing w:after="0" w:line="168" w:lineRule="exact"/>
        <w:rPr>
          <w:sz w:val="20"/>
          <w:szCs w:val="20"/>
          <w:color w:val="auto"/>
        </w:rPr>
      </w:pPr>
    </w:p>
    <w:p>
      <w:pPr>
        <w:ind w:left="40" w:right="260" w:firstLine="825"/>
        <w:spacing w:after="0" w:line="243" w:lineRule="auto"/>
        <w:rPr>
          <w:sz w:val="20"/>
          <w:szCs w:val="20"/>
          <w:color w:val="auto"/>
        </w:rPr>
      </w:pPr>
      <w:r>
        <w:rPr>
          <w:rFonts w:ascii="Arial" w:cs="Arial" w:eastAsia="Arial" w:hAnsi="Arial"/>
          <w:sz w:val="20"/>
          <w:szCs w:val="20"/>
          <w:color w:val="auto"/>
        </w:rPr>
        <w:t>The party demanding arbitration shall submit a written claim to the other party, setting out the basis of the claim or claims, within the time period of any applicable statute of limitationsrelating to such claim(s). If the parties cannot mutually agree upon an Arbitrator, then the partiesshall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Theparties shall have the right to reasonable discovery. The parties agree that the Company shall pay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400" w:top="636" w:right="439" w:bottom="1440" w:gutter="0" w:footer="0" w:header="0"/>
        </w:sectPr>
      </w:pPr>
    </w:p>
    <w:bookmarkStart w:id="207" w:name="page208"/>
    <w:bookmarkEnd w:id="207"/>
    <w:p>
      <w:pPr>
        <w:ind w:left="80" w:right="40" w:firstLine="5"/>
        <w:spacing w:after="0" w:line="249" w:lineRule="auto"/>
        <w:rPr>
          <w:sz w:val="20"/>
          <w:szCs w:val="20"/>
          <w:color w:val="auto"/>
        </w:rPr>
      </w:pPr>
      <w:r>
        <w:rPr>
          <w:rFonts w:ascii="Arial" w:cs="Arial" w:eastAsia="Arial" w:hAnsi="Arial"/>
          <w:sz w:val="21"/>
          <w:szCs w:val="21"/>
          <w:color w:val="auto"/>
        </w:rPr>
        <w:t>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dispute,such as deposition costs, expert witnesses and similar expenses, except as otherwise provided inthis Agreement to the prevailing party.</w:t>
      </w:r>
    </w:p>
    <w:p>
      <w:pPr>
        <w:spacing w:after="0" w:line="186" w:lineRule="exact"/>
        <w:rPr>
          <w:sz w:val="20"/>
          <w:szCs w:val="20"/>
          <w:color w:val="auto"/>
        </w:rPr>
      </w:pPr>
    </w:p>
    <w:p>
      <w:pPr>
        <w:ind w:left="60" w:firstLine="823"/>
        <w:spacing w:after="0" w:line="247" w:lineRule="auto"/>
        <w:rPr>
          <w:sz w:val="20"/>
          <w:szCs w:val="20"/>
          <w:color w:val="auto"/>
        </w:rPr>
      </w:pPr>
      <w:r>
        <w:rPr>
          <w:rFonts w:ascii="Arial" w:cs="Arial" w:eastAsia="Arial" w:hAnsi="Arial"/>
          <w:sz w:val="21"/>
          <w:szCs w:val="21"/>
          <w:color w:val="auto"/>
        </w:rPr>
        <w:t>The Arbitrator may award, if properly proven, any damages or remedy that a party couldrecover in a civil litigation and shall award costs and reasonable attorneys' fees to the prevailing party as provided by law. The award of the Arbitrator shall be issued in writing, setting forth thebasis for the decision, and shall be binding on the parties to the fullest extent permitted by law, subject to any limited statutory right to appeal as provided by law. Judgment upon the award of the Arbitrator may be entered in any state or federal court sitting in Los Angeles, California.</w:t>
      </w:r>
    </w:p>
    <w:p>
      <w:pPr>
        <w:spacing w:after="0" w:line="188" w:lineRule="exact"/>
        <w:rPr>
          <w:sz w:val="20"/>
          <w:szCs w:val="20"/>
          <w:color w:val="auto"/>
        </w:rPr>
      </w:pPr>
    </w:p>
    <w:p>
      <w:pPr>
        <w:ind w:left="60" w:right="220" w:firstLine="821"/>
        <w:spacing w:after="0" w:line="292" w:lineRule="auto"/>
        <w:rPr>
          <w:sz w:val="20"/>
          <w:szCs w:val="20"/>
          <w:color w:val="auto"/>
        </w:rPr>
      </w:pPr>
      <w:r>
        <w:rPr>
          <w:rFonts w:ascii="Arial" w:cs="Arial" w:eastAsia="Arial" w:hAnsi="Arial"/>
          <w:sz w:val="18"/>
          <w:szCs w:val="18"/>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54" w:lineRule="exact"/>
        <w:rPr>
          <w:sz w:val="20"/>
          <w:szCs w:val="20"/>
          <w:color w:val="auto"/>
        </w:rPr>
      </w:pPr>
    </w:p>
    <w:p>
      <w:pPr>
        <w:ind w:left="60" w:right="140" w:firstLine="823"/>
        <w:spacing w:after="0" w:line="275" w:lineRule="auto"/>
        <w:rPr>
          <w:sz w:val="20"/>
          <w:szCs w:val="20"/>
          <w:color w:val="auto"/>
        </w:rPr>
      </w:pPr>
      <w:r>
        <w:rPr>
          <w:rFonts w:ascii="Arial" w:cs="Arial" w:eastAsia="Arial" w:hAnsi="Arial"/>
          <w:sz w:val="19"/>
          <w:szCs w:val="19"/>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Waiverdoes not apply to any claim that Executive brings on behalf of both herself and others under the California Private Attorneys General Act of 2004. Executive will not be subject to any retaliationor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37" w:lineRule="exact"/>
        <w:rPr>
          <w:sz w:val="20"/>
          <w:szCs w:val="20"/>
          <w:color w:val="auto"/>
        </w:rPr>
      </w:pPr>
    </w:p>
    <w:p>
      <w:pPr>
        <w:ind w:left="880" w:hanging="831"/>
        <w:spacing w:after="0"/>
        <w:tabs>
          <w:tab w:leader="none" w:pos="880" w:val="left"/>
        </w:tabs>
        <w:numPr>
          <w:ilvl w:val="0"/>
          <w:numId w:val="25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0" w:lineRule="exact"/>
        <w:rPr>
          <w:sz w:val="20"/>
          <w:szCs w:val="20"/>
          <w:color w:val="auto"/>
        </w:rPr>
      </w:pPr>
    </w:p>
    <w:p>
      <w:pPr>
        <w:jc w:val="both"/>
        <w:ind w:left="60" w:right="280" w:firstLine="817"/>
        <w:spacing w:after="0" w:line="292" w:lineRule="auto"/>
        <w:rPr>
          <w:sz w:val="20"/>
          <w:szCs w:val="20"/>
          <w:color w:val="auto"/>
        </w:rPr>
      </w:pPr>
      <w:r>
        <w:rPr>
          <w:rFonts w:ascii="Arial" w:cs="Arial" w:eastAsia="Arial" w:hAnsi="Arial"/>
          <w:sz w:val="19"/>
          <w:szCs w:val="19"/>
          <w:color w:val="auto"/>
        </w:rPr>
        <w:t>This Agreement shall be governed by and construed in accordance with the laws of theState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133" w:lineRule="exact"/>
        <w:rPr>
          <w:sz w:val="20"/>
          <w:szCs w:val="20"/>
          <w:color w:val="auto"/>
        </w:rPr>
      </w:pPr>
    </w:p>
    <w:p>
      <w:pPr>
        <w:ind w:left="880" w:hanging="831"/>
        <w:spacing w:after="0"/>
        <w:tabs>
          <w:tab w:leader="none" w:pos="880"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color w:val="auto"/>
        </w:rPr>
        <w:t>Notice</w:t>
      </w:r>
    </w:p>
    <w:p>
      <w:pPr>
        <w:spacing w:after="0" w:line="220" w:lineRule="exact"/>
        <w:rPr>
          <w:sz w:val="20"/>
          <w:szCs w:val="20"/>
          <w:color w:val="auto"/>
        </w:rPr>
      </w:pPr>
    </w:p>
    <w:p>
      <w:pPr>
        <w:ind w:left="60" w:right="120" w:firstLine="824"/>
        <w:spacing w:after="0" w:line="271" w:lineRule="auto"/>
        <w:rPr>
          <w:sz w:val="20"/>
          <w:szCs w:val="20"/>
          <w:color w:val="auto"/>
        </w:rPr>
      </w:pPr>
      <w:r>
        <w:rPr>
          <w:rFonts w:ascii="Arial" w:cs="Arial" w:eastAsia="Arial" w:hAnsi="Arial"/>
          <w:sz w:val="20"/>
          <w:szCs w:val="20"/>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00" w:top="639" w:right="519" w:bottom="1440" w:gutter="0" w:footer="0" w:header="0"/>
        </w:sectPr>
      </w:pPr>
    </w:p>
    <w:bookmarkStart w:id="208" w:name="page209"/>
    <w:bookmarkEnd w:id="208"/>
    <w:p>
      <w:pPr>
        <w:ind w:left="1720"/>
        <w:spacing w:after="0"/>
        <w:rPr>
          <w:sz w:val="20"/>
          <w:szCs w:val="20"/>
          <w:color w:val="auto"/>
        </w:rPr>
      </w:pPr>
      <w:r>
        <w:rPr>
          <w:rFonts w:ascii="Arial" w:cs="Arial" w:eastAsia="Arial" w:hAnsi="Arial"/>
          <w:sz w:val="21"/>
          <w:szCs w:val="21"/>
          <w:color w:val="auto"/>
        </w:rPr>
        <w:t>If to the Company:</w:t>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Avita Medical</w:t>
      </w:r>
    </w:p>
    <w:p>
      <w:pPr>
        <w:ind w:left="1720"/>
        <w:spacing w:after="0"/>
        <w:rPr>
          <w:sz w:val="20"/>
          <w:szCs w:val="20"/>
          <w:color w:val="auto"/>
        </w:rPr>
      </w:pPr>
      <w:r>
        <w:rPr>
          <w:rFonts w:ascii="Arial" w:cs="Arial" w:eastAsia="Arial" w:hAnsi="Arial"/>
          <w:sz w:val="21"/>
          <w:szCs w:val="21"/>
          <w:color w:val="auto"/>
        </w:rPr>
        <w:t>28159 Avenue Stanford</w:t>
      </w:r>
    </w:p>
    <w:p>
      <w:pPr>
        <w:spacing w:after="0" w:line="2"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Suite 220</w:t>
      </w:r>
    </w:p>
    <w:p>
      <w:pPr>
        <w:spacing w:after="0" w:line="2"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Valencia, CA 91355</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If to Executive:</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Donna Shiroma</w:t>
      </w:r>
    </w:p>
    <w:p>
      <w:pPr>
        <w:spacing w:after="0" w:line="2"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At current home address on file with the Company</w:t>
      </w:r>
    </w:p>
    <w:p>
      <w:pPr>
        <w:spacing w:after="0" w:line="185" w:lineRule="exact"/>
        <w:rPr>
          <w:sz w:val="20"/>
          <w:szCs w:val="20"/>
          <w:color w:val="auto"/>
        </w:rPr>
      </w:pPr>
    </w:p>
    <w:p>
      <w:pPr>
        <w:ind w:left="840" w:hanging="817"/>
        <w:spacing w:after="0"/>
        <w:tabs>
          <w:tab w:leader="none" w:pos="840"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600" w:type="dxa"/>
            <w:vAlign w:val="bottom"/>
          </w:tcPr>
          <w:p>
            <w:pPr>
              <w:ind w:left="780"/>
              <w:spacing w:after="0"/>
              <w:rPr>
                <w:sz w:val="20"/>
                <w:szCs w:val="20"/>
                <w:color w:val="auto"/>
              </w:rPr>
            </w:pPr>
            <w:r>
              <w:rPr>
                <w:rFonts w:ascii="Arial" w:cs="Arial" w:eastAsia="Arial" w:hAnsi="Arial"/>
                <w:sz w:val="21"/>
                <w:szCs w:val="21"/>
                <w:color w:val="auto"/>
              </w:rPr>
              <w:t>10.1</w:t>
            </w:r>
          </w:p>
        </w:tc>
        <w:tc>
          <w:tcPr>
            <w:tcW w:w="7740" w:type="dxa"/>
            <w:vAlign w:val="bottom"/>
            <w:gridSpan w:val="3"/>
          </w:tcPr>
          <w:p>
            <w:pPr>
              <w:jc w:val="right"/>
              <w:spacing w:after="0"/>
              <w:rPr>
                <w:sz w:val="20"/>
                <w:szCs w:val="20"/>
                <w:color w:val="auto"/>
              </w:rPr>
            </w:pPr>
            <w:r>
              <w:rPr>
                <w:rFonts w:ascii="Arial" w:cs="Arial" w:eastAsia="Arial" w:hAnsi="Arial"/>
                <w:sz w:val="21"/>
                <w:szCs w:val="21"/>
                <w:color w:val="auto"/>
                <w:w w:val="88"/>
              </w:rPr>
              <w:t>Binding Agreement. This Agreement shall inure to the benefit of and shall be binding upon the</w:t>
            </w:r>
          </w:p>
        </w:tc>
      </w:tr>
      <w:tr>
        <w:trPr>
          <w:trHeight w:val="20"/>
        </w:trPr>
        <w:tc>
          <w:tcPr>
            <w:tcW w:w="260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72"/>
        </w:trPr>
        <w:tc>
          <w:tcPr>
            <w:tcW w:w="10340" w:type="dxa"/>
            <w:vAlign w:val="bottom"/>
            <w:gridSpan w:val="4"/>
          </w:tcPr>
          <w:p>
            <w:pPr>
              <w:jc w:val="right"/>
              <w:ind w:right="7260"/>
              <w:spacing w:after="0"/>
              <w:rPr>
                <w:sz w:val="20"/>
                <w:szCs w:val="20"/>
                <w:color w:val="auto"/>
              </w:rPr>
            </w:pPr>
            <w:r>
              <w:rPr>
                <w:rFonts w:ascii="Arial" w:cs="Arial" w:eastAsia="Arial" w:hAnsi="Arial"/>
                <w:sz w:val="21"/>
                <w:szCs w:val="21"/>
                <w:color w:val="auto"/>
                <w:w w:val="85"/>
              </w:rPr>
              <w:t>Company, its successors and assigns.</w:t>
            </w:r>
          </w:p>
        </w:tc>
      </w:tr>
      <w:tr>
        <w:trPr>
          <w:trHeight w:val="411"/>
        </w:trPr>
        <w:tc>
          <w:tcPr>
            <w:tcW w:w="2600" w:type="dxa"/>
            <w:vAlign w:val="bottom"/>
          </w:tcPr>
          <w:p>
            <w:pPr>
              <w:ind w:left="800"/>
              <w:spacing w:after="0"/>
              <w:rPr>
                <w:sz w:val="20"/>
                <w:szCs w:val="20"/>
                <w:color w:val="auto"/>
              </w:rPr>
            </w:pPr>
            <w:r>
              <w:rPr>
                <w:rFonts w:ascii="Arial" w:cs="Arial" w:eastAsia="Arial" w:hAnsi="Arial"/>
                <w:sz w:val="21"/>
                <w:szCs w:val="21"/>
                <w:color w:val="auto"/>
              </w:rPr>
              <w:t>10.2</w:t>
            </w:r>
          </w:p>
        </w:tc>
        <w:tc>
          <w:tcPr>
            <w:tcW w:w="7740" w:type="dxa"/>
            <w:vAlign w:val="bottom"/>
            <w:gridSpan w:val="3"/>
          </w:tcPr>
          <w:p>
            <w:pPr>
              <w:jc w:val="right"/>
              <w:spacing w:after="0"/>
              <w:rPr>
                <w:sz w:val="20"/>
                <w:szCs w:val="20"/>
                <w:color w:val="auto"/>
              </w:rPr>
            </w:pPr>
            <w:r>
              <w:rPr>
                <w:rFonts w:ascii="Arial" w:cs="Arial" w:eastAsia="Arial" w:hAnsi="Arial"/>
                <w:sz w:val="21"/>
                <w:szCs w:val="21"/>
                <w:color w:val="auto"/>
                <w:w w:val="89"/>
              </w:rPr>
              <w:t>Entire Agreement. This Agreement contains the entire agreement of the parties relating to the</w:t>
            </w:r>
          </w:p>
        </w:tc>
      </w:tr>
      <w:tr>
        <w:trPr>
          <w:trHeight w:val="20"/>
        </w:trPr>
        <w:tc>
          <w:tcPr>
            <w:tcW w:w="2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bl>
    <w:p>
      <w:pPr>
        <w:spacing w:after="0" w:line="14" w:lineRule="exact"/>
        <w:rPr>
          <w:sz w:val="20"/>
          <w:szCs w:val="20"/>
          <w:color w:val="auto"/>
        </w:rPr>
      </w:pPr>
    </w:p>
    <w:p>
      <w:pPr>
        <w:ind w:left="20" w:right="200"/>
        <w:spacing w:after="0" w:line="260" w:lineRule="auto"/>
        <w:rPr>
          <w:sz w:val="20"/>
          <w:szCs w:val="20"/>
          <w:color w:val="auto"/>
        </w:rPr>
      </w:pPr>
      <w:r>
        <w:rPr>
          <w:rFonts w:ascii="Arial" w:cs="Arial" w:eastAsia="Arial" w:hAnsi="Arial"/>
          <w:sz w:val="20"/>
          <w:szCs w:val="20"/>
          <w:color w:val="auto"/>
        </w:rPr>
        <w:t>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79" w:lineRule="exact"/>
        <w:rPr>
          <w:sz w:val="20"/>
          <w:szCs w:val="20"/>
          <w:color w:val="auto"/>
        </w:rPr>
      </w:pPr>
    </w:p>
    <w:p>
      <w:pPr>
        <w:ind w:firstLine="836"/>
        <w:spacing w:after="0" w:line="257"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xml:space="preserve"> Executive and the Company hereby represent and warrant to the other that: (a) she or it has full power, authority and capacity to execute and deliver this Agreement, and to perform her or its obligations hereunder; (b) such execution, delivery and performance will not (and with the giving of notice or lapse of time or both would not) result in the breach of any agreements or other obligations to which she or it is a party or she or it is otherwise bound; (c) this Agreement is her or its valid and binding obligation in accordance with its terms;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andhas either done so, or voluntarily and knowingly declined to do so; and (f) neither party has beeninduced to enter into this Agreement through any promises, threats, coercion, or benefits not set forth expressly in writing in this Agreement.</w:t>
      </w:r>
    </w:p>
    <w:p>
      <w:pPr>
        <w:spacing w:after="0" w:line="183" w:lineRule="exact"/>
        <w:rPr>
          <w:sz w:val="20"/>
          <w:szCs w:val="20"/>
          <w:color w:val="auto"/>
        </w:rPr>
      </w:pPr>
    </w:p>
    <w:p>
      <w:pPr>
        <w:ind w:right="40" w:firstLine="821"/>
        <w:spacing w:after="0" w:line="249"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Attorney's Fees.</w:t>
      </w:r>
      <w:r>
        <w:rPr>
          <w:rFonts w:ascii="Arial" w:cs="Arial" w:eastAsia="Arial" w:hAnsi="Arial"/>
          <w:sz w:val="21"/>
          <w:szCs w:val="21"/>
          <w:color w:val="auto"/>
        </w:rPr>
        <w:t xml:space="preserve"> In the event that any party shall bring an action or proceeding inconnection with the performance, breach or interpretation of this Agreement, then the prevailingparty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345440</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480" w:top="936" w:right="459" w:bottom="1440" w:gutter="0" w:footer="0" w:header="0"/>
        </w:sectPr>
      </w:pPr>
    </w:p>
    <w:bookmarkStart w:id="209" w:name="page210"/>
    <w:bookmarkEnd w:id="209"/>
    <w:p>
      <w:pPr>
        <w:ind w:firstLine="801"/>
        <w:spacing w:after="0" w:line="289"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may be executed on separate copies, any one of which need not contain signatures of more than one party but all of which taken together shallconstitute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Arial" w:cs="Arial" w:eastAsia="Arial" w:hAnsi="Arial"/>
          <w:sz w:val="21"/>
          <w:szCs w:val="21"/>
          <w:color w:val="auto"/>
        </w:rPr>
        <w:t>IN WITNESS WHEREOF, this Agreement is executed as of May 7, 2018.</w:t>
      </w:r>
    </w:p>
    <w:p>
      <w:pPr>
        <w:spacing w:after="0" w:line="200" w:lineRule="exact"/>
        <w:rPr>
          <w:sz w:val="20"/>
          <w:szCs w:val="20"/>
          <w:color w:val="auto"/>
        </w:rPr>
      </w:pPr>
    </w:p>
    <w:p>
      <w:pPr>
        <w:spacing w:after="0" w:line="301" w:lineRule="exact"/>
        <w:rPr>
          <w:sz w:val="20"/>
          <w:szCs w:val="20"/>
          <w:color w:val="auto"/>
        </w:rPr>
      </w:pPr>
    </w:p>
    <w:p>
      <w:pPr>
        <w:ind w:left="5940"/>
        <w:spacing w:after="0"/>
        <w:rPr>
          <w:sz w:val="20"/>
          <w:szCs w:val="20"/>
          <w:color w:val="auto"/>
        </w:rPr>
      </w:pPr>
      <w:r>
        <w:rPr>
          <w:rFonts w:ascii="Arial" w:cs="Arial" w:eastAsia="Arial" w:hAnsi="Arial"/>
          <w:sz w:val="21"/>
          <w:szCs w:val="21"/>
          <w:color w:val="auto"/>
        </w:rPr>
        <w:t>"COMPANY"</w:t>
      </w:r>
    </w:p>
    <w:p>
      <w:pPr>
        <w:spacing w:after="0" w:line="77" w:lineRule="exact"/>
        <w:rPr>
          <w:sz w:val="20"/>
          <w:szCs w:val="20"/>
          <w:color w:val="auto"/>
        </w:rPr>
      </w:pPr>
    </w:p>
    <w:p>
      <w:pPr>
        <w:ind w:left="5940"/>
        <w:spacing w:after="0"/>
        <w:rPr>
          <w:sz w:val="20"/>
          <w:szCs w:val="20"/>
          <w:color w:val="auto"/>
        </w:rPr>
      </w:pPr>
      <w:r>
        <w:rPr>
          <w:rFonts w:ascii="Arial" w:cs="Arial" w:eastAsia="Arial" w:hAnsi="Arial"/>
          <w:sz w:val="21"/>
          <w:szCs w:val="21"/>
          <w:b w:val="1"/>
          <w:bCs w:val="1"/>
          <w:color w:val="auto"/>
        </w:rPr>
        <w:t xml:space="preserve">Avita Medical Ltd., </w:t>
      </w:r>
      <w:r>
        <w:rPr>
          <w:rFonts w:ascii="Arial" w:cs="Arial" w:eastAsia="Arial" w:hAnsi="Arial"/>
          <w:sz w:val="21"/>
          <w:szCs w:val="21"/>
          <w:color w:val="auto"/>
        </w:rPr>
        <w:t>an Australiancorporation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By:</w:t>
      </w:r>
    </w:p>
    <w:p>
      <w:pPr>
        <w:spacing w:after="0" w:line="110" w:lineRule="exact"/>
        <w:rPr>
          <w:sz w:val="20"/>
          <w:szCs w:val="20"/>
          <w:color w:val="auto"/>
        </w:rPr>
      </w:pPr>
    </w:p>
    <w:p>
      <w:pPr>
        <w:ind w:left="5940"/>
        <w:spacing w:after="0"/>
        <w:rPr>
          <w:sz w:val="20"/>
          <w:szCs w:val="20"/>
          <w:color w:val="auto"/>
        </w:rPr>
      </w:pPr>
      <w:r>
        <w:rPr>
          <w:rFonts w:ascii="Arial" w:cs="Arial" w:eastAsia="Arial" w:hAnsi="Arial"/>
          <w:sz w:val="21"/>
          <w:szCs w:val="21"/>
          <w:color w:val="auto"/>
        </w:rPr>
        <w:t>NameDr. Michael S. Perry Title:CEO</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and</w:t>
      </w:r>
    </w:p>
    <w:p>
      <w:pPr>
        <w:spacing w:after="0" w:line="200" w:lineRule="exact"/>
        <w:rPr>
          <w:sz w:val="20"/>
          <w:szCs w:val="20"/>
          <w:color w:val="auto"/>
        </w:rPr>
      </w:pPr>
    </w:p>
    <w:p>
      <w:pPr>
        <w:spacing w:after="0" w:line="216" w:lineRule="exact"/>
        <w:rPr>
          <w:sz w:val="20"/>
          <w:szCs w:val="20"/>
          <w:color w:val="auto"/>
        </w:rPr>
      </w:pPr>
    </w:p>
    <w:p>
      <w:pPr>
        <w:ind w:left="5940"/>
        <w:spacing w:after="0"/>
        <w:rPr>
          <w:sz w:val="20"/>
          <w:szCs w:val="20"/>
          <w:color w:val="auto"/>
        </w:rPr>
      </w:pPr>
      <w:r>
        <w:rPr>
          <w:rFonts w:ascii="Arial" w:cs="Arial" w:eastAsia="Arial" w:hAnsi="Arial"/>
          <w:sz w:val="21"/>
          <w:szCs w:val="21"/>
          <w:color w:val="auto"/>
        </w:rPr>
        <w:t>"EXECUTIVE"</w:t>
      </w:r>
    </w:p>
    <w:p>
      <w:pPr>
        <w:spacing w:after="0" w:line="83" w:lineRule="exact"/>
        <w:rPr>
          <w:sz w:val="20"/>
          <w:szCs w:val="20"/>
          <w:color w:val="auto"/>
        </w:rPr>
      </w:pPr>
    </w:p>
    <w:p>
      <w:pPr>
        <w:ind w:left="5940"/>
        <w:spacing w:after="0"/>
        <w:rPr>
          <w:sz w:val="20"/>
          <w:szCs w:val="20"/>
          <w:color w:val="auto"/>
        </w:rPr>
      </w:pPr>
      <w:r>
        <w:rPr>
          <w:rFonts w:ascii="Arial" w:cs="Arial" w:eastAsia="Arial" w:hAnsi="Arial"/>
          <w:sz w:val="21"/>
          <w:szCs w:val="21"/>
          <w:color w:val="auto"/>
        </w:rPr>
        <w:t>Donna Shiroma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By:</w:t>
      </w:r>
    </w:p>
    <w:p>
      <w:pPr>
        <w:spacing w:after="0" w:line="104" w:lineRule="exact"/>
        <w:rPr>
          <w:sz w:val="20"/>
          <w:szCs w:val="20"/>
          <w:color w:val="auto"/>
        </w:rPr>
      </w:pPr>
    </w:p>
    <w:p>
      <w:pPr>
        <w:ind w:left="5940"/>
        <w:spacing w:after="0"/>
        <w:rPr>
          <w:sz w:val="20"/>
          <w:szCs w:val="20"/>
          <w:color w:val="auto"/>
        </w:rPr>
      </w:pPr>
      <w:r>
        <w:rPr>
          <w:rFonts w:ascii="Arial" w:cs="Arial" w:eastAsia="Arial" w:hAnsi="Arial"/>
          <w:sz w:val="21"/>
          <w:szCs w:val="21"/>
          <w:b w:val="1"/>
          <w:bCs w:val="1"/>
          <w:color w:val="auto"/>
        </w:rPr>
        <w:t>Donna Shiroma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580"/>
          </w:cols>
          <w:pgMar w:left="520" w:top="639" w:right="7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AVITA MEDICAL, INC. (“COMPANY”)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Code of Conduct sets out the principles and standards which the Board, management and employees of the Company are encouraged to strive towards when dealing with each other, shareholders and the broad community.</w:t>
      </w:r>
    </w:p>
    <w:p>
      <w:pPr>
        <w:spacing w:after="0" w:line="170" w:lineRule="exact"/>
        <w:rPr>
          <w:sz w:val="20"/>
          <w:szCs w:val="20"/>
          <w:color w:val="auto"/>
        </w:rPr>
      </w:pPr>
    </w:p>
    <w:p>
      <w:pPr>
        <w:ind w:right="60" w:firstLine="8"/>
        <w:spacing w:after="0" w:line="263" w:lineRule="auto"/>
        <w:tabs>
          <w:tab w:leader="none" w:pos="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RESPONSIBILITY TO SHAREHOLDERS The Company aims: a) to increase shareholder value within an appropriate framework which safeguards the rights and interests of the Company’s shareholders and the financial community; and b) to comply with systems of control and accountability which the Company has in place as part of its corporate governance with openness and integrity.</w:t>
      </w:r>
    </w:p>
    <w:p>
      <w:pPr>
        <w:spacing w:after="0" w:line="183" w:lineRule="exact"/>
        <w:rPr>
          <w:rFonts w:ascii="Arial" w:cs="Arial" w:eastAsia="Arial" w:hAnsi="Arial"/>
          <w:sz w:val="18"/>
          <w:szCs w:val="18"/>
          <w:color w:val="auto"/>
        </w:rPr>
      </w:pPr>
    </w:p>
    <w:p>
      <w:pPr>
        <w:ind w:right="180" w:firstLine="8"/>
        <w:spacing w:after="0" w:line="342" w:lineRule="auto"/>
        <w:tabs>
          <w:tab w:leader="none" w:pos="1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INTEGRITY AND HONESTY Directors, management and staff shall deal with the Company’s customers, suppliers, competitors and each other with the highest level of honesty, fairness and integrity and observe the rule and spirit of the legal and regulatory environment in which the Company operates.</w:t>
      </w:r>
    </w:p>
    <w:p>
      <w:pPr>
        <w:spacing w:after="0" w:line="123" w:lineRule="exact"/>
        <w:rPr>
          <w:rFonts w:ascii="Arial" w:cs="Arial" w:eastAsia="Arial" w:hAnsi="Arial"/>
          <w:sz w:val="16"/>
          <w:szCs w:val="16"/>
          <w:color w:val="auto"/>
        </w:rPr>
      </w:pPr>
    </w:p>
    <w:p>
      <w:pPr>
        <w:ind w:right="20" w:firstLine="8"/>
        <w:spacing w:after="0" w:line="263" w:lineRule="auto"/>
        <w:tabs>
          <w:tab w:leader="none" w:pos="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RESPECT FOR THE LAW The Company is to comply with all legislative and common law requirements which affect its business, in particular those in respect of occupational health and safety, the environment, native title and cultural heritage. Any transgression from the applicable legal rules is to be reported to the managing director as soon as a person becomes aware of such a transgression.</w:t>
      </w:r>
    </w:p>
    <w:p>
      <w:pPr>
        <w:spacing w:after="0" w:line="183" w:lineRule="exact"/>
        <w:rPr>
          <w:rFonts w:ascii="Arial" w:cs="Arial" w:eastAsia="Arial" w:hAnsi="Arial"/>
          <w:sz w:val="18"/>
          <w:szCs w:val="18"/>
          <w:color w:val="auto"/>
        </w:rPr>
      </w:pPr>
    </w:p>
    <w:p>
      <w:pPr>
        <w:ind w:right="80" w:firstLine="8"/>
        <w:spacing w:after="0" w:line="272" w:lineRule="auto"/>
        <w:tabs>
          <w:tab w:leader="none" w:pos="1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CONFLICTS OF INTEREST Directors, management and staff must not involve themselves in situations where there is a real or apparent conflict of interest between them as individuals and the interest of the Company. Where a real or apparent conflict of interest arises, the matter should be brought to the attention of: a) the chairperson in the case of a Board member; b) the managing director in the case of a member of management; and c) a supervisor in the case of an employee, so that it may be considered and dealt with in an appropriate manner for all concerned. 5. Protection of Assets Directors, management and staff must protect the assets of the Company to ensure availability for legitimate business purposes and ensure all corporate opportunities are enjoyed by the Company and that no property, information or position belonging to the Company or opportunity arising from these are used for personal gain or to compete with the Company.</w:t>
      </w:r>
    </w:p>
    <w:p>
      <w:pPr>
        <w:spacing w:after="0" w:line="177" w:lineRule="exact"/>
        <w:rPr>
          <w:sz w:val="20"/>
          <w:szCs w:val="20"/>
          <w:color w:val="auto"/>
        </w:rPr>
      </w:pPr>
    </w:p>
    <w:p>
      <w:pPr>
        <w:jc w:val="both"/>
        <w:ind w:right="340" w:firstLine="8"/>
        <w:spacing w:after="0" w:line="263" w:lineRule="auto"/>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CONFIDENTIAL INFORMATION Directors, management and staff must respect confidentiality of all information of a confidential nature which is acquired in the course of the Company’s business and not disclose or make improper use of such confidential information to any person unless specific authorization is given for disclosure or disclosure is legally mandated.</w:t>
      </w:r>
    </w:p>
    <w:p>
      <w:pPr>
        <w:spacing w:after="0" w:line="183" w:lineRule="exact"/>
        <w:rPr>
          <w:rFonts w:ascii="Arial" w:cs="Arial" w:eastAsia="Arial" w:hAnsi="Arial"/>
          <w:sz w:val="18"/>
          <w:szCs w:val="18"/>
          <w:color w:val="auto"/>
        </w:rPr>
      </w:pPr>
    </w:p>
    <w:p>
      <w:pPr>
        <w:ind w:right="200" w:firstLine="8"/>
        <w:spacing w:after="0" w:line="263" w:lineRule="auto"/>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EMPLOYMENT PRACTICES The Company will employ the best available staff with skills required to carry out vacant positions. The Company will ensure a safe work place and maintain proper occupational health and safety practices commensurate with the nature of the Company’s business and activities.</w:t>
      </w:r>
    </w:p>
    <w:p>
      <w:pPr>
        <w:spacing w:after="0" w:line="183" w:lineRule="exact"/>
        <w:rPr>
          <w:rFonts w:ascii="Arial" w:cs="Arial" w:eastAsia="Arial" w:hAnsi="Arial"/>
          <w:sz w:val="18"/>
          <w:szCs w:val="18"/>
          <w:color w:val="auto"/>
        </w:rPr>
      </w:pPr>
    </w:p>
    <w:p>
      <w:pPr>
        <w:ind w:right="400" w:firstLine="8"/>
        <w:spacing w:after="0" w:line="277" w:lineRule="auto"/>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RESPONSIBILITY TO THE COMMUNITY The Company will recognize, consider and respect environmental issues which arise in relation to the Company’s activities and comply with all applicable legal requirements.</w:t>
      </w:r>
    </w:p>
    <w:p>
      <w:pPr>
        <w:spacing w:after="0" w:line="170" w:lineRule="exact"/>
        <w:rPr>
          <w:rFonts w:ascii="Arial" w:cs="Arial" w:eastAsia="Arial" w:hAnsi="Arial"/>
          <w:sz w:val="18"/>
          <w:szCs w:val="18"/>
          <w:color w:val="auto"/>
        </w:rPr>
      </w:pPr>
    </w:p>
    <w:p>
      <w:pPr>
        <w:ind w:right="340" w:firstLine="8"/>
        <w:spacing w:after="0" w:line="277" w:lineRule="auto"/>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RESPONSIBILITY TO THE INDIVIDUAL The Company recognizes and respects the rights of individuals and to the best of its ability will comply with the applicable legal rules regarding privacy, privileges, private and confidential information.</w:t>
      </w:r>
    </w:p>
    <w:p>
      <w:pPr>
        <w:spacing w:after="0" w:line="170" w:lineRule="exact"/>
        <w:rPr>
          <w:rFonts w:ascii="Arial" w:cs="Arial" w:eastAsia="Arial" w:hAnsi="Arial"/>
          <w:sz w:val="18"/>
          <w:szCs w:val="18"/>
          <w:color w:val="auto"/>
        </w:rPr>
      </w:pPr>
    </w:p>
    <w:p>
      <w:pPr>
        <w:ind w:right="340" w:firstLine="8"/>
        <w:spacing w:after="0" w:line="277" w:lineRule="auto"/>
        <w:tabs>
          <w:tab w:leader="none" w:pos="27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OBLIGATIONS RELATIVE TO FAIR TRADING AND DEALING The Company will deal with others in a way that is fair and will not engage in deceptive practices.</w:t>
      </w:r>
    </w:p>
    <w:p>
      <w:pPr>
        <w:spacing w:after="0" w:line="170" w:lineRule="exact"/>
        <w:rPr>
          <w:rFonts w:ascii="Arial" w:cs="Arial" w:eastAsia="Arial" w:hAnsi="Arial"/>
          <w:sz w:val="18"/>
          <w:szCs w:val="18"/>
          <w:color w:val="auto"/>
        </w:rPr>
      </w:pPr>
    </w:p>
    <w:p>
      <w:pPr>
        <w:ind w:right="260" w:firstLine="8"/>
        <w:spacing w:after="0" w:line="277" w:lineRule="auto"/>
        <w:tabs>
          <w:tab w:leader="none" w:pos="26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COMPLIANCE WITH THE CODE OF CONDUCT Any breach of compliance with this Code of Conduct is to be reported directly to the managing director or chairperson, as appropriate.</w:t>
      </w:r>
    </w:p>
    <w:p>
      <w:pPr>
        <w:spacing w:after="0" w:line="170" w:lineRule="exact"/>
        <w:rPr>
          <w:rFonts w:ascii="Arial" w:cs="Arial" w:eastAsia="Arial" w:hAnsi="Arial"/>
          <w:sz w:val="18"/>
          <w:szCs w:val="18"/>
          <w:color w:val="auto"/>
        </w:rPr>
      </w:pPr>
    </w:p>
    <w:p>
      <w:pPr>
        <w:ind w:right="480" w:firstLine="8"/>
        <w:spacing w:after="0" w:line="259" w:lineRule="auto"/>
        <w:tabs>
          <w:tab w:leader="none" w:pos="27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PERIODIC REVIEW OF CODE The Company will monitor compliance with this Code of Conduct periodically by liaising with the Board, management and staff especially in relation to any areas of difficulty which arise from this Code of Conduct and any other ideas or suggestions for improvement of it. Suggestions for improvements or amendments to this Code of Conduct can be made at any time by providing a written note to the managing director.</w:t>
      </w:r>
    </w:p>
    <w:p>
      <w:pPr>
        <w:sectPr>
          <w:pgSz w:w="11900" w:h="16838" w:orient="portrait"/>
          <w:cols w:equalWidth="0" w:num="1">
            <w:col w:w="11240"/>
          </w:cols>
          <w:pgMar w:left="320" w:top="121" w:right="3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ind w:left="176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List of Subsidiaries</w:t>
            </w:r>
          </w:p>
        </w:tc>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3500" w:type="dxa"/>
            <w:vAlign w:val="bottom"/>
          </w:tcPr>
          <w:p>
            <w:pPr>
              <w:ind w:left="2540"/>
              <w:spacing w:after="0"/>
              <w:rPr>
                <w:sz w:val="20"/>
                <w:szCs w:val="20"/>
                <w:color w:val="auto"/>
              </w:rPr>
            </w:pPr>
            <w:r>
              <w:rPr>
                <w:rFonts w:ascii="Arial" w:cs="Arial" w:eastAsia="Arial" w:hAnsi="Arial"/>
                <w:sz w:val="14"/>
                <w:szCs w:val="14"/>
                <w:b w:val="1"/>
                <w:bCs w:val="1"/>
                <w:color w:val="auto"/>
              </w:rPr>
              <w:t>Place of</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268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Business Purpose</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3500" w:type="dxa"/>
            <w:vAlign w:val="bottom"/>
          </w:tcPr>
          <w:p>
            <w:pPr>
              <w:ind w:left="2340"/>
              <w:spacing w:after="0"/>
              <w:rPr>
                <w:sz w:val="20"/>
                <w:szCs w:val="20"/>
                <w:color w:val="auto"/>
              </w:rPr>
            </w:pPr>
            <w:r>
              <w:rPr>
                <w:rFonts w:ascii="Arial" w:cs="Arial" w:eastAsia="Arial" w:hAnsi="Arial"/>
                <w:sz w:val="14"/>
                <w:szCs w:val="14"/>
                <w:b w:val="1"/>
                <w:bCs w:val="1"/>
                <w:color w:val="auto"/>
              </w:rPr>
              <w:t>Incorporation</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Held</w:t>
            </w: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AVITA Medical Pty Limited</w:t>
            </w:r>
          </w:p>
        </w:tc>
        <w:tc>
          <w:tcPr>
            <w:tcW w:w="3500" w:type="dxa"/>
            <w:vAlign w:val="bottom"/>
            <w:shd w:val="clear" w:color="auto" w:fill="CFF0FC"/>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100</w:t>
            </w: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Company</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500" w:type="dxa"/>
            <w:vAlign w:val="bottom"/>
          </w:tcPr>
          <w:p>
            <w:pPr>
              <w:ind w:left="1880"/>
              <w:spacing w:after="0"/>
              <w:rPr>
                <w:sz w:val="20"/>
                <w:szCs w:val="20"/>
                <w:color w:val="auto"/>
              </w:rPr>
            </w:pPr>
            <w:r>
              <w:rPr>
                <w:rFonts w:ascii="Arial" w:cs="Arial" w:eastAsia="Arial" w:hAnsi="Arial"/>
                <w:sz w:val="18"/>
                <w:szCs w:val="18"/>
                <w:color w:val="auto"/>
              </w:rPr>
              <w:t>Delaware</w:t>
            </w:r>
          </w:p>
        </w:tc>
        <w:tc>
          <w:tcPr>
            <w:tcW w:w="820" w:type="dxa"/>
            <w:vAlign w:val="bottom"/>
          </w:tcPr>
          <w:p>
            <w:pPr>
              <w:ind w:left="300"/>
              <w:spacing w:after="0"/>
              <w:rPr>
                <w:sz w:val="20"/>
                <w:szCs w:val="20"/>
                <w:color w:val="auto"/>
              </w:rPr>
            </w:pPr>
            <w:r>
              <w:rPr>
                <w:rFonts w:ascii="Arial" w:cs="Arial" w:eastAsia="Arial" w:hAnsi="Arial"/>
                <w:sz w:val="18"/>
                <w:szCs w:val="18"/>
                <w:color w:val="auto"/>
              </w:rPr>
              <w:t>100</w:t>
            </w:r>
          </w:p>
        </w:tc>
        <w:tc>
          <w:tcPr>
            <w:tcW w:w="2680" w:type="dxa"/>
            <w:vAlign w:val="bottom"/>
          </w:tcPr>
          <w:p>
            <w:pPr>
              <w:ind w:left="240"/>
              <w:spacing w:after="0"/>
              <w:rPr>
                <w:sz w:val="20"/>
                <w:szCs w:val="20"/>
                <w:color w:val="auto"/>
              </w:rPr>
            </w:pPr>
            <w:r>
              <w:rPr>
                <w:rFonts w:ascii="Arial" w:cs="Arial" w:eastAsia="Arial" w:hAnsi="Arial"/>
                <w:sz w:val="18"/>
                <w:szCs w:val="18"/>
                <w:color w:val="auto"/>
              </w:rPr>
              <w:t>U.S. operations</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AVITA Medical Europe Limited</w:t>
            </w:r>
          </w:p>
        </w:tc>
        <w:tc>
          <w:tcPr>
            <w:tcW w:w="3500" w:type="dxa"/>
            <w:vAlign w:val="bottom"/>
            <w:shd w:val="clear" w:color="auto" w:fill="CFF0FC"/>
          </w:tcPr>
          <w:p>
            <w:pPr>
              <w:ind w:left="1880"/>
              <w:spacing w:after="0"/>
              <w:rPr>
                <w:sz w:val="20"/>
                <w:szCs w:val="20"/>
                <w:color w:val="auto"/>
              </w:rPr>
            </w:pPr>
            <w:r>
              <w:rPr>
                <w:rFonts w:ascii="Arial" w:cs="Arial" w:eastAsia="Arial" w:hAnsi="Arial"/>
                <w:sz w:val="18"/>
                <w:szCs w:val="18"/>
                <w:color w:val="auto"/>
              </w:rPr>
              <w:t>United Kingdom</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100</w:t>
            </w: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operations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500" w:type="dxa"/>
            <w:vAlign w:val="bottom"/>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tcPr>
          <w:p>
            <w:pPr>
              <w:ind w:left="300"/>
              <w:spacing w:after="0"/>
              <w:rPr>
                <w:sz w:val="20"/>
                <w:szCs w:val="20"/>
                <w:color w:val="auto"/>
              </w:rPr>
            </w:pPr>
            <w:r>
              <w:rPr>
                <w:rFonts w:ascii="Arial" w:cs="Arial" w:eastAsia="Arial" w:hAnsi="Arial"/>
                <w:sz w:val="18"/>
                <w:szCs w:val="18"/>
                <w:color w:val="auto"/>
              </w:rPr>
              <w:t>100</w:t>
            </w:r>
          </w:p>
        </w:tc>
        <w:tc>
          <w:tcPr>
            <w:tcW w:w="2680" w:type="dxa"/>
            <w:vAlign w:val="bottom"/>
          </w:tcPr>
          <w:p>
            <w:pPr>
              <w:ind w:left="240"/>
              <w:spacing w:after="0"/>
              <w:rPr>
                <w:sz w:val="20"/>
                <w:szCs w:val="20"/>
                <w:color w:val="auto"/>
              </w:rPr>
            </w:pPr>
            <w:r>
              <w:rPr>
                <w:rFonts w:ascii="Arial" w:cs="Arial" w:eastAsia="Arial" w:hAnsi="Arial"/>
                <w:sz w:val="18"/>
                <w:szCs w:val="18"/>
                <w:color w:val="auto"/>
              </w:rPr>
              <w:t>Asia Pacific Operations</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C3 Operations Pty Ltd</w:t>
            </w:r>
          </w:p>
        </w:tc>
        <w:tc>
          <w:tcPr>
            <w:tcW w:w="3500" w:type="dxa"/>
            <w:vAlign w:val="bottom"/>
            <w:shd w:val="clear" w:color="auto" w:fill="CFF0FC"/>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100</w:t>
            </w: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Infamed Pty Ltd</w:t>
            </w:r>
          </w:p>
        </w:tc>
        <w:tc>
          <w:tcPr>
            <w:tcW w:w="3500" w:type="dxa"/>
            <w:vAlign w:val="bottom"/>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tcPr>
          <w:p>
            <w:pPr>
              <w:ind w:left="300"/>
              <w:spacing w:after="0"/>
              <w:rPr>
                <w:sz w:val="20"/>
                <w:szCs w:val="20"/>
                <w:color w:val="auto"/>
              </w:rPr>
            </w:pPr>
            <w:r>
              <w:rPr>
                <w:rFonts w:ascii="Arial" w:cs="Arial" w:eastAsia="Arial" w:hAnsi="Arial"/>
                <w:sz w:val="18"/>
                <w:szCs w:val="18"/>
                <w:color w:val="auto"/>
              </w:rPr>
              <w:t>100</w:t>
            </w:r>
          </w:p>
        </w:tc>
        <w:tc>
          <w:tcPr>
            <w:tcW w:w="2680" w:type="dxa"/>
            <w:vAlign w:val="bottom"/>
          </w:tcPr>
          <w:p>
            <w:pPr>
              <w:ind w:left="240"/>
              <w:spacing w:after="0"/>
              <w:rPr>
                <w:sz w:val="20"/>
                <w:szCs w:val="20"/>
                <w:color w:val="auto"/>
              </w:rPr>
            </w:pPr>
            <w:r>
              <w:rPr>
                <w:rFonts w:ascii="Arial" w:cs="Arial" w:eastAsia="Arial" w:hAnsi="Arial"/>
                <w:sz w:val="18"/>
                <w:szCs w:val="18"/>
                <w:color w:val="auto"/>
              </w:rPr>
              <w:t>Inactive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issued our report dated August 26, 2021, with respect to the consolidated financial statements included in the Annual Report of Avita Medical, Inc. on Form 10-K for the year ended June 30, 2021. We consent to the incorporation by reference of said report in the Registration Statements of Avita Medical, Inc. on Form S-3 (File No. 333-249419) and on Forms S-8 (File No. 333-248446 and File No. 333-250924).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26, 2021</w:t>
      </w:r>
    </w:p>
    <w:p>
      <w:pPr>
        <w:sectPr>
          <w:pgSz w:w="11900" w:h="16838" w:orient="portrait"/>
          <w:cols w:equalWidth="0" w:num="1">
            <w:col w:w="11240"/>
          </w:cols>
          <w:pgMar w:left="320" w:top="121"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Perry, certify that:</w:t>
      </w:r>
    </w:p>
    <w:p>
      <w:pPr>
        <w:spacing w:after="0" w:line="117" w:lineRule="exact"/>
        <w:rPr>
          <w:sz w:val="20"/>
          <w:szCs w:val="20"/>
          <w:color w:val="auto"/>
        </w:rPr>
      </w:pPr>
    </w:p>
    <w:p>
      <w:pPr>
        <w:ind w:left="1380" w:hanging="616"/>
        <w:spacing w:after="0"/>
        <w:tabs>
          <w:tab w:leader="none" w:pos="13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Avita Medical, Inc.;</w:t>
      </w:r>
    </w:p>
    <w:p>
      <w:pPr>
        <w:spacing w:after="0" w:line="117" w:lineRule="exact"/>
        <w:rPr>
          <w:rFonts w:ascii="Arial" w:cs="Arial" w:eastAsia="Arial" w:hAnsi="Arial"/>
          <w:sz w:val="18"/>
          <w:szCs w:val="18"/>
          <w:color w:val="auto"/>
        </w:rPr>
      </w:pPr>
    </w:p>
    <w:p>
      <w:pPr>
        <w:ind w:left="1380" w:right="100" w:hanging="616"/>
        <w:spacing w:after="0" w:line="263" w:lineRule="auto"/>
        <w:tabs>
          <w:tab w:leader="none" w:pos="13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80" w:right="160" w:hanging="616"/>
        <w:spacing w:after="0" w:line="342" w:lineRule="auto"/>
        <w:tabs>
          <w:tab w:leader="none" w:pos="13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380" w:right="320" w:hanging="616"/>
        <w:spacing w:after="0" w:line="291" w:lineRule="auto"/>
        <w:tabs>
          <w:tab w:leader="none" w:pos="13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980" w:right="200" w:hanging="609"/>
        <w:spacing w:after="0" w:line="263" w:lineRule="auto"/>
        <w:tabs>
          <w:tab w:leader="none" w:pos="1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980" w:right="220" w:hanging="609"/>
        <w:spacing w:after="0" w:line="286" w:lineRule="auto"/>
        <w:tabs>
          <w:tab w:leader="none" w:pos="198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1980" w:right="300" w:hanging="609"/>
        <w:spacing w:after="0" w:line="263" w:lineRule="auto"/>
        <w:tabs>
          <w:tab w:leader="none" w:pos="1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80" w:right="140" w:hanging="609"/>
        <w:spacing w:after="0" w:line="263" w:lineRule="auto"/>
        <w:tabs>
          <w:tab w:leader="none" w:pos="1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380" w:right="340" w:hanging="616"/>
        <w:spacing w:after="0" w:line="263" w:lineRule="auto"/>
        <w:tabs>
          <w:tab w:leader="none" w:pos="13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Arial" w:cs="Arial" w:eastAsia="Arial" w:hAnsi="Arial"/>
          <w:sz w:val="18"/>
          <w:szCs w:val="18"/>
          <w:color w:val="auto"/>
        </w:rPr>
      </w:pPr>
    </w:p>
    <w:p>
      <w:pPr>
        <w:ind w:left="1980" w:right="100" w:hanging="609"/>
        <w:spacing w:after="0" w:line="263" w:lineRule="auto"/>
        <w:tabs>
          <w:tab w:leader="none" w:pos="1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80" w:right="120" w:hanging="609"/>
        <w:spacing w:after="0" w:line="277" w:lineRule="auto"/>
        <w:tabs>
          <w:tab w:leader="none" w:pos="1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August 26, 2021</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Perry</w:t>
            </w:r>
          </w:p>
        </w:tc>
      </w:tr>
      <w:tr>
        <w:trPr>
          <w:trHeight w:val="195"/>
        </w:trPr>
        <w:tc>
          <w:tcPr>
            <w:tcW w:w="5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Michael Perry</w:t>
            </w:r>
          </w:p>
        </w:tc>
      </w:tr>
      <w:tr>
        <w:trPr>
          <w:trHeight w:val="230"/>
        </w:trPr>
        <w:tc>
          <w:tcPr>
            <w:tcW w:w="5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Holder, certify that:</w:t>
      </w:r>
    </w:p>
    <w:p>
      <w:pPr>
        <w:spacing w:after="0" w:line="117" w:lineRule="exact"/>
        <w:rPr>
          <w:sz w:val="20"/>
          <w:szCs w:val="20"/>
          <w:color w:val="auto"/>
        </w:rPr>
      </w:pPr>
    </w:p>
    <w:p>
      <w:pPr>
        <w:ind w:left="1380" w:hanging="616"/>
        <w:spacing w:after="0"/>
        <w:tabs>
          <w:tab w:leader="none" w:pos="13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Avita Medical, Inc.;</w:t>
      </w:r>
    </w:p>
    <w:p>
      <w:pPr>
        <w:spacing w:after="0" w:line="117" w:lineRule="exact"/>
        <w:rPr>
          <w:rFonts w:ascii="Arial" w:cs="Arial" w:eastAsia="Arial" w:hAnsi="Arial"/>
          <w:sz w:val="18"/>
          <w:szCs w:val="18"/>
          <w:color w:val="auto"/>
        </w:rPr>
      </w:pPr>
    </w:p>
    <w:p>
      <w:pPr>
        <w:ind w:left="1380" w:right="100" w:hanging="616"/>
        <w:spacing w:after="0" w:line="263" w:lineRule="auto"/>
        <w:tabs>
          <w:tab w:leader="none" w:pos="13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80" w:right="160" w:hanging="616"/>
        <w:spacing w:after="0" w:line="342" w:lineRule="auto"/>
        <w:tabs>
          <w:tab w:leader="none" w:pos="13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380" w:right="320" w:hanging="616"/>
        <w:spacing w:after="0" w:line="291" w:lineRule="auto"/>
        <w:tabs>
          <w:tab w:leader="none" w:pos="13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980" w:right="200" w:hanging="609"/>
        <w:spacing w:after="0" w:line="263" w:lineRule="auto"/>
        <w:tabs>
          <w:tab w:leader="none" w:pos="19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980" w:right="220" w:hanging="609"/>
        <w:spacing w:after="0" w:line="286" w:lineRule="auto"/>
        <w:tabs>
          <w:tab w:leader="none" w:pos="198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1980" w:right="300" w:hanging="609"/>
        <w:spacing w:after="0" w:line="263" w:lineRule="auto"/>
        <w:tabs>
          <w:tab w:leader="none" w:pos="19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80" w:right="140" w:hanging="609"/>
        <w:spacing w:after="0" w:line="263" w:lineRule="auto"/>
        <w:tabs>
          <w:tab w:leader="none" w:pos="19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380" w:right="340" w:hanging="616"/>
        <w:spacing w:after="0" w:line="263" w:lineRule="auto"/>
        <w:tabs>
          <w:tab w:leader="none" w:pos="13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Arial" w:cs="Arial" w:eastAsia="Arial" w:hAnsi="Arial"/>
          <w:sz w:val="18"/>
          <w:szCs w:val="18"/>
          <w:color w:val="auto"/>
        </w:rPr>
      </w:pPr>
    </w:p>
    <w:p>
      <w:pPr>
        <w:ind w:left="1980" w:right="100" w:hanging="609"/>
        <w:spacing w:after="0" w:line="263" w:lineRule="auto"/>
        <w:tabs>
          <w:tab w:leader="none" w:pos="19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80" w:right="120" w:hanging="609"/>
        <w:spacing w:after="0" w:line="277" w:lineRule="auto"/>
        <w:tabs>
          <w:tab w:leader="none" w:pos="19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August 26, 2021</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554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220"/>
              <w:spacing w:after="0" w:line="195" w:lineRule="exact"/>
              <w:rPr>
                <w:sz w:val="20"/>
                <w:szCs w:val="20"/>
                <w:color w:val="auto"/>
              </w:rPr>
            </w:pPr>
            <w:r>
              <w:rPr>
                <w:rFonts w:ascii="Arial" w:cs="Arial" w:eastAsia="Arial" w:hAnsi="Arial"/>
                <w:sz w:val="18"/>
                <w:szCs w:val="18"/>
                <w:color w:val="auto"/>
              </w:rPr>
              <w:t>Michael Holder</w:t>
            </w:r>
          </w:p>
        </w:tc>
      </w:tr>
      <w:tr>
        <w:trPr>
          <w:trHeight w:val="230"/>
        </w:trPr>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Annual Report on Form 10-K for the year ended June 30, 2021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Dated: August 26, 2021</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Perry</w:t>
            </w:r>
          </w:p>
        </w:tc>
      </w:tr>
      <w:tr>
        <w:trPr>
          <w:trHeight w:val="195"/>
        </w:trPr>
        <w:tc>
          <w:tcPr>
            <w:tcW w:w="5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Michael Perry</w:t>
            </w:r>
          </w:p>
        </w:tc>
      </w:tr>
      <w:tr>
        <w:trPr>
          <w:trHeight w:val="230"/>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Dated: August 26, 2021</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5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Michael Holder</w:t>
            </w:r>
          </w:p>
        </w:tc>
      </w:tr>
      <w:tr>
        <w:trPr>
          <w:trHeight w:val="230"/>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0EE1348"/>
    <w:multiLevelType w:val="hybridMultilevel"/>
    <w:lvl w:ilvl="0">
      <w:lvlJc w:val="left"/>
      <w:lvlText w:val="☒"/>
      <w:numFmt w:val="bullet"/>
      <w:start w:val="1"/>
    </w:lvl>
  </w:abstractNum>
  <w:abstractNum w:abstractNumId="1">
    <w:nsid w:val="4427069A"/>
    <w:multiLevelType w:val="hybridMultilevel"/>
    <w:lvl w:ilvl="0">
      <w:lvlJc w:val="left"/>
      <w:lvlText w:val="☐"/>
      <w:numFmt w:val="bullet"/>
      <w:start w:val="1"/>
    </w:lvl>
  </w:abstractNum>
  <w:abstractNum w:abstractNumId="2">
    <w:nsid w:val="B37E80A"/>
    <w:multiLevelType w:val="hybridMultilevel"/>
    <w:lvl w:ilvl="0">
      <w:lvlJc w:val="left"/>
      <w:lvlText w:val="•"/>
      <w:numFmt w:val="bullet"/>
      <w:start w:val="1"/>
    </w:lvl>
  </w:abstractNum>
  <w:abstractNum w:abstractNumId="3">
    <w:nsid w:val="2157F6BC"/>
    <w:multiLevelType w:val="hybridMultilevel"/>
    <w:lvl w:ilvl="0">
      <w:lvlJc w:val="left"/>
      <w:lvlText w:val="•"/>
      <w:numFmt w:val="bullet"/>
      <w:start w:val="1"/>
    </w:lvl>
  </w:abstractNum>
  <w:abstractNum w:abstractNumId="4">
    <w:nsid w:val="704E1DD5"/>
    <w:multiLevelType w:val="hybridMultilevel"/>
    <w:lvl w:ilvl="0">
      <w:lvlJc w:val="left"/>
      <w:lvlText w:val="•"/>
      <w:numFmt w:val="bullet"/>
      <w:start w:val="1"/>
    </w:lvl>
  </w:abstractNum>
  <w:abstractNum w:abstractNumId="5">
    <w:nsid w:val="57D2F10E"/>
    <w:multiLevelType w:val="hybridMultilevel"/>
    <w:lvl w:ilvl="0">
      <w:lvlJc w:val="left"/>
      <w:lvlText w:val="•"/>
      <w:numFmt w:val="bullet"/>
      <w:start w:val="1"/>
    </w:lvl>
  </w:abstractNum>
  <w:abstractNum w:abstractNumId="6">
    <w:nsid w:val="BFFAE18"/>
    <w:multiLevelType w:val="hybridMultilevel"/>
    <w:lvl w:ilvl="0">
      <w:lvlJc w:val="left"/>
      <w:lvlText w:val="%1."/>
      <w:numFmt w:val="decimal"/>
      <w:start w:val="1"/>
    </w:lvl>
  </w:abstractNum>
  <w:abstractNum w:abstractNumId="7">
    <w:nsid w:val="E3E47A8"/>
    <w:multiLevelType w:val="hybridMultilevel"/>
    <w:lvl w:ilvl="0">
      <w:lvlJc w:val="left"/>
      <w:lvlText w:val="(%1)"/>
      <w:numFmt w:val="decimal"/>
      <w:start w:val="11"/>
    </w:lvl>
  </w:abstractNum>
  <w:abstractNum w:abstractNumId="8">
    <w:nsid w:val="2E48F044"/>
    <w:multiLevelType w:val="hybridMultilevel"/>
    <w:lvl w:ilvl="0">
      <w:lvlJc w:val="left"/>
      <w:lvlText w:val="•"/>
      <w:numFmt w:val="bullet"/>
      <w:start w:val="1"/>
    </w:lvl>
  </w:abstractNum>
  <w:abstractNum w:abstractNumId="9">
    <w:nsid w:val="49D0FEAC"/>
    <w:multiLevelType w:val="hybridMultilevel"/>
    <w:lvl w:ilvl="0">
      <w:lvlJc w:val="left"/>
      <w:lvlText w:val="•"/>
      <w:numFmt w:val="bullet"/>
      <w:start w:val="1"/>
    </w:lvl>
  </w:abstractNum>
  <w:abstractNum w:abstractNumId="10">
    <w:nsid w:val="4BEE5A5B"/>
    <w:multiLevelType w:val="hybridMultilevel"/>
    <w:lvl w:ilvl="0">
      <w:lvlJc w:val="left"/>
      <w:lvlText w:val="•"/>
      <w:numFmt w:val="bullet"/>
      <w:start w:val="1"/>
    </w:lvl>
  </w:abstractNum>
  <w:abstractNum w:abstractNumId="11">
    <w:nsid w:val="5551B9F3"/>
    <w:multiLevelType w:val="hybridMultilevel"/>
    <w:lvl w:ilvl="0">
      <w:lvlJc w:val="left"/>
      <w:lvlText w:val="•"/>
      <w:numFmt w:val="bullet"/>
      <w:start w:val="1"/>
    </w:lvl>
  </w:abstractNum>
  <w:abstractNum w:abstractNumId="12">
    <w:nsid w:val="24F6AB8E"/>
    <w:multiLevelType w:val="hybridMultilevel"/>
    <w:lvl w:ilvl="0">
      <w:lvlJc w:val="left"/>
      <w:lvlText w:val="•"/>
      <w:numFmt w:val="bullet"/>
      <w:start w:val="1"/>
    </w:lvl>
  </w:abstractNum>
  <w:abstractNum w:abstractNumId="13">
    <w:nsid w:val="634C574C"/>
    <w:multiLevelType w:val="hybridMultilevel"/>
    <w:lvl w:ilvl="0">
      <w:lvlJc w:val="left"/>
      <w:lvlText w:val="•"/>
      <w:numFmt w:val="bullet"/>
      <w:start w:val="1"/>
    </w:lvl>
  </w:abstractNum>
  <w:abstractNum w:abstractNumId="14">
    <w:nsid w:val="24E99DD7"/>
    <w:multiLevelType w:val="hybridMultilevel"/>
    <w:lvl w:ilvl="0">
      <w:lvlJc w:val="left"/>
      <w:lvlText w:val="(%1)"/>
      <w:numFmt w:val="lowerRoman"/>
      <w:start w:val="2"/>
    </w:lvl>
  </w:abstractNum>
  <w:abstractNum w:abstractNumId="15">
    <w:nsid w:val="2A31B62D"/>
    <w:multiLevelType w:val="hybridMultilevel"/>
    <w:lvl w:ilvl="0">
      <w:lvlJc w:val="left"/>
      <w:lvlText w:val="•"/>
      <w:numFmt w:val="bullet"/>
      <w:start w:val="1"/>
    </w:lvl>
  </w:abstractNum>
  <w:abstractNum w:abstractNumId="16">
    <w:nsid w:val="1849C29B"/>
    <w:multiLevelType w:val="hybridMultilevel"/>
    <w:lvl w:ilvl="0">
      <w:lvlJc w:val="left"/>
      <w:lvlText w:val="(%1)"/>
      <w:numFmt w:val="decimal"/>
      <w:start w:val="1"/>
    </w:lvl>
  </w:abstractNum>
  <w:abstractNum w:abstractNumId="17">
    <w:nsid w:val="7DFF9D09"/>
    <w:multiLevelType w:val="hybridMultilevel"/>
    <w:lvl w:ilvl="0">
      <w:lvlJc w:val="left"/>
      <w:lvlText w:val="%1."/>
      <w:numFmt w:val="decimal"/>
      <w:start w:val="1"/>
    </w:lvl>
  </w:abstractNum>
  <w:abstractNum w:abstractNumId="18">
    <w:nsid w:val="754342"/>
    <w:multiLevelType w:val="hybridMultilevel"/>
    <w:lvl w:ilvl="0">
      <w:lvlJc w:val="left"/>
      <w:lvlText w:val="•"/>
      <w:numFmt w:val="bullet"/>
      <w:start w:val="1"/>
    </w:lvl>
  </w:abstractNum>
  <w:abstractNum w:abstractNumId="19">
    <w:nsid w:val="69E7F3E5"/>
    <w:multiLevelType w:val="hybridMultilevel"/>
    <w:lvl w:ilvl="0">
      <w:lvlJc w:val="left"/>
      <w:lvlText w:val="%1)"/>
      <w:numFmt w:val="lowerLetter"/>
      <w:start w:val="1"/>
    </w:lvl>
  </w:abstractNum>
  <w:abstractNum w:abstractNumId="20">
    <w:nsid w:val="2A6DE806"/>
    <w:multiLevelType w:val="hybridMultilevel"/>
    <w:lvl w:ilvl="0">
      <w:lvlJc w:val="left"/>
      <w:lvlText w:val="•"/>
      <w:numFmt w:val="bullet"/>
      <w:start w:val="1"/>
    </w:lvl>
  </w:abstractNum>
  <w:abstractNum w:abstractNumId="21">
    <w:nsid w:val="1816F8C4"/>
    <w:multiLevelType w:val="hybridMultilevel"/>
    <w:lvl w:ilvl="0">
      <w:lvlJc w:val="left"/>
      <w:lvlText w:val="(%1)"/>
      <w:numFmt w:val="decimal"/>
      <w:start w:val="1"/>
    </w:lvl>
    <w:lvl w:ilvl="1">
      <w:lvlJc w:val="left"/>
      <w:lvlText w:val="(%2)"/>
      <w:numFmt w:val="decimal"/>
      <w:start w:val="6"/>
    </w:lvl>
  </w:abstractNum>
  <w:abstractNum w:abstractNumId="22">
    <w:nsid w:val="37DF2233"/>
    <w:multiLevelType w:val="hybridMultilevel"/>
    <w:lvl w:ilvl="0">
      <w:lvlJc w:val="left"/>
      <w:lvlText w:val="(%1)"/>
      <w:numFmt w:val="decimal"/>
      <w:start w:val="7"/>
    </w:lvl>
    <w:lvl w:ilvl="1">
      <w:lvlJc w:val="left"/>
      <w:lvlText w:val="(%2)"/>
      <w:numFmt w:val="decimal"/>
      <w:start w:val="10"/>
    </w:lvl>
  </w:abstractNum>
  <w:abstractNum w:abstractNumId="23">
    <w:nsid w:val="7AB49DAF"/>
    <w:multiLevelType w:val="hybridMultilevel"/>
    <w:lvl w:ilvl="0">
      <w:lvlJc w:val="left"/>
      <w:lvlText w:val="(%1)"/>
      <w:numFmt w:val="decimal"/>
      <w:start w:val="11"/>
    </w:lvl>
    <w:lvl w:ilvl="1">
      <w:lvlJc w:val="left"/>
      <w:lvlText w:val="(%2)"/>
      <w:numFmt w:val="decimal"/>
      <w:start w:val="14"/>
    </w:lvl>
  </w:abstractNum>
  <w:abstractNum w:abstractNumId="24">
    <w:nsid w:val="759F82CD"/>
    <w:multiLevelType w:val="hybridMultilevel"/>
    <w:lvl w:ilvl="0">
      <w:lvlJc w:val="left"/>
      <w:lvlText w:val="(%1)"/>
      <w:numFmt w:val="decimal"/>
      <w:start w:val="15"/>
    </w:lvl>
  </w:abstractNum>
  <w:abstractNum w:abstractNumId="25">
    <w:nsid w:val="61E74EA3"/>
    <w:multiLevelType w:val="hybridMultilevel"/>
    <w:lvl w:ilvl="0">
      <w:lvlJc w:val="left"/>
      <w:lvlText w:val="(%1)"/>
      <w:numFmt w:val="decimal"/>
      <w:start w:val="1"/>
    </w:lvl>
  </w:abstractNum>
  <w:abstractNum w:abstractNumId="26">
    <w:nsid w:val="597B4D84"/>
    <w:multiLevelType w:val="hybridMultilevel"/>
    <w:lvl w:ilvl="0">
      <w:lvlJc w:val="left"/>
      <w:lvlText w:val="•"/>
      <w:numFmt w:val="bullet"/>
      <w:start w:val="1"/>
    </w:lvl>
  </w:abstractNum>
  <w:abstractNum w:abstractNumId="27">
    <w:nsid w:val="F819E7F"/>
    <w:multiLevelType w:val="hybridMultilevel"/>
    <w:lvl w:ilvl="0">
      <w:lvlJc w:val="left"/>
      <w:lvlText w:val="•"/>
      <w:numFmt w:val="bullet"/>
      <w:start w:val="1"/>
    </w:lvl>
  </w:abstractNum>
  <w:abstractNum w:abstractNumId="28">
    <w:nsid w:val="57C7D42D"/>
    <w:multiLevelType w:val="hybridMultilevel"/>
    <w:lvl w:ilvl="0">
      <w:lvlJc w:val="left"/>
      <w:lvlText w:val="•"/>
      <w:numFmt w:val="bullet"/>
      <w:start w:val="1"/>
    </w:lvl>
  </w:abstractNum>
  <w:abstractNum w:abstractNumId="29">
    <w:nsid w:val="312167AD"/>
    <w:multiLevelType w:val="hybridMultilevel"/>
    <w:lvl w:ilvl="0">
      <w:lvlJc w:val="left"/>
      <w:lvlText w:val="•"/>
      <w:numFmt w:val="bullet"/>
      <w:start w:val="1"/>
    </w:lvl>
  </w:abstractNum>
  <w:abstractNum w:abstractNumId="30">
    <w:nsid w:val="631B64D4"/>
    <w:multiLevelType w:val="hybridMultilevel"/>
    <w:lvl w:ilvl="0">
      <w:lvlJc w:val="left"/>
      <w:lvlText w:val="•"/>
      <w:numFmt w:val="bullet"/>
      <w:start w:val="1"/>
    </w:lvl>
  </w:abstractNum>
  <w:abstractNum w:abstractNumId="31">
    <w:nsid w:val="78B5E776"/>
    <w:multiLevelType w:val="hybridMultilevel"/>
    <w:lvl w:ilvl="0">
      <w:lvlJc w:val="left"/>
      <w:lvlText w:val="•"/>
      <w:numFmt w:val="bullet"/>
      <w:start w:val="1"/>
    </w:lvl>
    <w:lvl w:ilvl="1">
      <w:lvlJc w:val="left"/>
      <w:lvlText w:val="•"/>
      <w:numFmt w:val="bullet"/>
      <w:start w:val="1"/>
    </w:lvl>
  </w:abstractNum>
  <w:abstractNum w:abstractNumId="32">
    <w:nsid w:val="75486E47"/>
    <w:multiLevelType w:val="hybridMultilevel"/>
    <w:lvl w:ilvl="0">
      <w:lvlJc w:val="left"/>
      <w:lvlText w:val="(%1)"/>
      <w:numFmt w:val="decimal"/>
      <w:start w:val="1"/>
    </w:lvl>
  </w:abstractNum>
  <w:abstractNum w:abstractNumId="33">
    <w:nsid w:val="6E534CDE"/>
    <w:multiLevelType w:val="hybridMultilevel"/>
    <w:lvl w:ilvl="0">
      <w:lvlJc w:val="left"/>
      <w:lvlText w:val="(%1)"/>
      <w:numFmt w:val="decimal"/>
      <w:start w:val="1"/>
    </w:lvl>
  </w:abstractNum>
  <w:abstractNum w:abstractNumId="34">
    <w:nsid w:val="1A0DDE32"/>
    <w:multiLevelType w:val="hybridMultilevel"/>
    <w:lvl w:ilvl="0">
      <w:lvlJc w:val="left"/>
      <w:lvlText w:val="*"/>
      <w:numFmt w:val="bullet"/>
      <w:start w:val="1"/>
    </w:lvl>
  </w:abstractNum>
  <w:abstractNum w:abstractNumId="35">
    <w:nsid w:val="65968C1C"/>
    <w:multiLevelType w:val="hybridMultilevel"/>
    <w:lvl w:ilvl="0">
      <w:lvlJc w:val="left"/>
      <w:lvlText w:val="(%1)"/>
      <w:numFmt w:val="decimal"/>
      <w:start w:val="1"/>
    </w:lvl>
  </w:abstractNum>
  <w:abstractNum w:abstractNumId="36">
    <w:nsid w:val="46263DEC"/>
    <w:multiLevelType w:val="hybridMultilevel"/>
    <w:lvl w:ilvl="0">
      <w:lvlJc w:val="left"/>
      <w:lvlText w:val="(%1)"/>
      <w:numFmt w:val="decimal"/>
      <w:start w:val="8"/>
    </w:lvl>
  </w:abstractNum>
  <w:abstractNum w:abstractNumId="37">
    <w:nsid w:val="260D8C4A"/>
    <w:multiLevelType w:val="hybridMultilevel"/>
    <w:lvl w:ilvl="0">
      <w:lvlJc w:val="left"/>
      <w:lvlText w:val="(%1)"/>
      <w:numFmt w:val="decimal"/>
      <w:start w:val="1"/>
    </w:lvl>
  </w:abstractNum>
  <w:abstractNum w:abstractNumId="38">
    <w:nsid w:val="73D4D3C4"/>
    <w:multiLevelType w:val="hybridMultilevel"/>
    <w:lvl w:ilvl="0">
      <w:lvlJc w:val="left"/>
      <w:lvlText w:val="•"/>
      <w:numFmt w:val="bullet"/>
      <w:start w:val="1"/>
    </w:lvl>
    <w:lvl w:ilvl="1">
      <w:lvlJc w:val="left"/>
      <w:lvlText w:val="•"/>
      <w:numFmt w:val="bullet"/>
      <w:start w:val="1"/>
    </w:lvl>
  </w:abstractNum>
  <w:abstractNum w:abstractNumId="39">
    <w:nsid w:val="746F2E30"/>
    <w:multiLevelType w:val="hybridMultilevel"/>
    <w:lvl w:ilvl="0">
      <w:lvlJc w:val="left"/>
      <w:lvlText w:val="•"/>
      <w:numFmt w:val="bullet"/>
      <w:start w:val="1"/>
    </w:lvl>
    <w:lvl w:ilvl="1">
      <w:lvlJc w:val="left"/>
      <w:lvlText w:val="•"/>
      <w:numFmt w:val="bullet"/>
      <w:start w:val="1"/>
    </w:lvl>
  </w:abstractNum>
  <w:abstractNum w:abstractNumId="40">
    <w:nsid w:val="6FDE8AF6"/>
    <w:multiLevelType w:val="hybridMultilevel"/>
    <w:lvl w:ilvl="0">
      <w:lvlJc w:val="left"/>
      <w:lvlText w:val="•"/>
      <w:numFmt w:val="bullet"/>
      <w:start w:val="1"/>
    </w:lvl>
  </w:abstractNum>
  <w:abstractNum w:abstractNumId="41">
    <w:nsid w:val="3FC32E20"/>
    <w:multiLevelType w:val="hybridMultilevel"/>
    <w:lvl w:ilvl="0">
      <w:lvlJc w:val="left"/>
      <w:lvlText w:val="(%1)"/>
      <w:numFmt w:val="decimal"/>
      <w:start w:val="1"/>
    </w:lvl>
  </w:abstractNum>
  <w:abstractNum w:abstractNumId="42">
    <w:nsid w:val="49C0E823"/>
    <w:multiLevelType w:val="hybridMultilevel"/>
    <w:lvl w:ilvl="0">
      <w:lvlJc w:val="left"/>
      <w:lvlText w:val="•"/>
      <w:numFmt w:val="bullet"/>
      <w:start w:val="1"/>
    </w:lvl>
  </w:abstractNum>
  <w:abstractNum w:abstractNumId="43">
    <w:nsid w:val="14D53685"/>
    <w:multiLevelType w:val="hybridMultilevel"/>
    <w:lvl w:ilvl="0">
      <w:lvlJc w:val="left"/>
      <w:lvlText w:val="(%1)"/>
      <w:numFmt w:val="decimal"/>
      <w:start w:val="1"/>
    </w:lvl>
  </w:abstractNum>
  <w:abstractNum w:abstractNumId="44">
    <w:nsid w:val="230F856C"/>
    <w:multiLevelType w:val="hybridMultilevel"/>
    <w:lvl w:ilvl="0">
      <w:lvlJc w:val="left"/>
      <w:lvlText w:val="(%1)"/>
      <w:numFmt w:val="lowerLetter"/>
      <w:start w:val="1"/>
    </w:lvl>
    <w:lvl w:ilvl="1">
      <w:lvlJc w:val="left"/>
      <w:lvlText w:val="(%2)"/>
      <w:numFmt w:val="decimal"/>
      <w:start w:val="1"/>
    </w:lvl>
  </w:abstractNum>
  <w:abstractNum w:abstractNumId="45">
    <w:nsid w:val="6EAA85FB"/>
    <w:multiLevelType w:val="hybridMultilevel"/>
    <w:lvl w:ilvl="0">
      <w:lvlJc w:val="left"/>
      <w:lvlText w:val="†"/>
      <w:numFmt w:val="bullet"/>
      <w:start w:val="1"/>
    </w:lvl>
    <w:lvl w:ilvl="1">
      <w:lvlJc w:val="left"/>
      <w:lvlText w:val="%2"/>
      <w:numFmt w:val="decimal"/>
      <w:start w:val="104"/>
    </w:lvl>
  </w:abstractNum>
  <w:abstractNum w:abstractNumId="46">
    <w:nsid w:val="3F06ECB2"/>
    <w:multiLevelType w:val="hybridMultilevel"/>
    <w:lvl w:ilvl="0">
      <w:lvlJc w:val="left"/>
      <w:lvlText w:val="*"/>
      <w:numFmt w:val="bullet"/>
      <w:start w:val="1"/>
    </w:lvl>
  </w:abstractNum>
  <w:abstractNum w:abstractNumId="47">
    <w:nsid w:val="3B594807"/>
    <w:multiLevelType w:val="hybridMultilevel"/>
    <w:lvl w:ilvl="0">
      <w:lvlJc w:val="left"/>
      <w:lvlText w:val="**"/>
      <w:numFmt w:val="bullet"/>
      <w:start w:val="1"/>
    </w:lvl>
  </w:abstractNum>
  <w:abstractNum w:abstractNumId="48">
    <w:nsid w:val="6CAA2304"/>
    <w:multiLevelType w:val="hybridMultilevel"/>
    <w:lvl w:ilvl="0">
      <w:lvlJc w:val="left"/>
      <w:lvlText w:val="(%1)"/>
      <w:numFmt w:val="decimal"/>
      <w:start w:val="1"/>
    </w:lvl>
  </w:abstractNum>
  <w:abstractNum w:abstractNumId="49">
    <w:nsid w:val="3F7C2FF4"/>
    <w:multiLevelType w:val="hybridMultilevel"/>
    <w:lvl w:ilvl="0">
      <w:lvlJc w:val="left"/>
      <w:lvlText w:val="•"/>
      <w:numFmt w:val="bullet"/>
      <w:start w:val="1"/>
    </w:lvl>
  </w:abstractNum>
  <w:abstractNum w:abstractNumId="50">
    <w:nsid w:val="25413BEC"/>
    <w:multiLevelType w:val="hybridMultilevel"/>
    <w:lvl w:ilvl="0">
      <w:lvlJc w:val="left"/>
      <w:lvlText w:val="%1."/>
      <w:numFmt w:val="decimal"/>
      <w:start w:val="1"/>
    </w:lvl>
  </w:abstractNum>
  <w:abstractNum w:abstractNumId="51">
    <w:nsid w:val="17180B0B"/>
    <w:multiLevelType w:val="hybridMultilevel"/>
    <w:lvl w:ilvl="0">
      <w:lvlJc w:val="left"/>
      <w:lvlText w:val="•"/>
      <w:numFmt w:val="bullet"/>
      <w:start w:val="1"/>
    </w:lvl>
  </w:abstractNum>
  <w:abstractNum w:abstractNumId="52">
    <w:nsid w:val="579328B9"/>
    <w:multiLevelType w:val="hybridMultilevel"/>
    <w:lvl w:ilvl="0">
      <w:lvlJc w:val="left"/>
      <w:lvlText w:val="•"/>
      <w:numFmt w:val="bullet"/>
      <w:start w:val="1"/>
    </w:lvl>
  </w:abstractNum>
  <w:abstractNum w:abstractNumId="53">
    <w:nsid w:val="5D205E20"/>
    <w:multiLevelType w:val="hybridMultilevel"/>
    <w:lvl w:ilvl="0">
      <w:lvlJc w:val="left"/>
      <w:lvlText w:val="•"/>
      <w:numFmt w:val="bullet"/>
      <w:start w:val="1"/>
    </w:lvl>
  </w:abstractNum>
  <w:abstractNum w:abstractNumId="54">
    <w:nsid w:val="11CCA8BA"/>
    <w:multiLevelType w:val="hybridMultilevel"/>
    <w:lvl w:ilvl="0">
      <w:lvlJc w:val="left"/>
      <w:lvlText w:val="%1)"/>
      <w:numFmt w:val="lowerLetter"/>
      <w:start w:val="1"/>
    </w:lvl>
    <w:lvl w:ilvl="1">
      <w:lvlJc w:val="left"/>
      <w:lvlText w:val="%2."/>
      <w:numFmt w:val="lowerLetter"/>
      <w:start w:val="1"/>
    </w:lvl>
  </w:abstractNum>
  <w:abstractNum w:abstractNumId="55">
    <w:nsid w:val="4D32AB86"/>
    <w:multiLevelType w:val="hybridMultilevel"/>
    <w:lvl w:ilvl="0">
      <w:lvlJc w:val="left"/>
      <w:lvlText w:val="•"/>
      <w:numFmt w:val="bullet"/>
      <w:start w:val="1"/>
    </w:lvl>
  </w:abstractNum>
  <w:abstractNum w:abstractNumId="56">
    <w:nsid w:val="3F07ACC3"/>
    <w:multiLevelType w:val="hybridMultilevel"/>
    <w:lvl w:ilvl="0">
      <w:lvlJc w:val="left"/>
      <w:lvlText w:val="(%1)"/>
      <w:numFmt w:val="decimal"/>
      <w:start w:val="1"/>
    </w:lvl>
  </w:abstractNum>
  <w:abstractNum w:abstractNumId="57">
    <w:nsid w:val="6B47F63E"/>
    <w:multiLevelType w:val="hybridMultilevel"/>
    <w:lvl w:ilvl="0">
      <w:lvlJc w:val="left"/>
      <w:lvlText w:val="%1."/>
      <w:numFmt w:val="decimal"/>
      <w:start w:val="1"/>
    </w:lvl>
  </w:abstractNum>
  <w:abstractNum w:abstractNumId="58">
    <w:nsid w:val="5CB44A05"/>
    <w:multiLevelType w:val="hybridMultilevel"/>
    <w:lvl w:ilvl="0">
      <w:lvlJc w:val="left"/>
      <w:lvlText w:val="%1."/>
      <w:numFmt w:val="decimal"/>
      <w:start w:val="2"/>
    </w:lvl>
  </w:abstractNum>
  <w:abstractNum w:abstractNumId="59">
    <w:nsid w:val="16CF80F1"/>
    <w:multiLevelType w:val="hybridMultilevel"/>
    <w:lvl w:ilvl="0">
      <w:lvlJc w:val="left"/>
      <w:lvlText w:val="%1."/>
      <w:numFmt w:val="decimal"/>
      <w:start w:val="4"/>
    </w:lvl>
  </w:abstractNum>
  <w:abstractNum w:abstractNumId="60">
    <w:nsid w:val="1C695DEC"/>
    <w:multiLevelType w:val="hybridMultilevel"/>
    <w:lvl w:ilvl="0">
      <w:lvlJc w:val="left"/>
      <w:lvlText w:val="%1."/>
      <w:numFmt w:val="decimal"/>
      <w:start w:val="11"/>
    </w:lvl>
  </w:abstractNum>
  <w:abstractNum w:abstractNumId="61">
    <w:nsid w:val="3FCFAED9"/>
    <w:multiLevelType w:val="hybridMultilevel"/>
    <w:lvl w:ilvl="0">
      <w:lvlJc w:val="left"/>
      <w:lvlText w:val="(%1)"/>
      <w:numFmt w:val="lowerLetter"/>
      <w:start w:val="1"/>
    </w:lvl>
  </w:abstractNum>
  <w:abstractNum w:abstractNumId="62">
    <w:nsid w:val="F856867"/>
    <w:multiLevelType w:val="hybridMultilevel"/>
    <w:lvl w:ilvl="0">
      <w:lvlJc w:val="left"/>
      <w:lvlText w:val="(%1)"/>
      <w:numFmt w:val="lowerLetter"/>
      <w:start w:val="6"/>
    </w:lvl>
  </w:abstractNum>
  <w:abstractNum w:abstractNumId="63">
    <w:nsid w:val="11B1CC33"/>
    <w:multiLevelType w:val="hybridMultilevel"/>
    <w:lvl w:ilvl="0">
      <w:lvlJc w:val="left"/>
      <w:lvlText w:val="%1."/>
      <w:numFmt w:val="decimal"/>
      <w:start w:val="1"/>
    </w:lvl>
  </w:abstractNum>
  <w:abstractNum w:abstractNumId="64">
    <w:nsid w:val="2E22FBB7"/>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4"/>
    </w:lvl>
  </w:abstractNum>
  <w:abstractNum w:abstractNumId="65">
    <w:nsid w:val="2993469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abstractNum>
  <w:abstractNum w:abstractNumId="66">
    <w:nsid w:val="77485850"/>
    <w:multiLevelType w:val="hybridMultilevel"/>
    <w:lvl w:ilvl="0">
      <w:lvlJc w:val="left"/>
      <w:lvlText w:val="%1."/>
      <w:numFmt w:val="decimal"/>
      <w:start w:val="2"/>
    </w:lvl>
  </w:abstractNum>
  <w:abstractNum w:abstractNumId="67">
    <w:nsid w:val="744939A3"/>
    <w:multiLevelType w:val="hybridMultilevel"/>
    <w:lvl w:ilvl="0">
      <w:lvlJc w:val="left"/>
      <w:lvlText w:val="%1."/>
      <w:numFmt w:val="decimal"/>
      <w:start w:val="3"/>
    </w:lvl>
  </w:abstractNum>
  <w:abstractNum w:abstractNumId="68">
    <w:nsid w:val="4FA0D2E3"/>
    <w:multiLevelType w:val="hybridMultilevel"/>
    <w:lvl w:ilvl="0">
      <w:lvlJc w:val="left"/>
      <w:lvlText w:val="(%1)"/>
      <w:numFmt w:val="lowerLetter"/>
      <w:start w:val="1"/>
    </w:lvl>
  </w:abstractNum>
  <w:abstractNum w:abstractNumId="69">
    <w:nsid w:val="6B1D2C14"/>
    <w:multiLevelType w:val="hybridMultilevel"/>
    <w:lvl w:ilvl="0">
      <w:lvlJc w:val="left"/>
      <w:lvlText w:val="(%1)"/>
      <w:numFmt w:val="lowerLetter"/>
      <w:start w:val="4"/>
    </w:lvl>
  </w:abstractNum>
  <w:abstractNum w:abstractNumId="70">
    <w:nsid w:val="68B867D3"/>
    <w:multiLevelType w:val="hybridMultilevel"/>
    <w:lvl w:ilvl="0">
      <w:lvlJc w:val="left"/>
      <w:lvlText w:val="%1."/>
      <w:numFmt w:val="decimal"/>
      <w:start w:val="4"/>
    </w:lvl>
  </w:abstractNum>
  <w:abstractNum w:abstractNumId="71">
    <w:nsid w:val="3F7F5DD9"/>
    <w:multiLevelType w:val="hybridMultilevel"/>
    <w:lvl w:ilvl="0">
      <w:lvlJc w:val="left"/>
      <w:lvlText w:val="%1."/>
      <w:numFmt w:val="decimal"/>
      <w:start w:val="5"/>
    </w:lvl>
  </w:abstractNum>
  <w:abstractNum w:abstractNumId="72">
    <w:nsid w:val="2AE05A34"/>
    <w:multiLevelType w:val="hybridMultilevel"/>
    <w:lvl w:ilvl="0">
      <w:lvlJc w:val="left"/>
      <w:lvlText w:val="(%1)"/>
      <w:numFmt w:val="lowerLetter"/>
      <w:start w:val="1"/>
    </w:lvl>
  </w:abstractNum>
  <w:abstractNum w:abstractNumId="73">
    <w:nsid w:val="32794FF7"/>
    <w:multiLevelType w:val="hybridMultilevel"/>
    <w:lvl w:ilvl="0">
      <w:lvlJc w:val="left"/>
      <w:lvlText w:val="(%1)"/>
      <w:numFmt w:val="lowerLetter"/>
      <w:start w:val="1"/>
    </w:lvl>
  </w:abstractNum>
  <w:abstractNum w:abstractNumId="74">
    <w:nsid w:val="5454945E"/>
    <w:multiLevelType w:val="hybridMultilevel"/>
    <w:lvl w:ilvl="0">
      <w:lvlJc w:val="left"/>
      <w:lvlText w:val="(%1)"/>
      <w:numFmt w:val="lowerLetter"/>
      <w:start w:val="2"/>
    </w:lvl>
  </w:abstractNum>
  <w:abstractNum w:abstractNumId="75">
    <w:nsid w:val="4DEFDFA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6">
    <w:nsid w:val="2123D5F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77">
    <w:nsid w:val="135B8110"/>
    <w:multiLevelType w:val="hybridMultilevel"/>
    <w:lvl w:ilvl="0">
      <w:lvlJc w:val="left"/>
      <w:lvlText w:val="%1."/>
      <w:numFmt w:val="lowerLetter"/>
      <w:start w:val="1"/>
    </w:lvl>
  </w:abstractNum>
  <w:abstractNum w:abstractNumId="78">
    <w:nsid w:val="94927A8"/>
    <w:multiLevelType w:val="hybridMultilevel"/>
    <w:lvl w:ilvl="0">
      <w:lvlJc w:val="left"/>
      <w:lvlText w:val="(%1)"/>
      <w:numFmt w:val="lowerLetter"/>
      <w:start w:val="1"/>
    </w:lvl>
  </w:abstractNum>
  <w:abstractNum w:abstractNumId="79">
    <w:nsid w:val="DCDF8F6"/>
    <w:multiLevelType w:val="hybridMultilevel"/>
    <w:lvl w:ilvl="0">
      <w:lvlJc w:val="left"/>
      <w:lvlText w:val="%1."/>
      <w:numFmt w:val="lowerLetter"/>
      <w:start w:val="1"/>
    </w:lvl>
  </w:abstractNum>
  <w:abstractNum w:abstractNumId="80">
    <w:nsid w:val="52D7B105"/>
    <w:multiLevelType w:val="hybridMultilevel"/>
    <w:lvl w:ilvl="0">
      <w:lvlJc w:val="left"/>
      <w:lvlText w:val="%1."/>
      <w:numFmt w:val="decimal"/>
      <w:start w:val="7"/>
    </w:lvl>
  </w:abstractNum>
  <w:abstractNum w:abstractNumId="81">
    <w:nsid w:val="2E8A6394"/>
    <w:multiLevelType w:val="hybridMultilevel"/>
    <w:lvl w:ilvl="0">
      <w:lvlJc w:val="left"/>
      <w:lvlText w:val="%1."/>
      <w:numFmt w:val="decimal"/>
      <w:start w:val="8"/>
    </w:lvl>
  </w:abstractNum>
  <w:abstractNum w:abstractNumId="82">
    <w:nsid w:val="24E60401"/>
    <w:multiLevelType w:val="hybridMultilevel"/>
    <w:lvl w:ilvl="0">
      <w:lvlJc w:val="left"/>
      <w:lvlText w:val="%1."/>
      <w:numFmt w:val="decimal"/>
      <w:start w:val="9"/>
    </w:lvl>
  </w:abstractNum>
  <w:abstractNum w:abstractNumId="83">
    <w:nsid w:val="2A6AD9BE"/>
    <w:multiLevelType w:val="hybridMultilevel"/>
    <w:lvl w:ilvl="0">
      <w:lvlJc w:val="left"/>
      <w:lvlText w:val="%1."/>
      <w:numFmt w:val="decimal"/>
      <w:start w:val="10"/>
    </w:lvl>
  </w:abstractNum>
  <w:abstractNum w:abstractNumId="84">
    <w:nsid w:val="BAAC1B4"/>
    <w:multiLevelType w:val="hybridMultilevel"/>
    <w:lvl w:ilvl="0">
      <w:lvlJc w:val="left"/>
      <w:lvlText w:val="%1."/>
      <w:numFmt w:val="decimal"/>
      <w:start w:val="11"/>
    </w:lvl>
  </w:abstractNum>
  <w:abstractNum w:abstractNumId="85">
    <w:nsid w:val="36B2ACBC"/>
    <w:multiLevelType w:val="hybridMultilevel"/>
    <w:lvl w:ilvl="0">
      <w:lvlJc w:val="left"/>
      <w:lvlText w:val="%1."/>
      <w:numFmt w:val="decimal"/>
      <w:start w:val="12"/>
    </w:lvl>
  </w:abstractNum>
  <w:abstractNum w:abstractNumId="86">
    <w:nsid w:val="779D8544"/>
    <w:multiLevelType w:val="hybridMultilevel"/>
    <w:lvl w:ilvl="0">
      <w:lvlJc w:val="left"/>
      <w:lvlText w:val="%1."/>
      <w:numFmt w:val="decimal"/>
      <w:start w:val="13"/>
    </w:lvl>
  </w:abstractNum>
  <w:abstractNum w:abstractNumId="87">
    <w:nsid w:val="4AB26E78"/>
    <w:multiLevelType w:val="hybridMultilevel"/>
    <w:lvl w:ilvl="0">
      <w:lvlJc w:val="left"/>
      <w:lvlText w:val="%1."/>
      <w:numFmt w:val="decimal"/>
      <w:start w:val="14"/>
    </w:lvl>
  </w:abstractNum>
  <w:abstractNum w:abstractNumId="88">
    <w:nsid w:val="21FAA2FA"/>
    <w:multiLevelType w:val="hybridMultilevel"/>
    <w:lvl w:ilvl="0">
      <w:lvlJc w:val="left"/>
      <w:lvlText w:val="%1."/>
      <w:numFmt w:val="decimal"/>
      <w:start w:val="1"/>
    </w:lvl>
  </w:abstractNum>
  <w:abstractNum w:abstractNumId="89">
    <w:nsid w:val="5451CF49"/>
    <w:multiLevelType w:val="hybridMultilevel"/>
    <w:lvl w:ilvl="0">
      <w:lvlJc w:val="left"/>
      <w:lvlText w:val="A"/>
      <w:numFmt w:val="bullet"/>
      <w:start w:val="1"/>
    </w:lvl>
  </w:abstractNum>
  <w:abstractNum w:abstractNumId="90">
    <w:nsid w:val="6181EF69"/>
    <w:multiLevelType w:val="hybridMultilevel"/>
    <w:lvl w:ilvl="0">
      <w:lvlJc w:val="left"/>
      <w:lvlText w:val="%1."/>
      <w:numFmt w:val="upperLetter"/>
      <w:start w:val="2"/>
    </w:lvl>
  </w:abstractNum>
  <w:abstractNum w:abstractNumId="91">
    <w:nsid w:val="3E6400E6"/>
    <w:multiLevelType w:val="hybridMultilevel"/>
    <w:lvl w:ilvl="0">
      <w:lvlJc w:val="left"/>
      <w:lvlText w:val="%1."/>
      <w:numFmt w:val="decimal"/>
      <w:start w:val="1"/>
    </w:lvl>
    <w:lvl w:ilvl="1">
      <w:lvlJc w:val="left"/>
      <w:lvlText w:val="(%2)"/>
      <w:numFmt w:val="lowerLetter"/>
      <w:start w:val="1"/>
    </w:lvl>
  </w:abstractNum>
  <w:abstractNum w:abstractNumId="92">
    <w:nsid w:val="14217E23"/>
    <w:multiLevelType w:val="hybridMultilevel"/>
    <w:lvl w:ilvl="0">
      <w:lvlJc w:val="left"/>
      <w:lvlText w:val="(%1)"/>
      <w:numFmt w:val="lowerLetter"/>
      <w:start w:val="2"/>
    </w:lvl>
  </w:abstractNum>
  <w:abstractNum w:abstractNumId="93">
    <w:nsid w:val="710757D0"/>
    <w:multiLevelType w:val="hybridMultilevel"/>
    <w:lvl w:ilvl="0">
      <w:lvlJc w:val="left"/>
      <w:lvlText w:val="(%1)"/>
      <w:numFmt w:val="lowerLetter"/>
      <w:start w:val="1"/>
    </w:lvl>
  </w:abstractNum>
  <w:abstractNum w:abstractNumId="94">
    <w:nsid w:val="5015CD1A"/>
    <w:multiLevelType w:val="hybridMultilevel"/>
    <w:lvl w:ilvl="0">
      <w:lvlJc w:val="left"/>
      <w:lvlText w:val="(%1)"/>
      <w:numFmt w:val="lowerLetter"/>
      <w:start w:val="1"/>
    </w:lvl>
  </w:abstractNum>
  <w:abstractNum w:abstractNumId="95">
    <w:nsid w:val="424479DA"/>
    <w:multiLevelType w:val="hybridMultilevel"/>
    <w:lvl w:ilvl="0">
      <w:lvlJc w:val="left"/>
      <w:lvlText w:val="(%1)"/>
      <w:numFmt w:val="lowerLetter"/>
      <w:start w:val="1"/>
    </w:lvl>
  </w:abstractNum>
  <w:abstractNum w:abstractNumId="96">
    <w:nsid w:val="1A9A9E69"/>
    <w:multiLevelType w:val="hybridMultilevel"/>
    <w:lvl w:ilvl="0">
      <w:lvlJc w:val="left"/>
      <w:lvlText w:val="(%1)"/>
      <w:numFmt w:val="lowerLetter"/>
      <w:start w:val="6"/>
    </w:lvl>
  </w:abstractNum>
  <w:abstractNum w:abstractNumId="97">
    <w:nsid w:val="475E256A"/>
    <w:multiLevelType w:val="hybridMultilevel"/>
    <w:lvl w:ilvl="0">
      <w:lvlJc w:val="left"/>
      <w:lvlText w:val="(%1)"/>
      <w:numFmt w:val="upperLetter"/>
      <w:start w:val="9"/>
    </w:lvl>
  </w:abstractNum>
  <w:abstractNum w:abstractNumId="98">
    <w:nsid w:val="368DB37E"/>
    <w:multiLevelType w:val="hybridMultilevel"/>
    <w:lvl w:ilvl="0">
      <w:lvlJc w:val="left"/>
      <w:lvlText w:val="%1"/>
      <w:numFmt w:val="decimal"/>
      <w:start w:val="1"/>
    </w:lvl>
    <w:lvl w:ilvl="1">
      <w:lvlJc w:val="left"/>
      <w:lvlText w:val="(%2)"/>
      <w:numFmt w:val="lowerLetter"/>
      <w:start w:val="13"/>
    </w:lvl>
  </w:abstractNum>
  <w:abstractNum w:abstractNumId="99">
    <w:nsid w:val="6A3B714C"/>
    <w:multiLevelType w:val="hybridMultilevel"/>
    <w:lvl w:ilvl="0">
      <w:lvlJc w:val="left"/>
      <w:lvlText w:val="%1."/>
      <w:numFmt w:val="decimal"/>
      <w:start w:val="2"/>
    </w:lvl>
    <w:lvl w:ilvl="1">
      <w:lvlJc w:val="left"/>
      <w:lvlText w:val="%2"/>
      <w:numFmt w:val="lowerLetter"/>
      <w:start w:val="1"/>
    </w:lvl>
  </w:abstractNum>
  <w:abstractNum w:abstractNumId="100">
    <w:nsid w:val="327B517E"/>
    <w:multiLevelType w:val="hybridMultilevel"/>
    <w:lvl w:ilvl="0">
      <w:lvlJc w:val="left"/>
      <w:lvlText w:val="(%1)"/>
      <w:numFmt w:val="lowerLetter"/>
      <w:start w:val="1"/>
    </w:lvl>
  </w:abstractNum>
  <w:abstractNum w:abstractNumId="101">
    <w:nsid w:val="1F461B51"/>
    <w:multiLevelType w:val="hybridMultilevel"/>
    <w:lvl w:ilvl="0">
      <w:lvlJc w:val="left"/>
      <w:lvlText w:val="%1."/>
      <w:numFmt w:val="decimal"/>
      <w:start w:val="3"/>
    </w:lvl>
  </w:abstractNum>
  <w:abstractNum w:abstractNumId="102">
    <w:nsid w:val="29BACF25"/>
    <w:multiLevelType w:val="hybridMultilevel"/>
    <w:lvl w:ilvl="0">
      <w:lvlJc w:val="left"/>
      <w:lvlText w:val="%1."/>
      <w:numFmt w:val="decimal"/>
      <w:start w:val="4"/>
    </w:lvl>
    <w:lvl w:ilvl="1">
      <w:lvlJc w:val="left"/>
      <w:lvlText w:val="(%2)"/>
      <w:numFmt w:val="lowerLetter"/>
      <w:start w:val="1"/>
    </w:lvl>
  </w:abstractNum>
  <w:abstractNum w:abstractNumId="103">
    <w:nsid w:val="5D5BABB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4">
    <w:nsid w:val="51BF6B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5">
    <w:nsid w:val="7E0F6384"/>
    <w:multiLevelType w:val="hybridMultilevel"/>
    <w:lvl w:ilvl="0">
      <w:lvlJc w:val="left"/>
      <w:lvlText w:val="(%1)"/>
      <w:numFmt w:val="lowerRoman"/>
      <w:start w:val="2"/>
    </w:lvl>
  </w:abstractNum>
  <w:abstractNum w:abstractNumId="106">
    <w:nsid w:val="2B4B8B53"/>
    <w:multiLevelType w:val="hybridMultilevel"/>
    <w:lvl w:ilvl="0">
      <w:lvlJc w:val="left"/>
      <w:lvlText w:val="(%1)"/>
      <w:numFmt w:val="lowerLetter"/>
      <w:start w:val="4"/>
    </w:lvl>
    <w:lvl w:ilvl="1">
      <w:lvlJc w:val="left"/>
      <w:lvlText w:val="(%2)"/>
      <w:numFmt w:val="lowerRoman"/>
      <w:start w:val="1"/>
    </w:lvl>
  </w:abstractNum>
  <w:abstractNum w:abstractNumId="107">
    <w:nsid w:val="72E3413A"/>
    <w:multiLevelType w:val="hybridMultilevel"/>
    <w:lvl w:ilvl="0">
      <w:lvlJc w:val="left"/>
      <w:lvlText w:val="%1."/>
      <w:numFmt w:val="decimal"/>
      <w:start w:val="6"/>
    </w:lvl>
  </w:abstractNum>
  <w:abstractNum w:abstractNumId="108">
    <w:nsid w:val="116AE494"/>
    <w:multiLevelType w:val="hybridMultilevel"/>
    <w:lvl w:ilvl="0">
      <w:lvlJc w:val="left"/>
      <w:lvlText w:val="(%1)"/>
      <w:numFmt w:val="lowerLetter"/>
      <w:start w:val="1"/>
    </w:lvl>
    <w:lvl w:ilvl="1">
      <w:lvlJc w:val="left"/>
      <w:lvlText w:val="(%2)"/>
      <w:numFmt w:val="lowerRoman"/>
      <w:start w:val="1"/>
    </w:lvl>
  </w:abstractNum>
  <w:abstractNum w:abstractNumId="109">
    <w:nsid w:val="3494B2FB"/>
    <w:multiLevelType w:val="hybridMultilevel"/>
    <w:lvl w:ilvl="0">
      <w:lvlJc w:val="left"/>
      <w:lvlText w:val="(%1)"/>
      <w:numFmt w:val="lowerLetter"/>
      <w:start w:val="1"/>
    </w:lvl>
  </w:abstractNum>
  <w:abstractNum w:abstractNumId="110">
    <w:nsid w:val="B13A31"/>
    <w:multiLevelType w:val="hybridMultilevel"/>
    <w:lvl w:ilvl="0">
      <w:lvlJc w:val="left"/>
      <w:lvlText w:val="(%1)"/>
      <w:numFmt w:val="lowerLetter"/>
      <w:start w:val="1"/>
    </w:lvl>
  </w:abstractNum>
  <w:abstractNum w:abstractNumId="111">
    <w:nsid w:val="64429599"/>
    <w:multiLevelType w:val="hybridMultilevel"/>
    <w:lvl w:ilvl="0">
      <w:lvlJc w:val="left"/>
      <w:lvlText w:val="(%1)"/>
      <w:numFmt w:val="lowerLetter"/>
      <w:start w:val="1"/>
    </w:lvl>
    <w:lvl w:ilvl="1">
      <w:lvlJc w:val="left"/>
      <w:lvlText w:val="(%2)"/>
      <w:numFmt w:val="lowerRoman"/>
      <w:start w:val="1"/>
    </w:lvl>
  </w:abstractNum>
  <w:abstractNum w:abstractNumId="112">
    <w:nsid w:val="631F1690"/>
    <w:multiLevelType w:val="hybridMultilevel"/>
    <w:lvl w:ilvl="0">
      <w:lvlJc w:val="left"/>
      <w:lvlText w:val="(%1)"/>
      <w:numFmt w:val="lowerLetter"/>
      <w:start w:val="1"/>
    </w:lvl>
  </w:abstractNum>
  <w:abstractNum w:abstractNumId="113">
    <w:nsid w:val="25973E32"/>
    <w:multiLevelType w:val="hybridMultilevel"/>
    <w:lvl w:ilvl="0">
      <w:lvlJc w:val="left"/>
      <w:lvlText w:val="(%1)"/>
      <w:numFmt w:val="lowerLetter"/>
      <w:start w:val="3"/>
    </w:lvl>
    <w:lvl w:ilvl="1">
      <w:lvlJc w:val="left"/>
      <w:lvlText w:val="(%2)"/>
      <w:numFmt w:val="lowerRoman"/>
      <w:start w:val="1"/>
    </w:lvl>
  </w:abstractNum>
  <w:abstractNum w:abstractNumId="114">
    <w:nsid w:val="EAD6F57"/>
    <w:multiLevelType w:val="hybridMultilevel"/>
    <w:lvl w:ilvl="0">
      <w:lvlJc w:val="left"/>
      <w:lvlText w:val="1"/>
      <w:numFmt w:val="bullet"/>
      <w:start w:val="1"/>
    </w:lvl>
  </w:abstractNum>
  <w:abstractNum w:abstractNumId="115">
    <w:nsid w:val="6EC9D844"/>
    <w:multiLevelType w:val="hybridMultilevel"/>
    <w:lvl w:ilvl="0">
      <w:lvlJc w:val="left"/>
      <w:lvlText w:val="2"/>
      <w:numFmt w:val="bullet"/>
      <w:start w:val="1"/>
    </w:lvl>
  </w:abstractNum>
  <w:abstractNum w:abstractNumId="116">
    <w:nsid w:val="5C49EAEE"/>
    <w:multiLevelType w:val="hybridMultilevel"/>
    <w:lvl w:ilvl="0">
      <w:lvlJc w:val="left"/>
      <w:lvlText w:val="3"/>
      <w:numFmt w:val="bullet"/>
      <w:start w:val="1"/>
    </w:lvl>
    <w:lvl w:ilvl="1">
      <w:lvlJc w:val="left"/>
      <w:lvlText w:val="(%2)"/>
      <w:numFmt w:val="lowerLetter"/>
      <w:start w:val="1"/>
    </w:lvl>
    <w:lvl w:ilvl="2">
      <w:lvlJc w:val="left"/>
      <w:lvlText w:val="(%3)"/>
      <w:numFmt w:val="lowerLetter"/>
      <w:start w:val="9"/>
    </w:lvl>
  </w:abstractNum>
  <w:abstractNum w:abstractNumId="117">
    <w:nsid w:val="64AF49B"/>
    <w:multiLevelType w:val="hybridMultilevel"/>
    <w:lvl w:ilvl="0">
      <w:lvlJc w:val="left"/>
      <w:lvlText w:val="%1"/>
      <w:numFmt w:val="lowerLetter"/>
      <w:start w:val="1"/>
    </w:lvl>
    <w:lvl w:ilvl="1">
      <w:lvlJc w:val="left"/>
      <w:lvlText w:val="(%2)"/>
      <w:numFmt w:val="lowerLetter"/>
      <w:start w:val="35"/>
    </w:lvl>
  </w:abstractNum>
  <w:abstractNum w:abstractNumId="118">
    <w:nsid w:val="397C46BC"/>
    <w:multiLevelType w:val="hybridMultilevel"/>
    <w:lvl w:ilvl="0">
      <w:lvlJc w:val="left"/>
      <w:lvlText w:val="(%1)"/>
      <w:numFmt w:val="lowerLetter"/>
      <w:start w:val="2"/>
    </w:lvl>
    <w:lvl w:ilvl="1">
      <w:lvlJc w:val="left"/>
      <w:lvlText w:val="(%2)"/>
      <w:numFmt w:val="lowerLetter"/>
      <w:start w:val="9"/>
    </w:lvl>
  </w:abstractNum>
  <w:abstractNum w:abstractNumId="119">
    <w:nsid w:val="7E448DE9"/>
    <w:multiLevelType w:val="hybridMultilevel"/>
    <w:lvl w:ilvl="0">
      <w:lvlJc w:val="left"/>
      <w:lvlText w:val="(%1)"/>
      <w:numFmt w:val="lowerRoman"/>
      <w:start w:val="2"/>
    </w:lvl>
  </w:abstractNum>
  <w:abstractNum w:abstractNumId="120">
    <w:nsid w:val="5A9CC3E5"/>
    <w:multiLevelType w:val="hybridMultilevel"/>
    <w:lvl w:ilvl="0">
      <w:lvlJc w:val="left"/>
      <w:lvlText w:val="(%1)"/>
      <w:numFmt w:val="lowerLetter"/>
      <w:start w:val="1"/>
    </w:lvl>
  </w:abstractNum>
  <w:abstractNum w:abstractNumId="121">
    <w:nsid w:val="1AFE3625"/>
    <w:multiLevelType w:val="hybridMultilevel"/>
    <w:lvl w:ilvl="0">
      <w:lvlJc w:val="left"/>
      <w:lvlText w:val="(%1)"/>
      <w:numFmt w:val="lowerLetter"/>
      <w:start w:val="1"/>
    </w:lvl>
    <w:lvl w:ilvl="1">
      <w:lvlJc w:val="left"/>
      <w:lvlText w:val="(%2)"/>
      <w:numFmt w:val="lowerRoman"/>
      <w:start w:val="1"/>
    </w:lvl>
  </w:abstractNum>
  <w:abstractNum w:abstractNumId="122">
    <w:nsid w:val="3CA88ECF"/>
    <w:multiLevelType w:val="hybridMultilevel"/>
    <w:lvl w:ilvl="0">
      <w:lvlJc w:val="left"/>
      <w:lvlText w:val="(%1)"/>
      <w:numFmt w:val="lowerRoman"/>
      <w:start w:val="1"/>
    </w:lvl>
  </w:abstractNum>
  <w:abstractNum w:abstractNumId="123">
    <w:nsid w:val="6EBE4208"/>
    <w:multiLevelType w:val="hybridMultilevel"/>
    <w:lvl w:ilvl="0">
      <w:lvlJc w:val="left"/>
      <w:lvlText w:val="(%1)"/>
      <w:numFmt w:val="lowerRoman"/>
      <w:start w:val="5"/>
    </w:lvl>
  </w:abstractNum>
  <w:abstractNum w:abstractNumId="124">
    <w:nsid w:val="C058DF5"/>
    <w:multiLevelType w:val="hybridMultilevel"/>
    <w:lvl w:ilvl="0">
      <w:lvlJc w:val="left"/>
      <w:lvlText w:val="(%1)"/>
      <w:numFmt w:val="lowerLetter"/>
      <w:start w:val="1"/>
    </w:lvl>
  </w:abstractNum>
  <w:abstractNum w:abstractNumId="125">
    <w:nsid w:val="CBE5BE9"/>
    <w:multiLevelType w:val="hybridMultilevel"/>
    <w:lvl w:ilvl="0">
      <w:lvlJc w:val="left"/>
      <w:lvlText w:val="(%1)"/>
      <w:numFmt w:val="lowerLetter"/>
      <w:start w:val="1"/>
    </w:lvl>
  </w:abstractNum>
  <w:abstractNum w:abstractNumId="126">
    <w:nsid w:val="3102BBE2"/>
    <w:multiLevelType w:val="hybridMultilevel"/>
    <w:lvl w:ilvl="0">
      <w:lvlJc w:val="left"/>
      <w:lvlText w:val="4"/>
      <w:numFmt w:val="bullet"/>
      <w:start w:val="1"/>
    </w:lvl>
  </w:abstractNum>
  <w:abstractNum w:abstractNumId="127">
    <w:nsid w:val="26A02C5E"/>
    <w:multiLevelType w:val="hybridMultilevel"/>
    <w:lvl w:ilvl="0">
      <w:lvlJc w:val="left"/>
      <w:lvlText w:val="(%1)"/>
      <w:numFmt w:val="lowerLetter"/>
      <w:start w:val="1"/>
    </w:lvl>
  </w:abstractNum>
  <w:abstractNum w:abstractNumId="128">
    <w:nsid w:val="541C8153"/>
    <w:multiLevelType w:val="hybridMultilevel"/>
    <w:lvl w:ilvl="0">
      <w:lvlJc w:val="left"/>
      <w:lvlText w:val="5"/>
      <w:numFmt w:val="bullet"/>
      <w:start w:val="1"/>
    </w:lvl>
  </w:abstractNum>
  <w:abstractNum w:abstractNumId="129">
    <w:nsid w:val="67906F60"/>
    <w:multiLevelType w:val="hybridMultilevel"/>
    <w:lvl w:ilvl="0">
      <w:lvlJc w:val="left"/>
      <w:lvlText w:val="(%1)"/>
      <w:numFmt w:val="lowerLetter"/>
      <w:start w:val="1"/>
    </w:lvl>
    <w:lvl w:ilvl="1">
      <w:lvlJc w:val="left"/>
      <w:lvlText w:val="(%2)"/>
      <w:numFmt w:val="lowerRoman"/>
      <w:start w:val="1"/>
    </w:lvl>
  </w:abstractNum>
  <w:abstractNum w:abstractNumId="130">
    <w:nsid w:val="10DB9DAA"/>
    <w:multiLevelType w:val="hybridMultilevel"/>
    <w:lvl w:ilvl="0">
      <w:lvlJc w:val="left"/>
      <w:lvlText w:val="6"/>
      <w:numFmt w:val="bullet"/>
      <w:start w:val="1"/>
    </w:lvl>
  </w:abstractNum>
  <w:abstractNum w:abstractNumId="131">
    <w:nsid w:val="697D2D2"/>
    <w:multiLevelType w:val="hybridMultilevel"/>
    <w:lvl w:ilvl="0">
      <w:lvlJc w:val="left"/>
      <w:lvlText w:val=")"/>
      <w:numFmt w:val="bullet"/>
      <w:start w:val="1"/>
    </w:lvl>
  </w:abstractNum>
  <w:abstractNum w:abstractNumId="132">
    <w:nsid w:val="6D68AB2"/>
    <w:multiLevelType w:val="hybridMultilevel"/>
    <w:lvl w:ilvl="0">
      <w:lvlJc w:val="left"/>
      <w:lvlText w:val="%1."/>
      <w:numFmt w:val="decimal"/>
      <w:start w:val="1"/>
    </w:lvl>
  </w:abstractNum>
  <w:abstractNum w:abstractNumId="133">
    <w:nsid w:val="3A966CD0"/>
    <w:multiLevelType w:val="hybridMultilevel"/>
    <w:lvl w:ilvl="0">
      <w:lvlJc w:val="left"/>
      <w:lvlText w:val="%1."/>
      <w:numFmt w:val="upperLetter"/>
      <w:start w:val="1"/>
    </w:lvl>
  </w:abstractNum>
  <w:abstractNum w:abstractNumId="134">
    <w:nsid w:val="63F37E85"/>
    <w:multiLevelType w:val="hybridMultilevel"/>
    <w:lvl w:ilvl="0">
      <w:lvlJc w:val="left"/>
      <w:lvlText w:val="%1."/>
      <w:numFmt w:val="decimal"/>
      <w:start w:val="1"/>
    </w:lvl>
    <w:lvl w:ilvl="1">
      <w:lvlJc w:val="left"/>
      <w:lvlText w:val="(%2)"/>
      <w:numFmt w:val="lowerLetter"/>
      <w:start w:val="1"/>
    </w:lvl>
  </w:abstractNum>
  <w:abstractNum w:abstractNumId="135">
    <w:nsid w:val="5895F5FA"/>
    <w:multiLevelType w:val="hybridMultilevel"/>
    <w:lvl w:ilvl="0">
      <w:lvlJc w:val="left"/>
      <w:lvlText w:val="(%1)"/>
      <w:numFmt w:val="lowerLetter"/>
      <w:start w:val="1"/>
    </w:lvl>
  </w:abstractNum>
  <w:abstractNum w:abstractNumId="136">
    <w:nsid w:val="38A5D054"/>
    <w:multiLevelType w:val="hybridMultilevel"/>
    <w:lvl w:ilvl="0">
      <w:lvlJc w:val="left"/>
      <w:lvlText w:val="(%1)"/>
      <w:numFmt w:val="lowerLetter"/>
      <w:start w:val="1"/>
    </w:lvl>
  </w:abstractNum>
  <w:abstractNum w:abstractNumId="137">
    <w:nsid w:val="F3F09D8"/>
    <w:multiLevelType w:val="hybridMultilevel"/>
    <w:lvl w:ilvl="0">
      <w:lvlJc w:val="left"/>
      <w:lvlText w:val="(%1)"/>
      <w:numFmt w:val="lowerLetter"/>
      <w:start w:val="1"/>
    </w:lvl>
  </w:abstractNum>
  <w:abstractNum w:abstractNumId="138">
    <w:nsid w:val="4B793735"/>
    <w:multiLevelType w:val="hybridMultilevel"/>
    <w:lvl w:ilvl="0">
      <w:lvlJc w:val="left"/>
      <w:lvlText w:val="(%1)"/>
      <w:numFmt w:val="lowerLetter"/>
      <w:start w:val="1"/>
    </w:lvl>
  </w:abstractNum>
  <w:abstractNum w:abstractNumId="139">
    <w:nsid w:val="4A10B4E8"/>
    <w:multiLevelType w:val="hybridMultilevel"/>
    <w:lvl w:ilvl="0">
      <w:lvlJc w:val="left"/>
      <w:lvlText w:val="%1)"/>
      <w:numFmt w:val="upperLetter"/>
      <w:start w:val="21"/>
    </w:lvl>
  </w:abstractNum>
  <w:abstractNum w:abstractNumId="140">
    <w:nsid w:val="43D3BCD4"/>
    <w:multiLevelType w:val="hybridMultilevel"/>
    <w:lvl w:ilvl="0">
      <w:lvlJc w:val="left"/>
      <w:lvlText w:val="(%1)"/>
      <w:numFmt w:val="lowerLetter"/>
      <w:start w:val="11"/>
    </w:lvl>
  </w:abstractNum>
  <w:abstractNum w:abstractNumId="141">
    <w:nsid w:val="4C2A7166"/>
    <w:multiLevelType w:val="hybridMultilevel"/>
    <w:lvl w:ilvl="0">
      <w:lvlJc w:val="left"/>
      <w:lvlText w:val="(%1)"/>
      <w:numFmt w:val="upperLetter"/>
      <w:start w:val="9"/>
    </w:lvl>
  </w:abstractNum>
  <w:abstractNum w:abstractNumId="142">
    <w:nsid w:val="2E534A82"/>
    <w:multiLevelType w:val="hybridMultilevel"/>
    <w:lvl w:ilvl="0">
      <w:lvlJc w:val="left"/>
      <w:lvlText w:val="(%1)"/>
      <w:numFmt w:val="lowerLetter"/>
      <w:start w:val="13"/>
    </w:lvl>
  </w:abstractNum>
  <w:abstractNum w:abstractNumId="143">
    <w:nsid w:val="26F2D364"/>
    <w:multiLevelType w:val="hybridMultilevel"/>
    <w:lvl w:ilvl="0">
      <w:lvlJc w:val="left"/>
      <w:lvlText w:val="%1."/>
      <w:numFmt w:val="decimal"/>
      <w:start w:val="2"/>
    </w:lvl>
  </w:abstractNum>
  <w:abstractNum w:abstractNumId="144">
    <w:nsid w:val="71C1AF98"/>
    <w:multiLevelType w:val="hybridMultilevel"/>
    <w:lvl w:ilvl="0">
      <w:lvlJc w:val="left"/>
      <w:lvlText w:val="(%1)"/>
      <w:numFmt w:val="lowerLetter"/>
      <w:start w:val="1"/>
    </w:lvl>
  </w:abstractNum>
  <w:abstractNum w:abstractNumId="145">
    <w:nsid w:val="3D00B9D9"/>
    <w:multiLevelType w:val="hybridMultilevel"/>
    <w:lvl w:ilvl="0">
      <w:lvlJc w:val="left"/>
      <w:lvlText w:val="%1."/>
      <w:numFmt w:val="decimal"/>
      <w:start w:val="3"/>
    </w:lvl>
  </w:abstractNum>
  <w:abstractNum w:abstractNumId="146">
    <w:nsid w:val="15BCABA8"/>
    <w:multiLevelType w:val="hybridMultilevel"/>
    <w:lvl w:ilvl="0">
      <w:lvlJc w:val="left"/>
      <w:lvlText w:val="%1."/>
      <w:numFmt w:val="decimal"/>
      <w:start w:val="4"/>
    </w:lvl>
    <w:lvl w:ilvl="1">
      <w:lvlJc w:val="left"/>
      <w:lvlText w:val="(%2)"/>
      <w:numFmt w:val="lowerLetter"/>
      <w:start w:val="1"/>
    </w:lvl>
  </w:abstractNum>
  <w:abstractNum w:abstractNumId="147">
    <w:nsid w:val="4E0B9A87"/>
    <w:multiLevelType w:val="hybridMultilevel"/>
    <w:lvl w:ilvl="0">
      <w:lvlJc w:val="left"/>
      <w:lvlText w:val="(%1)"/>
      <w:numFmt w:val="lowerLetter"/>
      <w:start w:val="1"/>
    </w:lvl>
  </w:abstractNum>
  <w:abstractNum w:abstractNumId="148">
    <w:nsid w:val="434BAE75"/>
    <w:multiLevelType w:val="hybridMultilevel"/>
    <w:lvl w:ilvl="0">
      <w:lvlJc w:val="left"/>
      <w:lvlText w:val="%1"/>
      <w:numFmt w:val="decimal"/>
      <w:start w:val="1"/>
    </w:lvl>
    <w:lvl w:ilvl="1">
      <w:lvlJc w:val="left"/>
      <w:lvlText w:val="(%2)"/>
      <w:numFmt w:val="lowerLetter"/>
      <w:start w:val="1"/>
    </w:lvl>
  </w:abstractNum>
  <w:abstractNum w:abstractNumId="149">
    <w:nsid w:val="4F38F265"/>
    <w:multiLevelType w:val="hybridMultilevel"/>
    <w:lvl w:ilvl="0">
      <w:lvlJc w:val="left"/>
      <w:lvlText w:val="%1."/>
      <w:numFmt w:val="decimal"/>
      <w:start w:val="5"/>
    </w:lvl>
    <w:lvl w:ilvl="1">
      <w:lvlJc w:val="left"/>
      <w:lvlText w:val="%2"/>
      <w:numFmt w:val="lowerLetter"/>
      <w:start w:val="1"/>
    </w:lvl>
  </w:abstractNum>
  <w:abstractNum w:abstractNumId="150">
    <w:nsid w:val="4C5028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1">
    <w:nsid w:val="1DE872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2">
    <w:nsid w:val="6A37288A"/>
    <w:multiLevelType w:val="hybridMultilevel"/>
    <w:lvl w:ilvl="0">
      <w:lvlJc w:val="left"/>
      <w:lvlText w:val="(%1)"/>
      <w:numFmt w:val="lowerRoman"/>
      <w:start w:val="2"/>
    </w:lvl>
  </w:abstractNum>
  <w:abstractNum w:abstractNumId="153">
    <w:nsid w:val="8F8B73F"/>
    <w:multiLevelType w:val="hybridMultilevel"/>
    <w:lvl w:ilvl="0">
      <w:lvlJc w:val="left"/>
      <w:lvlText w:val="(%1)"/>
      <w:numFmt w:val="lowerLetter"/>
      <w:start w:val="4"/>
    </w:lvl>
    <w:lvl w:ilvl="1">
      <w:lvlJc w:val="left"/>
      <w:lvlText w:val="(%2)"/>
      <w:numFmt w:val="lowerRoman"/>
      <w:start w:val="1"/>
    </w:lvl>
  </w:abstractNum>
  <w:abstractNum w:abstractNumId="154">
    <w:nsid w:val="CA6B462"/>
    <w:multiLevelType w:val="hybridMultilevel"/>
    <w:lvl w:ilvl="0">
      <w:lvlJc w:val="left"/>
      <w:lvlText w:val="%1."/>
      <w:numFmt w:val="decimal"/>
      <w:start w:val="7"/>
    </w:lvl>
  </w:abstractNum>
  <w:abstractNum w:abstractNumId="155">
    <w:nsid w:val="763CB680"/>
    <w:multiLevelType w:val="hybridMultilevel"/>
    <w:lvl w:ilvl="0">
      <w:lvlJc w:val="left"/>
      <w:lvlText w:val="(%1)"/>
      <w:numFmt w:val="lowerLetter"/>
      <w:start w:val="1"/>
    </w:lvl>
    <w:lvl w:ilvl="1">
      <w:lvlJc w:val="left"/>
      <w:lvlText w:val="(%2)"/>
      <w:numFmt w:val="lowerRoman"/>
      <w:start w:val="1"/>
    </w:lvl>
  </w:abstractNum>
  <w:abstractNum w:abstractNumId="156">
    <w:nsid w:val="15B71329"/>
    <w:multiLevelType w:val="hybridMultilevel"/>
    <w:lvl w:ilvl="0">
      <w:lvlJc w:val="left"/>
      <w:lvlText w:val="(%1)"/>
      <w:numFmt w:val="lowerLetter"/>
      <w:start w:val="1"/>
    </w:lvl>
  </w:abstractNum>
  <w:abstractNum w:abstractNumId="157">
    <w:nsid w:val="3DA97044"/>
    <w:multiLevelType w:val="hybridMultilevel"/>
    <w:lvl w:ilvl="0">
      <w:lvlJc w:val="left"/>
      <w:lvlText w:val="(%1)"/>
      <w:numFmt w:val="lowerLetter"/>
      <w:start w:val="2"/>
    </w:lvl>
  </w:abstractNum>
  <w:abstractNum w:abstractNumId="158">
    <w:nsid w:val="1CDCE2DE"/>
    <w:multiLevelType w:val="hybridMultilevel"/>
    <w:lvl w:ilvl="0">
      <w:lvlJc w:val="left"/>
      <w:lvlText w:val="(%1)"/>
      <w:numFmt w:val="lowerLetter"/>
      <w:start w:val="1"/>
    </w:lvl>
  </w:abstractNum>
  <w:abstractNum w:abstractNumId="159">
    <w:nsid w:val="69D3947C"/>
    <w:multiLevelType w:val="hybridMultilevel"/>
    <w:lvl w:ilvl="0">
      <w:lvlJc w:val="left"/>
      <w:lvlText w:val="(%1)"/>
      <w:numFmt w:val="lowerLetter"/>
      <w:start w:val="1"/>
    </w:lvl>
    <w:lvl w:ilvl="1">
      <w:lvlJc w:val="left"/>
      <w:lvlText w:val="(%2)"/>
      <w:numFmt w:val="lowerRoman"/>
      <w:start w:val="1"/>
    </w:lvl>
  </w:abstractNum>
  <w:abstractNum w:abstractNumId="160">
    <w:nsid w:val="2539DFA5"/>
    <w:multiLevelType w:val="hybridMultilevel"/>
    <w:lvl w:ilvl="0">
      <w:lvlJc w:val="left"/>
      <w:lvlText w:val="(%1)"/>
      <w:numFmt w:val="lowerLetter"/>
      <w:start w:val="1"/>
    </w:lvl>
    <w:lvl w:ilvl="1">
      <w:lvlJc w:val="left"/>
      <w:lvlText w:val="(%2)"/>
      <w:numFmt w:val="lowerRoman"/>
      <w:start w:val="1"/>
    </w:lvl>
  </w:abstractNum>
  <w:abstractNum w:abstractNumId="161">
    <w:nsid w:val="2DB88089"/>
    <w:multiLevelType w:val="hybridMultilevel"/>
    <w:lvl w:ilvl="0">
      <w:lvlJc w:val="left"/>
      <w:lvlText w:val="%1."/>
      <w:numFmt w:val="decimal"/>
      <w:start w:val="1"/>
    </w:lvl>
  </w:abstractNum>
  <w:abstractNum w:abstractNumId="162">
    <w:nsid w:val="706B674E"/>
    <w:multiLevelType w:val="hybridMultilevel"/>
    <w:lvl w:ilvl="0">
      <w:lvlJc w:val="left"/>
      <w:lvlText w:val="%1"/>
      <w:numFmt w:val="decimal"/>
      <w:start w:val="1"/>
    </w:lvl>
    <w:lvl w:ilvl="1">
      <w:lvlJc w:val="left"/>
      <w:lvlText w:val="(%2)"/>
      <w:numFmt w:val="lowerLetter"/>
      <w:start w:val="1"/>
    </w:lvl>
  </w:abstractNum>
  <w:abstractNum w:abstractNumId="163">
    <w:nsid w:val="2C106A57"/>
    <w:multiLevelType w:val="hybridMultilevel"/>
    <w:lvl w:ilvl="0">
      <w:lvlJc w:val="left"/>
      <w:lvlText w:val="%1."/>
      <w:numFmt w:val="decimal"/>
      <w:start w:val="3"/>
    </w:lvl>
    <w:lvl w:ilvl="1">
      <w:lvlJc w:val="left"/>
      <w:lvlText w:val="(%2)"/>
      <w:numFmt w:val="lowerLetter"/>
      <w:start w:val="1"/>
    </w:lvl>
  </w:abstractNum>
  <w:abstractNum w:abstractNumId="164">
    <w:nsid w:val="684EED59"/>
    <w:multiLevelType w:val="hybridMultilevel"/>
    <w:lvl w:ilvl="0">
      <w:lvlJc w:val="left"/>
      <w:lvlText w:val="%1."/>
      <w:numFmt w:val="decimal"/>
      <w:start w:val="8"/>
    </w:lvl>
  </w:abstractNum>
  <w:abstractNum w:abstractNumId="165">
    <w:nsid w:val="545EE5D3"/>
    <w:multiLevelType w:val="hybridMultilevel"/>
    <w:lvl w:ilvl="0">
      <w:lvlJc w:val="left"/>
      <w:lvlText w:val="%1."/>
      <w:numFmt w:val="decimal"/>
      <w:start w:val="1"/>
    </w:lvl>
    <w:lvl w:ilvl="1">
      <w:lvlJc w:val="left"/>
      <w:lvlText w:val="%2."/>
      <w:numFmt w:val="decimal"/>
      <w:start w:val="1"/>
    </w:lvl>
  </w:abstractNum>
  <w:abstractNum w:abstractNumId="166">
    <w:nsid w:val="4A66051"/>
    <w:multiLevelType w:val="hybridMultilevel"/>
    <w:lvl w:ilvl="0">
      <w:lvlJc w:val="left"/>
      <w:lvlText w:val="%1."/>
      <w:numFmt w:val="decimal"/>
      <w:start w:val="2"/>
    </w:lvl>
  </w:abstractNum>
  <w:abstractNum w:abstractNumId="167">
    <w:nsid w:val="20F4BDAD"/>
    <w:multiLevelType w:val="hybridMultilevel"/>
    <w:lvl w:ilvl="0">
      <w:lvlJc w:val="left"/>
      <w:lvlText w:val="(%1)"/>
      <w:numFmt w:val="lowerLetter"/>
      <w:start w:val="1"/>
    </w:lvl>
  </w:abstractNum>
  <w:abstractNum w:abstractNumId="168">
    <w:nsid w:val="639DEFAC"/>
    <w:multiLevelType w:val="hybridMultilevel"/>
    <w:lvl w:ilvl="0">
      <w:lvlJc w:val="left"/>
      <w:lvlText w:val="•"/>
      <w:numFmt w:val="bullet"/>
      <w:start w:val="1"/>
    </w:lvl>
    <w:lvl w:ilvl="1">
      <w:lvlJc w:val="left"/>
      <w:lvlText w:val="•"/>
      <w:numFmt w:val="bullet"/>
      <w:start w:val="1"/>
    </w:lvl>
  </w:abstractNum>
  <w:abstractNum w:abstractNumId="169">
    <w:nsid w:val="501F9786"/>
    <w:multiLevelType w:val="hybridMultilevel"/>
    <w:lvl w:ilvl="0">
      <w:lvlJc w:val="left"/>
      <w:lvlText w:val="%1."/>
      <w:numFmt w:val="decimal"/>
      <w:start w:val="3"/>
    </w:lvl>
  </w:abstractNum>
  <w:abstractNum w:abstractNumId="170">
    <w:nsid w:val="6B057295"/>
    <w:multiLevelType w:val="hybridMultilevel"/>
    <w:lvl w:ilvl="0">
      <w:lvlJc w:val="left"/>
      <w:lvlText w:val="%1"/>
      <w:numFmt w:val="lowerLetter"/>
      <w:start w:val="1"/>
    </w:lvl>
    <w:lvl w:ilvl="1">
      <w:lvlJc w:val="left"/>
      <w:lvlText w:val="(%2)"/>
      <w:numFmt w:val="lowerLetter"/>
      <w:start w:val="1"/>
    </w:lvl>
  </w:abstractNum>
  <w:abstractNum w:abstractNumId="171">
    <w:nsid w:val="2771AC80"/>
    <w:multiLevelType w:val="hybridMultilevel"/>
    <w:lvl w:ilvl="0">
      <w:lvlJc w:val="left"/>
      <w:lvlText w:val="(%1)"/>
      <w:numFmt w:val="lowerLetter"/>
      <w:start w:val="35"/>
    </w:lvl>
    <w:lvl w:ilvl="1">
      <w:lvlJc w:val="left"/>
      <w:lvlText w:val="%2"/>
      <w:numFmt w:val="lowerLetter"/>
      <w:start w:val="1"/>
    </w:lvl>
  </w:abstractNum>
  <w:abstractNum w:abstractNumId="172">
    <w:nsid w:val="1C4A08EC"/>
    <w:multiLevelType w:val="hybridMultilevel"/>
    <w:lvl w:ilvl="0">
      <w:lvlJc w:val="left"/>
      <w:lvlText w:val="%1"/>
      <w:numFmt w:val="lowerLetter"/>
      <w:start w:val="1"/>
    </w:lvl>
    <w:lvl w:ilvl="1">
      <w:lvlJc w:val="left"/>
      <w:lvlText w:val="(%2)"/>
      <w:numFmt w:val="lowerLetter"/>
      <w:start w:val="2"/>
    </w:lvl>
  </w:abstractNum>
  <w:abstractNum w:abstractNumId="173">
    <w:nsid w:val="1958BD17"/>
    <w:multiLevelType w:val="hybridMultilevel"/>
    <w:lvl w:ilvl="0">
      <w:lvlJc w:val="left"/>
      <w:lvlText w:val="(%1)"/>
      <w:numFmt w:val="lowerLetter"/>
      <w:start w:val="61"/>
    </w:lvl>
    <w:lvl w:ilvl="1">
      <w:lvlJc w:val="left"/>
      <w:lvlText w:val="%2"/>
      <w:numFmt w:val="lowerLetter"/>
      <w:start w:val="1"/>
    </w:lvl>
  </w:abstractNum>
  <w:abstractNum w:abstractNumId="174">
    <w:nsid w:val="4E647FE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5">
    <w:nsid w:val="E0BB885"/>
    <w:multiLevelType w:val="hybridMultilevel"/>
    <w:lvl w:ilvl="0">
      <w:lvlJc w:val="left"/>
      <w:lvlText w:val="%1"/>
      <w:numFmt w:val="lowerLetter"/>
      <w:start w:val="1"/>
    </w:lvl>
    <w:lvl w:ilvl="1">
      <w:lvlJc w:val="left"/>
      <w:lvlText w:val="(%2)"/>
      <w:numFmt w:val="lowerRoman"/>
      <w:start w:val="2"/>
    </w:lvl>
  </w:abstractNum>
  <w:abstractNum w:abstractNumId="176">
    <w:nsid w:val="565976F1"/>
    <w:multiLevelType w:val="hybridMultilevel"/>
    <w:lvl w:ilvl="0">
      <w:lvlJc w:val="left"/>
      <w:lvlText w:val="(%1)"/>
      <w:numFmt w:val="lowerLetter"/>
      <w:start w:val="3"/>
    </w:lvl>
    <w:lvl w:ilvl="1">
      <w:lvlJc w:val="left"/>
      <w:lvlText w:val="%2"/>
      <w:numFmt w:val="lowerRoman"/>
      <w:start w:val="1"/>
    </w:lvl>
  </w:abstractNum>
  <w:abstractNum w:abstractNumId="177">
    <w:nsid w:val="64212B8C"/>
    <w:multiLevelType w:val="hybridMultilevel"/>
    <w:lvl w:ilvl="0">
      <w:lvlJc w:val="left"/>
      <w:lvlText w:val="%1."/>
      <w:numFmt w:val="decimal"/>
      <w:start w:val="4"/>
    </w:lvl>
  </w:abstractNum>
  <w:abstractNum w:abstractNumId="178">
    <w:nsid w:val="5C17530C"/>
    <w:multiLevelType w:val="hybridMultilevel"/>
    <w:lvl w:ilvl="0">
      <w:lvlJc w:val="left"/>
      <w:lvlText w:val="(%1)"/>
      <w:numFmt w:val="decimal"/>
      <w:start w:val="2"/>
    </w:lvl>
  </w:abstractNum>
  <w:abstractNum w:abstractNumId="179">
    <w:nsid w:val="19A52566"/>
    <w:multiLevelType w:val="hybridMultilevel"/>
    <w:lvl w:ilvl="0">
      <w:lvlJc w:val="left"/>
      <w:lvlText w:val="(%1)"/>
      <w:numFmt w:val="decimal"/>
      <w:start w:val="2"/>
    </w:lvl>
  </w:abstractNum>
  <w:abstractNum w:abstractNumId="180">
    <w:nsid w:val="335A1DF1"/>
    <w:multiLevelType w:val="hybridMultilevel"/>
    <w:lvl w:ilvl="0">
      <w:lvlJc w:val="left"/>
      <w:lvlText w:val="%1."/>
      <w:numFmt w:val="decimal"/>
      <w:start w:val="5"/>
    </w:lvl>
  </w:abstractNum>
  <w:abstractNum w:abstractNumId="181">
    <w:nsid w:val="28677B7C"/>
    <w:multiLevelType w:val="hybridMultilevel"/>
    <w:lvl w:ilvl="0">
      <w:lvlJc w:val="left"/>
      <w:lvlText w:val="%1."/>
      <w:numFmt w:val="decimal"/>
      <w:start w:val="6"/>
    </w:lvl>
  </w:abstractNum>
  <w:abstractNum w:abstractNumId="182">
    <w:nsid w:val="378D97C0"/>
    <w:multiLevelType w:val="hybridMultilevel"/>
    <w:lvl w:ilvl="0">
      <w:lvlJc w:val="left"/>
      <w:lvlText w:val="%1."/>
      <w:numFmt w:val="decimal"/>
      <w:start w:val="7"/>
    </w:lvl>
  </w:abstractNum>
  <w:abstractNum w:abstractNumId="183">
    <w:nsid w:val="1D91467C"/>
    <w:multiLevelType w:val="hybridMultilevel"/>
    <w:lvl w:ilvl="0">
      <w:lvlJc w:val="left"/>
      <w:lvlText w:val="%1."/>
      <w:numFmt w:val="upperLetter"/>
      <w:start w:val="53"/>
    </w:lvl>
  </w:abstractNum>
  <w:abstractNum w:abstractNumId="184">
    <w:nsid w:val="316032BB"/>
    <w:multiLevelType w:val="hybridMultilevel"/>
    <w:lvl w:ilvl="0">
      <w:lvlJc w:val="left"/>
      <w:lvlText w:val="%1."/>
      <w:numFmt w:val="decimal"/>
      <w:start w:val="8"/>
    </w:lvl>
  </w:abstractNum>
  <w:abstractNum w:abstractNumId="185">
    <w:nsid w:val="44344C22"/>
    <w:multiLevelType w:val="hybridMultilevel"/>
    <w:lvl w:ilvl="0">
      <w:lvlJc w:val="left"/>
      <w:lvlText w:val="%1."/>
      <w:numFmt w:val="decimal"/>
      <w:start w:val="9"/>
    </w:lvl>
  </w:abstractNum>
  <w:abstractNum w:abstractNumId="186">
    <w:nsid w:val="13CDFCFC"/>
    <w:multiLevelType w:val="hybridMultilevel"/>
    <w:lvl w:ilvl="0">
      <w:lvlJc w:val="left"/>
      <w:lvlText w:val="%1."/>
      <w:numFmt w:val="decimal"/>
      <w:start w:val="1"/>
    </w:lvl>
  </w:abstractNum>
  <w:abstractNum w:abstractNumId="187">
    <w:nsid w:val="471745E4"/>
    <w:multiLevelType w:val="hybridMultilevel"/>
    <w:lvl w:ilvl="0">
      <w:lvlJc w:val="left"/>
      <w:lvlText w:val="%1."/>
      <w:numFmt w:val="decimal"/>
      <w:start w:val="2"/>
    </w:lvl>
  </w:abstractNum>
  <w:abstractNum w:abstractNumId="188">
    <w:nsid w:val="1DDBC66"/>
    <w:multiLevelType w:val="hybridMultilevel"/>
    <w:lvl w:ilvl="0">
      <w:lvlJc w:val="left"/>
      <w:lvlText w:val="•"/>
      <w:numFmt w:val="bullet"/>
      <w:start w:val="1"/>
    </w:lvl>
  </w:abstractNum>
  <w:abstractNum w:abstractNumId="189">
    <w:nsid w:val="30AADFDA"/>
    <w:multiLevelType w:val="hybridMultilevel"/>
    <w:lvl w:ilvl="0">
      <w:lvlJc w:val="left"/>
      <w:lvlText w:val="%1."/>
      <w:numFmt w:val="decimal"/>
      <w:start w:val="3"/>
    </w:lvl>
  </w:abstractNum>
  <w:abstractNum w:abstractNumId="190">
    <w:nsid w:val="30EADA61"/>
    <w:multiLevelType w:val="hybridMultilevel"/>
    <w:lvl w:ilvl="0">
      <w:lvlJc w:val="left"/>
      <w:lvlText w:val="(%1)"/>
      <w:numFmt w:val="lowerRoman"/>
      <w:start w:val="1"/>
    </w:lvl>
  </w:abstractNum>
  <w:abstractNum w:abstractNumId="191">
    <w:nsid w:val="27179C0B"/>
    <w:multiLevelType w:val="hybridMultilevel"/>
    <w:lvl w:ilvl="0">
      <w:lvlJc w:val="left"/>
      <w:lvlText w:val="(%1)"/>
      <w:numFmt w:val="lowerRoman"/>
      <w:start w:val="3"/>
    </w:lvl>
  </w:abstractNum>
  <w:abstractNum w:abstractNumId="192">
    <w:nsid w:val="5E636063"/>
    <w:multiLevelType w:val="hybridMultilevel"/>
    <w:lvl w:ilvl="0">
      <w:lvlJc w:val="left"/>
      <w:lvlText w:val="(%1)"/>
      <w:numFmt w:val="decimal"/>
      <w:start w:val="15"/>
    </w:lvl>
  </w:abstractNum>
  <w:abstractNum w:abstractNumId="193">
    <w:nsid w:val="215641AF"/>
    <w:multiLevelType w:val="hybridMultilevel"/>
    <w:lvl w:ilvl="0">
      <w:lvlJc w:val="left"/>
      <w:lvlText w:val="%1."/>
      <w:numFmt w:val="decimal"/>
      <w:start w:val="4"/>
    </w:lvl>
  </w:abstractNum>
  <w:abstractNum w:abstractNumId="194">
    <w:nsid w:val="53280662"/>
    <w:multiLevelType w:val="hybridMultilevel"/>
    <w:lvl w:ilvl="0">
      <w:lvlJc w:val="left"/>
      <w:lvlText w:val="(%1)"/>
      <w:numFmt w:val="decimal"/>
      <w:start w:val="2"/>
    </w:lvl>
  </w:abstractNum>
  <w:abstractNum w:abstractNumId="195">
    <w:nsid w:val="46B24DBC"/>
    <w:multiLevelType w:val="hybridMultilevel"/>
    <w:lvl w:ilvl="0">
      <w:lvlJc w:val="left"/>
      <w:lvlText w:val="%1"/>
      <w:numFmt w:val="decimal"/>
      <w:start w:val="1"/>
    </w:lvl>
    <w:lvl w:ilvl="1">
      <w:lvlJc w:val="left"/>
      <w:lvlText w:val="(%2)"/>
      <w:numFmt w:val="lowerRoman"/>
      <w:start w:val="5"/>
    </w:lvl>
  </w:abstractNum>
  <w:abstractNum w:abstractNumId="196">
    <w:nsid w:val="75B52783"/>
    <w:multiLevelType w:val="hybridMultilevel"/>
    <w:lvl w:ilvl="0">
      <w:lvlJc w:val="left"/>
      <w:lvlText w:val="%1."/>
      <w:numFmt w:val="decimal"/>
      <w:start w:val="5"/>
    </w:lvl>
    <w:lvl w:ilvl="1">
      <w:lvlJc w:val="left"/>
      <w:lvlText w:val="%2"/>
      <w:numFmt w:val="lowerRoman"/>
      <w:start w:val="1"/>
    </w:lvl>
  </w:abstractNum>
  <w:abstractNum w:abstractNumId="197">
    <w:nsid w:val="57CE66B4"/>
    <w:multiLevelType w:val="hybridMultilevel"/>
    <w:lvl w:ilvl="0">
      <w:lvlJc w:val="left"/>
      <w:lvlText w:val="%1."/>
      <w:numFmt w:val="decimal"/>
      <w:start w:val="6"/>
    </w:lvl>
  </w:abstractNum>
  <w:abstractNum w:abstractNumId="198">
    <w:nsid w:val="67A70B69"/>
    <w:multiLevelType w:val="hybridMultilevel"/>
    <w:lvl w:ilvl="0">
      <w:lvlJc w:val="left"/>
      <w:lvlText w:val="%1."/>
      <w:numFmt w:val="decimal"/>
      <w:start w:val="7"/>
    </w:lvl>
  </w:abstractNum>
  <w:abstractNum w:abstractNumId="199">
    <w:nsid w:val="5953172F"/>
    <w:multiLevelType w:val="hybridMultilevel"/>
    <w:lvl w:ilvl="0">
      <w:lvlJc w:val="left"/>
      <w:lvlText w:val="%1"/>
      <w:numFmt w:val="upperLetter"/>
      <w:start w:val="53"/>
    </w:lvl>
  </w:abstractNum>
  <w:abstractNum w:abstractNumId="200">
    <w:nsid w:val="27EDFE3A"/>
    <w:multiLevelType w:val="hybridMultilevel"/>
    <w:lvl w:ilvl="0">
      <w:lvlJc w:val="left"/>
      <w:lvlText w:val="%1."/>
      <w:numFmt w:val="decimal"/>
      <w:start w:val="8"/>
    </w:lvl>
  </w:abstractNum>
  <w:abstractNum w:abstractNumId="201">
    <w:nsid w:val="52AC7DFF"/>
    <w:multiLevelType w:val="hybridMultilevel"/>
    <w:lvl w:ilvl="0">
      <w:lvlJc w:val="left"/>
      <w:lvlText w:val="%1."/>
      <w:numFmt w:val="decimal"/>
      <w:start w:val="9"/>
    </w:lvl>
  </w:abstractNum>
  <w:abstractNum w:abstractNumId="202">
    <w:nsid w:val="C4C3AF"/>
    <w:multiLevelType w:val="hybridMultilevel"/>
    <w:lvl w:ilvl="0">
      <w:lvlJc w:val="left"/>
      <w:lvlText w:val="%1."/>
      <w:numFmt w:val="decimal"/>
      <w:start w:val="10"/>
    </w:lvl>
  </w:abstractNum>
  <w:abstractNum w:abstractNumId="203">
    <w:nsid w:val="44380727"/>
    <w:multiLevelType w:val="hybridMultilevel"/>
    <w:lvl w:ilvl="0">
      <w:lvlJc w:val="left"/>
      <w:lvlText w:val="%1."/>
      <w:numFmt w:val="decimal"/>
      <w:start w:val="1"/>
    </w:lvl>
  </w:abstractNum>
  <w:abstractNum w:abstractNumId="204">
    <w:nsid w:val="6C053B16"/>
    <w:multiLevelType w:val="hybridMultilevel"/>
    <w:lvl w:ilvl="0">
      <w:lvlJc w:val="left"/>
      <w:lvlText w:val="•"/>
      <w:numFmt w:val="bullet"/>
      <w:start w:val="1"/>
    </w:lvl>
  </w:abstractNum>
  <w:abstractNum w:abstractNumId="205">
    <w:nsid w:val="4F294393"/>
    <w:multiLevelType w:val="hybridMultilevel"/>
    <w:lvl w:ilvl="0">
      <w:lvlJc w:val="left"/>
      <w:lvlText w:val="•"/>
      <w:numFmt w:val="bullet"/>
      <w:start w:val="1"/>
    </w:lvl>
    <w:lvl w:ilvl="1">
      <w:lvlJc w:val="left"/>
      <w:lvlText w:val="•"/>
      <w:numFmt w:val="bullet"/>
      <w:start w:val="1"/>
    </w:lvl>
  </w:abstractNum>
  <w:abstractNum w:abstractNumId="206">
    <w:nsid w:val="5243BFAC"/>
    <w:multiLevelType w:val="hybridMultilevel"/>
    <w:lvl w:ilvl="0">
      <w:lvlJc w:val="left"/>
      <w:lvlText w:val="%1."/>
      <w:numFmt w:val="decimal"/>
      <w:start w:val="3"/>
    </w:lvl>
  </w:abstractNum>
  <w:abstractNum w:abstractNumId="207">
    <w:nsid w:val="425EB207"/>
    <w:multiLevelType w:val="hybridMultilevel"/>
    <w:lvl w:ilvl="0">
      <w:lvlJc w:val="left"/>
      <w:lvlText w:val="(%1)"/>
      <w:numFmt w:val="lowerLetter"/>
      <w:start w:val="1"/>
    </w:lvl>
  </w:abstractNum>
  <w:abstractNum w:abstractNumId="208">
    <w:nsid w:val="334A6F1F"/>
    <w:multiLevelType w:val="hybridMultilevel"/>
    <w:lvl w:ilvl="0">
      <w:lvlJc w:val="left"/>
      <w:lvlText w:val="(%1)"/>
      <w:numFmt w:val="decimal"/>
      <w:start w:val="30"/>
    </w:lvl>
    <w:lvl w:ilvl="1">
      <w:lvlJc w:val="left"/>
      <w:lvlText w:val="(%2)"/>
      <w:numFmt w:val="lowerLetter"/>
      <w:start w:val="2"/>
    </w:lvl>
  </w:abstractNum>
  <w:abstractNum w:abstractNumId="209">
    <w:nsid w:val="2E5B12B8"/>
    <w:multiLevelType w:val="hybridMultilevel"/>
    <w:lvl w:ilvl="0">
      <w:lvlJc w:val="left"/>
      <w:lvlText w:val="(%1)"/>
      <w:numFmt w:val="lowerRoman"/>
      <w:start w:val="6"/>
    </w:lvl>
    <w:lvl w:ilvl="1">
      <w:lvlJc w:val="left"/>
      <w:lvlText w:val="(%2)"/>
      <w:numFmt w:val="lowerLetter"/>
      <w:start w:val="3"/>
    </w:lvl>
  </w:abstractNum>
  <w:abstractNum w:abstractNumId="210">
    <w:nsid w:val="5C03D76D"/>
    <w:multiLevelType w:val="hybridMultilevel"/>
    <w:lvl w:ilvl="0">
      <w:lvlJc w:val="left"/>
      <w:lvlText w:val="(%1)"/>
      <w:numFmt w:val="lowerLetter"/>
      <w:start w:val="1"/>
    </w:lvl>
    <w:lvl w:ilvl="1">
      <w:lvlJc w:val="left"/>
      <w:lvlText w:val="(%2)"/>
      <w:numFmt w:val="lowerRoman"/>
      <w:start w:val="1"/>
    </w:lvl>
  </w:abstractNum>
  <w:abstractNum w:abstractNumId="211">
    <w:nsid w:val="66A48D11"/>
    <w:multiLevelType w:val="hybridMultilevel"/>
    <w:lvl w:ilvl="0">
      <w:lvlJc w:val="left"/>
      <w:lvlText w:val="(%1)"/>
      <w:numFmt w:val="lowerRoman"/>
      <w:start w:val="2"/>
    </w:lvl>
  </w:abstractNum>
  <w:abstractNum w:abstractNumId="212">
    <w:nsid w:val="56C28E3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213">
    <w:nsid w:val="13916F2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214">
    <w:nsid w:val="435D38D"/>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lvl w:ilvl="3">
      <w:lvlJc w:val="left"/>
      <w:lvlText w:val="%4"/>
      <w:numFmt w:val="lowerRoman"/>
      <w:start w:val="1"/>
    </w:lvl>
  </w:abstractNum>
  <w:abstractNum w:abstractNumId="215">
    <w:nsid w:val="822C0EF"/>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16">
    <w:nsid w:val="57C5BB4F"/>
    <w:multiLevelType w:val="hybridMultilevel"/>
    <w:lvl w:ilvl="0">
      <w:lvlJc w:val="left"/>
      <w:lvlText w:val="%1."/>
      <w:numFmt w:val="decimal"/>
      <w:start w:val="4"/>
    </w:lvl>
  </w:abstractNum>
  <w:abstractNum w:abstractNumId="217">
    <w:nsid w:val="1803D089"/>
    <w:multiLevelType w:val="hybridMultilevel"/>
    <w:lvl w:ilvl="0">
      <w:lvlJc w:val="left"/>
      <w:lvlText w:val="(%1)"/>
      <w:numFmt w:val="lowerRoman"/>
      <w:start w:val="1"/>
    </w:lvl>
  </w:abstractNum>
  <w:abstractNum w:abstractNumId="218">
    <w:nsid w:val="4F3A06D4"/>
    <w:multiLevelType w:val="hybridMultilevel"/>
    <w:lvl w:ilvl="0">
      <w:lvlJc w:val="left"/>
      <w:lvlText w:val="(%1)"/>
      <w:numFmt w:val="lowerRoman"/>
      <w:start w:val="3"/>
    </w:lvl>
  </w:abstractNum>
  <w:abstractNum w:abstractNumId="219">
    <w:nsid w:val="59A377B6"/>
    <w:multiLevelType w:val="hybridMultilevel"/>
    <w:lvl w:ilvl="0">
      <w:lvlJc w:val="left"/>
      <w:lvlText w:val="%1."/>
      <w:numFmt w:val="decimal"/>
      <w:start w:val="5"/>
    </w:lvl>
  </w:abstractNum>
  <w:abstractNum w:abstractNumId="220">
    <w:nsid w:val="48AEB063"/>
    <w:multiLevelType w:val="hybridMultilevel"/>
    <w:lvl w:ilvl="0">
      <w:lvlJc w:val="left"/>
      <w:lvlText w:val="%1."/>
      <w:numFmt w:val="decimal"/>
      <w:start w:val="6"/>
    </w:lvl>
  </w:abstractNum>
  <w:abstractNum w:abstractNumId="221">
    <w:nsid w:val="24E135"/>
    <w:multiLevelType w:val="hybridMultilevel"/>
    <w:lvl w:ilvl="0">
      <w:lvlJc w:val="left"/>
      <w:lvlText w:val="%1."/>
      <w:numFmt w:val="decimal"/>
      <w:start w:val="7"/>
    </w:lvl>
  </w:abstractNum>
  <w:abstractNum w:abstractNumId="222">
    <w:nsid w:val="BB13C1"/>
    <w:multiLevelType w:val="hybridMultilevel"/>
    <w:lvl w:ilvl="0">
      <w:lvlJc w:val="left"/>
      <w:lvlText w:val="%1."/>
      <w:numFmt w:val="decimal"/>
      <w:start w:val="8"/>
    </w:lvl>
  </w:abstractNum>
  <w:abstractNum w:abstractNumId="223">
    <w:nsid w:val="271210C7"/>
    <w:multiLevelType w:val="hybridMultilevel"/>
    <w:lvl w:ilvl="0">
      <w:lvlJc w:val="left"/>
      <w:lvlText w:val="%1."/>
      <w:numFmt w:val="decimal"/>
      <w:start w:val="9"/>
    </w:lvl>
  </w:abstractNum>
  <w:abstractNum w:abstractNumId="224">
    <w:nsid w:val="217B22E4"/>
    <w:multiLevelType w:val="hybridMultilevel"/>
    <w:lvl w:ilvl="0">
      <w:lvlJc w:val="left"/>
      <w:lvlText w:val="%1."/>
      <w:numFmt w:val="decimal"/>
      <w:start w:val="10"/>
    </w:lvl>
  </w:abstractNum>
  <w:abstractNum w:abstractNumId="225">
    <w:nsid w:val="53E31A24"/>
    <w:multiLevelType w:val="hybridMultilevel"/>
    <w:lvl w:ilvl="0">
      <w:lvlJc w:val="left"/>
      <w:lvlText w:val="(%1)"/>
      <w:numFmt w:val="lowerLetter"/>
      <w:start w:val="1"/>
    </w:lvl>
  </w:abstractNum>
  <w:abstractNum w:abstractNumId="226">
    <w:nsid w:val="6DC45E83"/>
    <w:multiLevelType w:val="hybridMultilevel"/>
    <w:lvl w:ilvl="0">
      <w:lvlJc w:val="left"/>
      <w:lvlText w:val="%1."/>
      <w:numFmt w:val="decimal"/>
      <w:start w:val="1"/>
    </w:lvl>
  </w:abstractNum>
  <w:abstractNum w:abstractNumId="227">
    <w:nsid w:val="17304A67"/>
    <w:multiLevelType w:val="hybridMultilevel"/>
    <w:lvl w:ilvl="0">
      <w:lvlJc w:val="left"/>
      <w:lvlText w:val="%1."/>
      <w:numFmt w:val="decimal"/>
      <w:start w:val="2"/>
    </w:lvl>
  </w:abstractNum>
  <w:abstractNum w:abstractNumId="228">
    <w:nsid w:val="2BB180D8"/>
    <w:multiLevelType w:val="hybridMultilevel"/>
    <w:lvl w:ilvl="0">
      <w:lvlJc w:val="left"/>
      <w:lvlText w:val="•"/>
      <w:numFmt w:val="bullet"/>
      <w:start w:val="1"/>
    </w:lvl>
    <w:lvl w:ilvl="1">
      <w:lvlJc w:val="left"/>
      <w:lvlText w:val="▪"/>
      <w:numFmt w:val="bullet"/>
      <w:start w:val="1"/>
    </w:lvl>
  </w:abstractNum>
  <w:abstractNum w:abstractNumId="229">
    <w:nsid w:val="556B69ED"/>
    <w:multiLevelType w:val="hybridMultilevel"/>
    <w:lvl w:ilvl="0">
      <w:lvlJc w:val="left"/>
      <w:lvlText w:val="%1."/>
      <w:numFmt w:val="decimal"/>
      <w:start w:val="3"/>
    </w:lvl>
  </w:abstractNum>
  <w:abstractNum w:abstractNumId="230">
    <w:nsid w:val="70836196"/>
    <w:multiLevelType w:val="hybridMultilevel"/>
    <w:lvl w:ilvl="0">
      <w:lvlJc w:val="left"/>
      <w:lvlText w:val="(%1)"/>
      <w:numFmt w:val="lowerRoman"/>
      <w:start w:val="4"/>
    </w:lvl>
  </w:abstractNum>
  <w:abstractNum w:abstractNumId="231">
    <w:nsid w:val="539F7F12"/>
    <w:multiLevelType w:val="hybridMultilevel"/>
    <w:lvl w:ilvl="0">
      <w:lvlJc w:val="left"/>
      <w:lvlText w:val="(%1)"/>
      <w:numFmt w:val="lowerRoman"/>
      <w:start w:val="1"/>
    </w:lvl>
  </w:abstractNum>
  <w:abstractNum w:abstractNumId="232">
    <w:nsid w:val="2817E7EC"/>
    <w:multiLevelType w:val="hybridMultilevel"/>
    <w:lvl w:ilvl="0">
      <w:lvlJc w:val="left"/>
      <w:lvlText w:val="(%1)"/>
      <w:numFmt w:val="lowerRoman"/>
      <w:start w:val="4"/>
    </w:lvl>
  </w:abstractNum>
  <w:abstractNum w:abstractNumId="233">
    <w:nsid w:val="71482545"/>
    <w:multiLevelType w:val="hybridMultilevel"/>
    <w:lvl w:ilvl="0">
      <w:lvlJc w:val="left"/>
      <w:lvlText w:val="(%1)"/>
      <w:numFmt w:val="decimal"/>
      <w:start w:val="15"/>
    </w:lvl>
  </w:abstractNum>
  <w:abstractNum w:abstractNumId="234">
    <w:nsid w:val="17D78639"/>
    <w:multiLevelType w:val="hybridMultilevel"/>
    <w:lvl w:ilvl="0">
      <w:lvlJc w:val="left"/>
      <w:lvlText w:val="%1."/>
      <w:numFmt w:val="decimal"/>
      <w:start w:val="4"/>
    </w:lvl>
  </w:abstractNum>
  <w:abstractNum w:abstractNumId="235">
    <w:nsid w:val="141D2302"/>
    <w:multiLevelType w:val="hybridMultilevel"/>
    <w:lvl w:ilvl="0">
      <w:lvlJc w:val="left"/>
      <w:lvlText w:val="(%1)"/>
      <w:numFmt w:val="decimal"/>
      <w:start w:val="6"/>
    </w:lvl>
  </w:abstractNum>
  <w:abstractNum w:abstractNumId="236">
    <w:nsid w:val="407168D8"/>
    <w:multiLevelType w:val="hybridMultilevel"/>
    <w:lvl w:ilvl="0">
      <w:lvlJc w:val="left"/>
      <w:lvlText w:val="%1."/>
      <w:numFmt w:val="decimal"/>
      <w:start w:val="5"/>
    </w:lvl>
  </w:abstractNum>
  <w:abstractNum w:abstractNumId="237">
    <w:nsid w:val="6A1B45E5"/>
    <w:multiLevelType w:val="hybridMultilevel"/>
    <w:lvl w:ilvl="0">
      <w:lvlJc w:val="left"/>
      <w:lvlText w:val="%1."/>
      <w:numFmt w:val="decimal"/>
      <w:start w:val="6"/>
    </w:lvl>
  </w:abstractNum>
  <w:abstractNum w:abstractNumId="238">
    <w:nsid w:val="567BD50A"/>
    <w:multiLevelType w:val="hybridMultilevel"/>
    <w:lvl w:ilvl="0">
      <w:lvlJc w:val="left"/>
      <w:lvlText w:val="%1."/>
      <w:numFmt w:val="decimal"/>
      <w:start w:val="7"/>
    </w:lvl>
  </w:abstractNum>
  <w:abstractNum w:abstractNumId="239">
    <w:nsid w:val="73BBD7F8"/>
    <w:multiLevelType w:val="hybridMultilevel"/>
    <w:lvl w:ilvl="0">
      <w:lvlJc w:val="left"/>
      <w:lvlText w:val="%1."/>
      <w:numFmt w:val="decimal"/>
      <w:start w:val="8"/>
    </w:lvl>
  </w:abstractNum>
  <w:abstractNum w:abstractNumId="240">
    <w:nsid w:val="1876589D"/>
    <w:multiLevelType w:val="hybridMultilevel"/>
    <w:lvl w:ilvl="0">
      <w:lvlJc w:val="left"/>
      <w:lvlText w:val="%1."/>
      <w:numFmt w:val="decimal"/>
      <w:start w:val="9"/>
    </w:lvl>
  </w:abstractNum>
  <w:abstractNum w:abstractNumId="241">
    <w:nsid w:val="327FAC77"/>
    <w:multiLevelType w:val="hybridMultilevel"/>
    <w:lvl w:ilvl="0">
      <w:lvlJc w:val="left"/>
      <w:lvlText w:val="%1."/>
      <w:numFmt w:val="decimal"/>
      <w:start w:val="10"/>
    </w:lvl>
  </w:abstractNum>
  <w:abstractNum w:abstractNumId="242">
    <w:nsid w:val="5A606509"/>
    <w:multiLevelType w:val="hybridMultilevel"/>
    <w:lvl w:ilvl="0">
      <w:lvlJc w:val="left"/>
      <w:lvlText w:val="%1."/>
      <w:numFmt w:val="decimal"/>
      <w:start w:val="1"/>
    </w:lvl>
  </w:abstractNum>
  <w:abstractNum w:abstractNumId="243">
    <w:nsid w:val="6F38E6D1"/>
    <w:multiLevelType w:val="hybridMultilevel"/>
    <w:lvl w:ilvl="0">
      <w:lvlJc w:val="left"/>
      <w:lvlText w:val="%1."/>
      <w:numFmt w:val="decimal"/>
      <w:start w:val="2"/>
    </w:lvl>
  </w:abstractNum>
  <w:abstractNum w:abstractNumId="244">
    <w:nsid w:val="46111BA5"/>
    <w:multiLevelType w:val="hybridMultilevel"/>
    <w:lvl w:ilvl="0">
      <w:lvlJc w:val="left"/>
      <w:lvlText w:val="•"/>
      <w:numFmt w:val="bullet"/>
      <w:start w:val="1"/>
    </w:lvl>
  </w:abstractNum>
  <w:abstractNum w:abstractNumId="245">
    <w:nsid w:val="5E963896"/>
    <w:multiLevelType w:val="hybridMultilevel"/>
    <w:lvl w:ilvl="0">
      <w:lvlJc w:val="left"/>
      <w:lvlText w:val="•"/>
      <w:numFmt w:val="bullet"/>
      <w:start w:val="1"/>
    </w:lvl>
  </w:abstractNum>
  <w:abstractNum w:abstractNumId="246">
    <w:nsid w:val="775BA7C1"/>
    <w:multiLevelType w:val="hybridMultilevel"/>
    <w:lvl w:ilvl="0">
      <w:lvlJc w:val="left"/>
      <w:lvlText w:val="%1."/>
      <w:numFmt w:val="decimal"/>
      <w:start w:val="3"/>
    </w:lvl>
  </w:abstractNum>
  <w:abstractNum w:abstractNumId="247">
    <w:nsid w:val="1DD6D6F4"/>
    <w:multiLevelType w:val="hybridMultilevel"/>
    <w:lvl w:ilvl="0">
      <w:lvlJc w:val="left"/>
      <w:lvlText w:val="(%1)"/>
      <w:numFmt w:val="decimal"/>
      <w:start w:val="30"/>
    </w:lvl>
  </w:abstractNum>
  <w:abstractNum w:abstractNumId="248">
    <w:nsid w:val="769A091F"/>
    <w:multiLevelType w:val="hybridMultilevel"/>
    <w:lvl w:ilvl="0">
      <w:lvlJc w:val="left"/>
      <w:lvlText w:val="(%1)"/>
      <w:numFmt w:val="lowerRoman"/>
      <w:start w:val="6"/>
    </w:lvl>
  </w:abstractNum>
  <w:abstractNum w:abstractNumId="249">
    <w:nsid w:val="4695AE95"/>
    <w:multiLevelType w:val="hybridMultilevel"/>
    <w:lvl w:ilvl="0">
      <w:lvlJc w:val="left"/>
      <w:lvlText w:val="(%1)"/>
      <w:numFmt w:val="lowerRoman"/>
      <w:start w:val="1"/>
    </w:lvl>
  </w:abstractNum>
  <w:abstractNum w:abstractNumId="250">
    <w:nsid w:val="777A4EAA"/>
    <w:multiLevelType w:val="hybridMultilevel"/>
    <w:lvl w:ilvl="0">
      <w:lvlJc w:val="left"/>
      <w:lvlText w:val="(%1)"/>
      <w:numFmt w:val="lowerRoman"/>
      <w:start w:val="3"/>
    </w:lvl>
  </w:abstractNum>
  <w:abstractNum w:abstractNumId="251">
    <w:nsid w:val="3F48B982"/>
    <w:multiLevelType w:val="hybridMultilevel"/>
    <w:lvl w:ilvl="0">
      <w:lvlJc w:val="left"/>
      <w:lvlText w:val="(%1)"/>
      <w:numFmt w:val="lowerRoman"/>
      <w:start w:val="5"/>
    </w:lvl>
  </w:abstractNum>
  <w:abstractNum w:abstractNumId="252">
    <w:nsid w:val="46BA8FCA"/>
    <w:multiLevelType w:val="hybridMultilevel"/>
    <w:lvl w:ilvl="0">
      <w:lvlJc w:val="left"/>
      <w:lvlText w:val="%1."/>
      <w:numFmt w:val="decimal"/>
      <w:start w:val="4"/>
    </w:lvl>
  </w:abstractNum>
  <w:abstractNum w:abstractNumId="253">
    <w:nsid w:val="7835626C"/>
    <w:multiLevelType w:val="hybridMultilevel"/>
    <w:lvl w:ilvl="0">
      <w:lvlJc w:val="left"/>
      <w:lvlText w:val="%1."/>
      <w:numFmt w:val="decimal"/>
      <w:start w:val="5"/>
    </w:lvl>
  </w:abstractNum>
  <w:abstractNum w:abstractNumId="254">
    <w:nsid w:val="665ACA49"/>
    <w:multiLevelType w:val="hybridMultilevel"/>
    <w:lvl w:ilvl="0">
      <w:lvlJc w:val="left"/>
      <w:lvlText w:val="%1."/>
      <w:numFmt w:val="decimal"/>
      <w:start w:val="6"/>
    </w:lvl>
  </w:abstractNum>
  <w:abstractNum w:abstractNumId="255">
    <w:nsid w:val="6835B2AE"/>
    <w:multiLevelType w:val="hybridMultilevel"/>
    <w:lvl w:ilvl="0">
      <w:lvlJc w:val="left"/>
      <w:lvlText w:val="%1."/>
      <w:numFmt w:val="decimal"/>
      <w:start w:val="7"/>
    </w:lvl>
  </w:abstractNum>
  <w:abstractNum w:abstractNumId="256">
    <w:nsid w:val="4C187C90"/>
    <w:multiLevelType w:val="hybridMultilevel"/>
    <w:lvl w:ilvl="0">
      <w:lvlJc w:val="left"/>
      <w:lvlText w:val="%1."/>
      <w:numFmt w:val="decimal"/>
      <w:start w:val="8"/>
    </w:lvl>
  </w:abstractNum>
  <w:abstractNum w:abstractNumId="257">
    <w:nsid w:val="541F28CD"/>
    <w:multiLevelType w:val="hybridMultilevel"/>
    <w:lvl w:ilvl="0">
      <w:lvlJc w:val="left"/>
      <w:lvlText w:val="%1."/>
      <w:numFmt w:val="decimal"/>
      <w:start w:val="9"/>
    </w:lvl>
  </w:abstractNum>
  <w:abstractNum w:abstractNumId="258">
    <w:nsid w:val="7F65FD16"/>
    <w:multiLevelType w:val="hybridMultilevel"/>
    <w:lvl w:ilvl="0">
      <w:lvlJc w:val="left"/>
      <w:lvlText w:val="%1."/>
      <w:numFmt w:val="decimal"/>
      <w:start w:val="10"/>
    </w:lvl>
  </w:abstractNum>
  <w:abstractNum w:abstractNumId="259">
    <w:nsid w:val="77C9FD68"/>
    <w:multiLevelType w:val="hybridMultilevel"/>
    <w:lvl w:ilvl="0">
      <w:lvlJc w:val="left"/>
      <w:lvlText w:val="%1."/>
      <w:numFmt w:val="decimal"/>
      <w:start w:val="1"/>
    </w:lvl>
  </w:abstractNum>
  <w:abstractNum w:abstractNumId="260">
    <w:nsid w:val="298A92BA"/>
    <w:multiLevelType w:val="hybridMultilevel"/>
    <w:lvl w:ilvl="0">
      <w:lvlJc w:val="left"/>
      <w:lvlText w:val="%1."/>
      <w:numFmt w:val="decimal"/>
      <w:start w:val="6"/>
    </w:lvl>
  </w:abstractNum>
  <w:abstractNum w:abstractNumId="261">
    <w:nsid w:val="6FE95EAC"/>
    <w:multiLevelType w:val="hybridMultilevel"/>
    <w:lvl w:ilvl="0">
      <w:lvlJc w:val="left"/>
      <w:lvlText w:val="%1."/>
      <w:numFmt w:val="decimal"/>
      <w:start w:val="1"/>
    </w:lvl>
    <w:lvl w:ilvl="1">
      <w:lvlJc w:val="left"/>
      <w:lvlText w:val="%2)"/>
      <w:numFmt w:val="lowerLetter"/>
      <w:start w:val="1"/>
    </w:lvl>
  </w:abstractNum>
  <w:abstractNum w:abstractNumId="262">
    <w:nsid w:val="4B697C7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jpeg"/><Relationship Id="rId146" Type="http://schemas.openxmlformats.org/officeDocument/2006/relationships/image" Target="media/image126.png"/><Relationship Id="rId147" Type="http://schemas.openxmlformats.org/officeDocument/2006/relationships/image" Target="media/image127.jpeg"/><Relationship Id="rId148" Type="http://schemas.openxmlformats.org/officeDocument/2006/relationships/image" Target="media/image128.png"/><Relationship Id="rId149" Type="http://schemas.openxmlformats.org/officeDocument/2006/relationships/image" Target="media/image129.jpeg"/><Relationship Id="rId150" Type="http://schemas.openxmlformats.org/officeDocument/2006/relationships/image" Target="media/image130.png"/><Relationship Id="rId151" Type="http://schemas.openxmlformats.org/officeDocument/2006/relationships/image" Target="media/image131.jpe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jpeg"/><Relationship Id="rId160" Type="http://schemas.openxmlformats.org/officeDocument/2006/relationships/image" Target="media/image140.jpeg"/><Relationship Id="rId161" Type="http://schemas.openxmlformats.org/officeDocument/2006/relationships/image" Target="media/image141.png"/><Relationship Id="rId162" Type="http://schemas.openxmlformats.org/officeDocument/2006/relationships/image" Target="media/image142.jpeg"/><Relationship Id="rId163" Type="http://schemas.openxmlformats.org/officeDocument/2006/relationships/image" Target="media/image143.png"/><Relationship Id="rId164" Type="http://schemas.openxmlformats.org/officeDocument/2006/relationships/image" Target="media/image144.jpeg"/><Relationship Id="rId165" Type="http://schemas.openxmlformats.org/officeDocument/2006/relationships/image" Target="media/image145.png"/><Relationship Id="rId166" Type="http://schemas.openxmlformats.org/officeDocument/2006/relationships/image" Target="media/image146.jpeg"/><Relationship Id="rId167" Type="http://schemas.openxmlformats.org/officeDocument/2006/relationships/image" Target="media/image147.png"/><Relationship Id="rId168" Type="http://schemas.openxmlformats.org/officeDocument/2006/relationships/image" Target="media/image148.jpe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jpe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jpe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jpe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jpe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89" Type="http://schemas.openxmlformats.org/officeDocument/2006/relationships/hyperlink" Target="http://www.sec.gov/Archives/edgar/data/1762303/000119312520112315/d918609dex992.htm" TargetMode="External"/><Relationship Id="rId90" Type="http://schemas.openxmlformats.org/officeDocument/2006/relationships/hyperlink" Target="http://www.sec.gov/Archives/edgar/data/1762303/000119312520183429/d75062dex31.htm" TargetMode="External"/><Relationship Id="rId91" Type="http://schemas.openxmlformats.org/officeDocument/2006/relationships/hyperlink" Target="http://www.sec.gov/Archives/edgar/data/1762303/000119312520183429/d75062dex32.htm" TargetMode="External"/><Relationship Id="rId92" Type="http://schemas.openxmlformats.org/officeDocument/2006/relationships/hyperlink" Target="http://www.sec.gov/Archives/edgar/data/1762303/000119312520183429/d75062d8k12b.htm" TargetMode="External"/><Relationship Id="rId93" Type="http://schemas.openxmlformats.org/officeDocument/2006/relationships/hyperlink" Target="http://www.sec.gov/Archives/edgar/data/1762303/000119312519249606/d757806dex41.htm" TargetMode="External"/><Relationship Id="rId94" Type="http://schemas.openxmlformats.org/officeDocument/2006/relationships/hyperlink" Target="http://www.sec.gov/Archives/edgar/data/1762303/000119312519249606/d757806dex42.htm" TargetMode="External"/><Relationship Id="rId95" Type="http://schemas.openxmlformats.org/officeDocument/2006/relationships/hyperlink" Target="http://www.sec.gov/Archives/edgar/data/1762303/000119312519249606/d757806dex43.htm" TargetMode="External"/><Relationship Id="rId96" Type="http://schemas.openxmlformats.org/officeDocument/2006/relationships/hyperlink" Target="http://www.sec.gov/Archives/edgar/data/1762303/000119312519249606/d757806dex44.htm" TargetMode="External"/><Relationship Id="rId97" Type="http://schemas.openxmlformats.org/officeDocument/2006/relationships/hyperlink" Target="http://www.sec.gov/Archives/edgar/data/1762303/000119312519249606/d757806dex45.htm" TargetMode="External"/><Relationship Id="rId98" Type="http://schemas.openxmlformats.org/officeDocument/2006/relationships/hyperlink" Target="http://www.sec.gov/Archives/edgar/data/1762303/000119312519249606/d757806dex46.htm" TargetMode="External"/><Relationship Id="rId99" Type="http://schemas.openxmlformats.org/officeDocument/2006/relationships/hyperlink" Target="http://www.sec.gov/Archives/edgar/data/1762303/000119312519249606/d757806dex47.htm" TargetMode="External"/><Relationship Id="rId100" Type="http://schemas.openxmlformats.org/officeDocument/2006/relationships/hyperlink" Target="http://www.sec.gov/Archives/edgar/data/1762303/000119312519249606/d757806dex48.htm" TargetMode="External"/><Relationship Id="rId101" Type="http://schemas.openxmlformats.org/officeDocument/2006/relationships/hyperlink" Target="http://www.sec.gov/Archives/edgar/data/1762303/000119312519249606/d757806d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2021-08-26T16:36:04Z</dcterms:created>
  <dcterms:modified xsi:type="dcterms:W3CDTF">2021-08-26T16:36:04Z</dcterms:modified>
</cp:coreProperties>
</file>