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rcel-20240930.htm"/>
      <w:bookmarkStart w:id="1" w:name="ksrcel202409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quarterly period ended</w:t>
      </w:r>
      <w:r>
        <w:rPr>
          <w:rFonts w:ascii="Times New Roman" w:hAnsi="Times New Roman"/>
          <w:color w:val="000000"/>
          <w:sz w:val="20"/>
        </w:rPr>
        <w:t xml:space="preserve"> </w:t>
      </w:r>
      <w:r>
        <w:rPr>
          <w:rFonts w:ascii="Times New Roman" w:hAnsi="Times New Roman"/>
          <w:b/>
          <w:color w:val="000000"/>
          <w:sz w:val="18"/>
        </w:rPr>
        <w:t>September 30, 2024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Commission File Number: 001-39059</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1430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371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4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rPr/>
        <w:tc>
          <w:tcPr>
            <w:tcW w:w="198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rFonts w:ascii="Times New Roman" w:hAnsi="Times New Roman"/>
          <w:sz w:val="20"/>
        </w:rPr>
      </w:pPr>
      <w:r>
        <w:rPr>
          <w:rFonts w:ascii="Times New Roman" w:hAnsi="Times New Roman"/>
          <w:b/>
          <w:color w:val="000000"/>
          <w:sz w:val="18"/>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Valencia, CA</w:t>
      </w:r>
      <w:r>
        <w:rPr>
          <w:rFonts w:ascii="Times New Roman" w:hAnsi="Times New Roman"/>
          <w:color w:val="000000"/>
          <w:sz w:val="20"/>
        </w:rPr>
        <w:t xml:space="preserve"> </w:t>
      </w:r>
      <w:r>
        <w:rPr>
          <w:rFonts w:ascii="Times New Roman" w:hAnsi="Times New Roman"/>
          <w:b/>
          <w:color w:val="000000"/>
          <w:sz w:val="18"/>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(Address of principal executive offices and 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(661)</w:t>
      </w:r>
      <w:r>
        <w:rPr>
          <w:rFonts w:ascii="Times New Roman" w:hAnsi="Times New Roman"/>
          <w:color w:val="000000"/>
          <w:sz w:val="20"/>
        </w:rPr>
        <w:t xml:space="preserve"> </w:t>
      </w:r>
      <w:r>
        <w:rPr>
          <w:rFonts w:ascii="Times New Roman" w:hAnsi="Times New Roman"/>
          <w:b/>
          <w:color w:val="000000"/>
          <w:sz w:val="18"/>
        </w:rPr>
        <w:t>367-9170</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591" w:type="dxa"/>
        <w:jc w:val="left"/>
        <w:tblInd w:w="0" w:type="dxa"/>
        <w:tblLayout w:type="fixed"/>
        <w:tblCellMar>
          <w:top w:w="28" w:type="dxa"/>
          <w:left w:w="28" w:type="dxa"/>
          <w:bottom w:w="28" w:type="dxa"/>
          <w:right w:w="28" w:type="dxa"/>
        </w:tblCellMar>
      </w:tblPr>
      <w:tblGrid>
        <w:gridCol w:w="3708"/>
        <w:gridCol w:w="328"/>
        <w:gridCol w:w="798"/>
        <w:gridCol w:w="146"/>
        <w:gridCol w:w="2611"/>
      </w:tblGrid>
      <w:tr>
        <w:trP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rPr/>
        <w:tc>
          <w:tcPr>
            <w:tcW w:w="3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3708" w:type="dxa"/>
            <w:tcBorders/>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328" w:type="dxa"/>
            <w:tcBorders/>
            <w:vAlign w:val="center"/>
          </w:tcPr>
          <w:p>
            <w:pPr>
              <w:pStyle w:val="TableContents"/>
              <w:bidi w:val="0"/>
              <w:spacing w:before="0" w:after="283"/>
              <w:ind w:left="0" w:right="0" w:firstLine="182"/>
              <w:jc w:val="center"/>
              <w:rPr/>
            </w:pPr>
            <w:r>
              <w:rPr/>
              <w:t> </w:t>
            </w:r>
          </w:p>
        </w:tc>
        <w:tc>
          <w:tcPr>
            <w:tcW w:w="798" w:type="dxa"/>
            <w:tcBorders/>
            <w:vAlign w:val="center"/>
          </w:tcPr>
          <w:p>
            <w:pPr>
              <w:pStyle w:val="TableContents"/>
              <w:bidi w:val="0"/>
              <w:spacing w:before="0" w:after="283"/>
              <w:ind w:left="182" w:right="0" w:firstLine="182"/>
              <w:jc w:val="center"/>
              <w:rPr>
                <w:rFonts w:ascii="Times New Roman" w:hAnsi="Times New Roman"/>
                <w:b/>
                <w:color w:val="000000"/>
                <w:sz w:val="18"/>
              </w:rPr>
            </w:pPr>
            <w:r>
              <w:rPr>
                <w:rFonts w:ascii="Times New Roman" w:hAnsi="Times New Roman"/>
                <w:b/>
                <w:color w:val="000000"/>
                <w:sz w:val="18"/>
              </w:rPr>
              <w:t>RCEL</w:t>
            </w:r>
          </w:p>
        </w:tc>
        <w:tc>
          <w:tcPr>
            <w:tcW w:w="146" w:type="dxa"/>
            <w:tcBorders/>
            <w:vAlign w:val="center"/>
          </w:tcPr>
          <w:p>
            <w:pPr>
              <w:pStyle w:val="TableContents"/>
              <w:bidi w:val="0"/>
              <w:spacing w:before="0" w:after="283"/>
              <w:jc w:val="center"/>
              <w:rPr/>
            </w:pPr>
            <w:r>
              <w:rPr/>
              <w:t> </w:t>
            </w:r>
          </w:p>
        </w:tc>
        <w:tc>
          <w:tcPr>
            <w:tcW w:w="261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The Nasdaq</w:t>
            </w:r>
            <w:r>
              <w:rPr>
                <w:rFonts w:ascii="Times New Roman" w:hAnsi="Times New Roman"/>
                <w:color w:val="000000"/>
                <w:sz w:val="20"/>
              </w:rPr>
              <w:t> </w:t>
            </w:r>
            <w:r>
              <w:rPr>
                <w:rFonts w:ascii="Times New Roman" w:hAnsi="Times New Roman"/>
                <w:b/>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The number of shares of the registrant’s common stock, par value $0.0001, outstanding as of November 4, 2024 was 26,217,629</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
        <w:gridCol w:w="8146"/>
        <w:gridCol w:w="146"/>
        <w:gridCol w:w="912"/>
      </w:tblGrid>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147" w:type="dxa"/>
            <w:gridSpan w:val="2"/>
            <w:tcBorders/>
            <w:vAlign w:val="center"/>
          </w:tcPr>
          <w:p>
            <w:pPr>
              <w:pStyle w:val="TableContents"/>
              <w:bidi w:val="0"/>
              <w:spacing w:before="0" w:after="283"/>
              <w:jc w:val="left"/>
              <w:rPr/>
            </w:pPr>
            <w:hyperlink w:anchor="special_note_regarding_forward_looking">
              <w:r>
                <w:rPr>
                  <w:rStyle w:val="InternetLink"/>
                  <w:rFonts w:ascii="Times New Roman" w:hAnsi="Times New Roman"/>
                  <w:b/>
                  <w:color w:val="0000FF"/>
                  <w:sz w:val="20"/>
                  <w:u w:val="single"/>
                </w:rPr>
                <w:t>NOTE REGARDING FORWARD-LOOKING STATEMENTS</w:t>
              </w:r>
            </w:hyperlink>
            <w:hyperlink w:anchor="special_note_regarding_forward_looking">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14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146" w:type="dxa"/>
            <w:tcBorders/>
            <w:vAlign w:val="center"/>
          </w:tcPr>
          <w:p>
            <w:pPr>
              <w:pStyle w:val="TableContents"/>
              <w:pBdr/>
              <w:bidi w:val="0"/>
              <w:spacing w:before="0" w:after="283"/>
              <w:ind w:left="0" w:right="0" w:hanging="240"/>
              <w:jc w:val="left"/>
              <w:rPr/>
            </w:pPr>
            <w:hyperlink w:anchor="item_1_financial_statements">
              <w:r>
                <w:rPr>
                  <w:rStyle w:val="InternetLink"/>
                  <w:rFonts w:ascii="Times New Roman" w:hAnsi="Times New Roman"/>
                  <w:b/>
                  <w:color w:val="0000FF"/>
                  <w:sz w:val="20"/>
                  <w:u w:val="single"/>
                </w:rPr>
                <w:t>Financial Statements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 – As of September 30, 2024 (unaudited) and December 31, 2023</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color w:val="0000FF"/>
                  <w:sz w:val="20"/>
                  <w:u w:val="single"/>
                </w:rPr>
                <w:t>Consolidated Statements of Operations for the three-months and nine-months ended September 30, 2024 and 2023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comprehensive_lo">
              <w:r>
                <w:rPr>
                  <w:rStyle w:val="InternetLink"/>
                  <w:rFonts w:ascii="Times New Roman" w:hAnsi="Times New Roman"/>
                  <w:color w:val="0000FF"/>
                  <w:sz w:val="20"/>
                  <w:u w:val="single"/>
                </w:rPr>
                <w:t>Consolidated Statements of Comprehensive Loss for the three-months and nine-months ended September 30, 2024 and 2023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shareholders_equ">
              <w:r>
                <w:rPr>
                  <w:rStyle w:val="InternetLink"/>
                  <w:rFonts w:ascii="Times New Roman" w:hAnsi="Times New Roman"/>
                  <w:color w:val="0000FF"/>
                  <w:sz w:val="20"/>
                  <w:u w:val="single"/>
                </w:rPr>
                <w:t>Consolidated Statements of Stockholders’ Equity for the three-months and nine-months ended September 30, 2024 and 2023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7</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cash_flows">
              <w:r>
                <w:rPr>
                  <w:rStyle w:val="InternetLink"/>
                  <w:rFonts w:ascii="Times New Roman" w:hAnsi="Times New Roman"/>
                  <w:color w:val="0000FF"/>
                  <w:sz w:val="20"/>
                  <w:u w:val="single"/>
                </w:rPr>
                <w:t>Consolidated Statements of Cash Flows for the nine-months ended September 30, 2024 and 2023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146" w:type="dxa"/>
            <w:tcBorders/>
            <w:vAlign w:val="center"/>
          </w:tcPr>
          <w:p>
            <w:pPr>
              <w:pStyle w:val="TableContents"/>
              <w:pBdr/>
              <w:bidi w:val="0"/>
              <w:spacing w:before="0" w:after="283"/>
              <w:ind w:left="0" w:right="0" w:hanging="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146"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146" w:type="dxa"/>
            <w:tcBorders/>
            <w:vAlign w:val="center"/>
          </w:tcPr>
          <w:p>
            <w:pPr>
              <w:pStyle w:val="TableContents"/>
              <w:pBdr/>
              <w:bidi w:val="0"/>
              <w:spacing w:before="0" w:after="283"/>
              <w:ind w:left="0" w:right="0" w:hanging="24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32</w:t>
            </w:r>
          </w:p>
        </w:tc>
      </w:tr>
      <w:tr>
        <w:trPr/>
        <w:tc>
          <w:tcPr>
            <w:tcW w:w="9147"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r>
      <w:tr>
        <w:trPr/>
        <w:tc>
          <w:tcPr>
            <w:tcW w:w="9147" w:type="dxa"/>
            <w:gridSpan w:val="2"/>
            <w:tcBorders/>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146"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146" w:type="dxa"/>
            <w:tcBorders/>
            <w:vAlign w:val="center"/>
          </w:tcPr>
          <w:p>
            <w:pPr>
              <w:pStyle w:val="TableContents"/>
              <w:pBdr/>
              <w:bidi w:val="0"/>
              <w:spacing w:before="0" w:after="283"/>
              <w:ind w:left="0" w:right="0" w:hanging="240"/>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146"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146"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146"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146" w:type="dxa"/>
            <w:tcBorders/>
            <w:vAlign w:val="center"/>
          </w:tcPr>
          <w:p>
            <w:pPr>
              <w:pStyle w:val="TableContents"/>
              <w:pBdr/>
              <w:bidi w:val="0"/>
              <w:spacing w:before="0" w:after="283"/>
              <w:ind w:left="0" w:right="0" w:hanging="240"/>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146" w:type="dxa"/>
            <w:tcBorders/>
            <w:vAlign w:val="center"/>
          </w:tcPr>
          <w:p>
            <w:pPr>
              <w:pStyle w:val="TableContents"/>
              <w:pBdr/>
              <w:bidi w:val="0"/>
              <w:spacing w:before="0" w:after="283"/>
              <w:ind w:left="0" w:right="0" w:hanging="240"/>
              <w:jc w:val="left"/>
              <w:rPr/>
            </w:pPr>
            <w:hyperlink w:anchor="item_6_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35</w:t>
            </w:r>
          </w:p>
        </w:tc>
      </w:tr>
      <w:tr>
        <w:trPr/>
        <w:tc>
          <w:tcPr>
            <w:tcW w:w="9147"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720"/>
              <w:jc w:val="right"/>
              <w:rPr/>
            </w:pPr>
            <w:r>
              <w:rPr/>
              <w:t> </w:t>
            </w:r>
          </w:p>
        </w:tc>
      </w:tr>
      <w:tr>
        <w:trPr/>
        <w:tc>
          <w:tcPr>
            <w:tcW w:w="9147" w:type="dxa"/>
            <w:gridSpan w:val="2"/>
            <w:tcBorders/>
            <w:vAlign w:val="center"/>
          </w:tcPr>
          <w:p>
            <w:pPr>
              <w:pStyle w:val="TableContents"/>
              <w:pBdr/>
              <w:bidi w:val="0"/>
              <w:spacing w:before="0" w:after="283"/>
              <w:ind w:left="480" w:right="0" w:hanging="24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pecial_note_regarding_forward_looking"/>
      <w:bookmarkEnd w:id="2"/>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our ability to expand our sales and marketing organizations to address effectively existing and new markets that we intend to target; future employment and contributions of personnel; tax and interest rates; productivity, business process, rationalization, investment, mergers and acquisitions (and related integration activities), consulting, operational, tax, financial and capital projects and/or initiatives; inflationary pressures on the U.S. and global economies, respectively; changes in the legal or regulatory environments;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 some cases, you can identify forward-looking statements by terms such as “may,” “will,” “should,” “expect,” “plan,” “anticipate,” “could,” "would," “intend,” “target,” “project,” “contemplate,” “believe,” “estimate,” “predict,” “potential”, or “continue” or the negative of these terms or other similar expressions.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Moreover, we operate in an evolving environment. New risk factors and uncertainties may emerge from time to time, and it is not possible for our management to predict all risk factors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9"/>
        <w:gridCol w:w="146"/>
        <w:gridCol w:w="260"/>
        <w:gridCol w:w="1040"/>
        <w:gridCol w:w="166"/>
        <w:gridCol w:w="146"/>
        <w:gridCol w:w="257"/>
        <w:gridCol w:w="1027"/>
        <w:gridCol w:w="414"/>
      </w:tblGrid>
      <w:tr>
        <w:trPr/>
        <w:tc>
          <w:tcPr>
            <w:tcW w:w="6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center"/>
              <w:rPr/>
            </w:pPr>
            <w:r>
              <w:rPr/>
              <w:t> </w:t>
            </w:r>
          </w:p>
        </w:tc>
        <w:tc>
          <w:tcPr>
            <w:tcW w:w="414" w:type="dxa"/>
            <w:tcBorders/>
            <w:shd w:fill="CFF0FC" w:val="clear"/>
            <w:vAlign w:val="center"/>
          </w:tcPr>
          <w:p>
            <w:pPr>
              <w:pStyle w:val="TableContents"/>
              <w:bidi w:val="0"/>
              <w:spacing w:before="0" w:after="283"/>
              <w:ind w:left="0" w:right="0" w:firstLine="200"/>
              <w:jc w:val="center"/>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 receivables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w:t>
            </w:r>
          </w:p>
        </w:tc>
        <w:tc>
          <w:tcPr>
            <w:tcW w:w="146" w:type="dxa"/>
            <w:tcBorders/>
            <w:shd w:fill="CFF0FC" w:val="clear"/>
            <w:vAlign w:val="center"/>
          </w:tcPr>
          <w:p>
            <w:pPr>
              <w:pStyle w:val="TableContents"/>
              <w:bidi w:val="0"/>
              <w:spacing w:before="0" w:after="283"/>
              <w:jc w:val="left"/>
              <w:rPr/>
            </w:pPr>
            <w:r>
              <w:rPr/>
              <w:t> </w:t>
            </w:r>
          </w:p>
        </w:tc>
        <w:tc>
          <w:tcPr>
            <w:tcW w:w="13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long term</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414" w:type="dxa"/>
            <w:tcBorders/>
            <w:shd w:fill="CFF0FC" w:val="clear"/>
            <w:vAlign w:val="center"/>
          </w:tcPr>
          <w:p>
            <w:pPr>
              <w:pStyle w:val="TableContents"/>
              <w:bidi w:val="0"/>
              <w:spacing w:before="0" w:after="283"/>
              <w:jc w:val="left"/>
              <w:rPr/>
            </w:pPr>
            <w:r>
              <w:rPr/>
              <w:t> </w:t>
            </w:r>
          </w:p>
        </w:tc>
      </w:tr>
      <w:tr>
        <w:trPr/>
        <w:tc>
          <w:tcPr>
            <w:tcW w:w="6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vAlign w:val="center"/>
          </w:tcPr>
          <w:p>
            <w:pPr>
              <w:pStyle w:val="TableContents"/>
              <w:bidi w:val="0"/>
              <w:spacing w:before="0" w:after="283"/>
              <w:jc w:val="left"/>
              <w:rPr/>
            </w:pPr>
            <w:r>
              <w:rPr/>
              <w:t> </w:t>
            </w:r>
          </w:p>
        </w:tc>
        <w:tc>
          <w:tcPr>
            <w:tcW w:w="13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7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3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26,217,629 and 25,682,078, shares issued and outstanding at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perations"/>
      <w:bookmarkEnd w:id="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46"/>
        <w:gridCol w:w="146"/>
        <w:gridCol w:w="266"/>
        <w:gridCol w:w="1309"/>
        <w:gridCol w:w="166"/>
        <w:gridCol w:w="266"/>
        <w:gridCol w:w="1309"/>
        <w:gridCol w:w="166"/>
        <w:gridCol w:w="266"/>
        <w:gridCol w:w="1309"/>
        <w:gridCol w:w="166"/>
        <w:gridCol w:w="266"/>
        <w:gridCol w:w="1309"/>
        <w:gridCol w:w="415"/>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5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5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575" w:type="dxa"/>
            <w:gridSpan w:val="2"/>
            <w:tcBorders/>
            <w:shd w:fill="FFFFFF" w:val="clear"/>
            <w:vAlign w:val="center"/>
          </w:tcPr>
          <w:p>
            <w:pPr>
              <w:pStyle w:val="TableContents"/>
              <w:bidi w:val="0"/>
              <w:spacing w:before="0" w:after="283"/>
              <w:jc w:val="center"/>
              <w:rPr/>
            </w:pPr>
            <w:r>
              <w:rPr/>
              <w:t> </w:t>
            </w:r>
          </w:p>
        </w:tc>
        <w:tc>
          <w:tcPr>
            <w:tcW w:w="415" w:type="dxa"/>
            <w:tcBorders/>
            <w:shd w:fill="FFFFFF" w:val="clear"/>
            <w:vAlign w:val="center"/>
          </w:tcPr>
          <w:p>
            <w:pPr>
              <w:pStyle w:val="TableContents"/>
              <w:bidi w:val="0"/>
              <w:spacing w:before="0" w:after="283"/>
              <w:ind w:left="0" w:right="0" w:firstLine="100"/>
              <w:jc w:val="center"/>
              <w:rPr/>
            </w:pPr>
            <w:r>
              <w:rPr/>
              <w:t> </w:t>
            </w:r>
          </w:p>
        </w:tc>
      </w:tr>
      <w:tr>
        <w:trPr/>
        <w:tc>
          <w:tcPr>
            <w:tcW w:w="28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415" w:type="dxa"/>
            <w:tcBorders/>
            <w:shd w:fill="CFF0FC" w:val="clear"/>
            <w:vAlign w:val="center"/>
          </w:tcPr>
          <w:p>
            <w:pPr>
              <w:pStyle w:val="TableContents"/>
              <w:bidi w:val="0"/>
              <w:spacing w:before="0" w:after="283"/>
              <w:ind w:left="0" w:right="0" w:firstLine="100"/>
              <w:jc w:val="left"/>
              <w:rPr/>
            </w:pPr>
            <w:r>
              <w:rPr/>
              <w:t> </w:t>
            </w:r>
          </w:p>
        </w:tc>
      </w:tr>
      <w:tr>
        <w:trPr/>
        <w:tc>
          <w:tcPr>
            <w:tcW w:w="28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415" w:type="dxa"/>
            <w:tcBorders/>
            <w:shd w:fill="CFF0FC" w:val="clear"/>
            <w:vAlign w:val="center"/>
          </w:tcPr>
          <w:p>
            <w:pPr>
              <w:pStyle w:val="TableContents"/>
              <w:bidi w:val="0"/>
              <w:spacing w:before="0" w:after="283"/>
              <w:jc w:val="left"/>
              <w:rPr/>
            </w:pPr>
            <w:r>
              <w:rPr/>
              <w:t> </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income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415" w:type="dxa"/>
            <w:tcBorders/>
            <w:shd w:fill="FFFFFF" w:val="clear"/>
            <w:vAlign w:val="center"/>
          </w:tcPr>
          <w:p>
            <w:pPr>
              <w:pStyle w:val="TableContents"/>
              <w:bidi w:val="0"/>
              <w:spacing w:before="0" w:after="283"/>
              <w:jc w:val="left"/>
              <w:rPr/>
            </w:pPr>
            <w:r>
              <w:rPr/>
              <w:t> </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2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(27,075</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(20,584</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(30,382</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2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ind w:left="0" w:right="0" w:firstLine="200"/>
              <w:jc w:val="right"/>
              <w:rPr/>
            </w:pPr>
            <w:r>
              <w:rPr/>
              <w:t> </w:t>
            </w:r>
          </w:p>
        </w:tc>
      </w:tr>
      <w:tr>
        <w:trPr/>
        <w:tc>
          <w:tcPr>
            <w:tcW w:w="2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25,983,929</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25,401,754</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25,794,690</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25,281,920</w:t>
            </w:r>
          </w:p>
        </w:tc>
        <w:tc>
          <w:tcPr>
            <w:tcW w:w="415"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omprehensive_lo"/>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2"/>
        <w:gridCol w:w="311"/>
        <w:gridCol w:w="1088"/>
        <w:gridCol w:w="166"/>
        <w:gridCol w:w="348"/>
        <w:gridCol w:w="1046"/>
        <w:gridCol w:w="166"/>
        <w:gridCol w:w="311"/>
        <w:gridCol w:w="1088"/>
        <w:gridCol w:w="166"/>
        <w:gridCol w:w="311"/>
        <w:gridCol w:w="1088"/>
        <w:gridCol w:w="214"/>
      </w:tblGrid>
      <w:tr>
        <w:trPr/>
        <w:tc>
          <w:tcPr>
            <w:tcW w:w="390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02" w:type="dxa"/>
            <w:tcBorders/>
            <w:shd w:fill="FFFFFF" w:val="clear"/>
            <w:vAlign w:val="center"/>
          </w:tcPr>
          <w:p>
            <w:pPr>
              <w:pStyle w:val="TableContents"/>
              <w:bidi w:val="0"/>
              <w:spacing w:before="0" w:after="283"/>
              <w:jc w:val="center"/>
              <w:rPr/>
            </w:pPr>
            <w:r>
              <w:rPr/>
              <w:t> </w:t>
            </w:r>
          </w:p>
        </w:tc>
        <w:tc>
          <w:tcPr>
            <w:tcW w:w="29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2" w:type="dxa"/>
            <w:tcBorders/>
            <w:shd w:fill="FFFFFF" w:val="clear"/>
            <w:vAlign w:val="center"/>
          </w:tcPr>
          <w:p>
            <w:pPr>
              <w:pStyle w:val="TableContents"/>
              <w:bidi w:val="0"/>
              <w:spacing w:before="0" w:after="283"/>
              <w:jc w:val="center"/>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2" w:type="dxa"/>
            <w:tcBorders/>
            <w:shd w:fill="FFFFFF" w:val="clear"/>
            <w:vAlign w:val="center"/>
          </w:tcPr>
          <w:p>
            <w:pPr>
              <w:pStyle w:val="TableContents"/>
              <w:bidi w:val="0"/>
              <w:spacing w:before="0" w:after="283"/>
              <w:jc w:val="center"/>
              <w:rPr/>
            </w:pPr>
            <w:r>
              <w:rPr/>
              <w:t> </w:t>
            </w:r>
          </w:p>
        </w:tc>
        <w:tc>
          <w:tcPr>
            <w:tcW w:w="139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9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9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99"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39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(28,316</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w:t>
            </w:r>
          </w:p>
        </w:tc>
        <w:tc>
          <w:tcPr>
            <w:tcW w:w="31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due to credit risk on long-term debt loss</w:t>
            </w:r>
          </w:p>
        </w:tc>
        <w:tc>
          <w:tcPr>
            <w:tcW w:w="311"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vAlign w:val="center"/>
          </w:tcPr>
          <w:p>
            <w:pPr>
              <w:pStyle w:val="TableContents"/>
              <w:bidi w:val="0"/>
              <w:spacing w:before="0" w:after="283"/>
              <w:jc w:val="left"/>
              <w:rPr/>
            </w:pPr>
            <w:r>
              <w:rPr/>
              <w:t> </w:t>
            </w:r>
          </w:p>
        </w:tc>
      </w:tr>
      <w:tr>
        <w:trPr/>
        <w:tc>
          <w:tcPr>
            <w:tcW w:w="3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gain/(loss) on marketable securities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shareholders_equ"/>
      <w:bookmarkEnd w:id="8"/>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0"/>
        <w:gridCol w:w="146"/>
        <w:gridCol w:w="916"/>
        <w:gridCol w:w="146"/>
        <w:gridCol w:w="345"/>
        <w:gridCol w:w="346"/>
        <w:gridCol w:w="146"/>
        <w:gridCol w:w="307"/>
        <w:gridCol w:w="897"/>
        <w:gridCol w:w="166"/>
        <w:gridCol w:w="206"/>
        <w:gridCol w:w="726"/>
        <w:gridCol w:w="166"/>
        <w:gridCol w:w="321"/>
        <w:gridCol w:w="938"/>
        <w:gridCol w:w="166"/>
        <w:gridCol w:w="217"/>
        <w:gridCol w:w="834"/>
        <w:gridCol w:w="166"/>
        <w:gridCol w:w="250"/>
        <w:gridCol w:w="846"/>
        <w:gridCol w:w="214"/>
      </w:tblGrid>
      <w:tr>
        <w:trPr/>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FFFFFF" w:val="clear"/>
            <w:vAlign w:val="center"/>
          </w:tcPr>
          <w:p>
            <w:pPr>
              <w:pStyle w:val="TableContents"/>
              <w:bidi w:val="0"/>
              <w:spacing w:before="0" w:after="283"/>
              <w:jc w:val="left"/>
              <w:rPr/>
            </w:pPr>
            <w:r>
              <w:rPr/>
              <w:t> </w:t>
            </w:r>
          </w:p>
        </w:tc>
        <w:tc>
          <w:tcPr>
            <w:tcW w:w="825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Three-Months Ended September 30,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5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174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25,949,906</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358,510</w:t>
            </w:r>
          </w:p>
        </w:tc>
        <w:tc>
          <w:tcPr>
            <w:tcW w:w="16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23,915</w:t>
            </w:r>
          </w:p>
        </w:tc>
        <w:tc>
          <w:tcPr>
            <w:tcW w:w="214" w:type="dxa"/>
            <w:tcBorders/>
            <w:shd w:fill="CFF0FC" w:val="clear"/>
            <w:vAlign w:val="center"/>
          </w:tcPr>
          <w:p>
            <w:pPr>
              <w:pStyle w:val="TableContents"/>
              <w:bidi w:val="0"/>
              <w:spacing w:before="0" w:after="283"/>
              <w:jc w:val="left"/>
              <w:rPr/>
            </w:pPr>
            <w:r>
              <w:rPr/>
              <w:t> </w:t>
            </w:r>
          </w:p>
        </w:tc>
      </w:tr>
      <w:tr>
        <w:trPr/>
        <w:tc>
          <w:tcPr>
            <w:tcW w:w="17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(16,205</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16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214" w:type="dxa"/>
            <w:tcBorders/>
            <w:shd w:fill="CFF0FC" w:val="clear"/>
            <w:vAlign w:val="center"/>
          </w:tcPr>
          <w:p>
            <w:pPr>
              <w:pStyle w:val="TableContents"/>
              <w:bidi w:val="0"/>
              <w:spacing w:before="0" w:after="283"/>
              <w:jc w:val="left"/>
              <w:rPr/>
            </w:pPr>
            <w:r>
              <w:rPr/>
              <w:t> </w:t>
            </w:r>
          </w:p>
        </w:tc>
      </w:tr>
      <w:tr>
        <w:trPr/>
        <w:tc>
          <w:tcPr>
            <w:tcW w:w="17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50,157</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FFFFFF" w:val="clear"/>
            <w:vAlign w:val="center"/>
          </w:tcPr>
          <w:p>
            <w:pPr>
              <w:pStyle w:val="TableContents"/>
              <w:bidi w:val="0"/>
              <w:spacing w:before="0" w:after="283"/>
              <w:jc w:val="left"/>
              <w:rPr/>
            </w:pPr>
            <w:r>
              <w:rPr/>
              <w:t> </w:t>
            </w:r>
          </w:p>
        </w:tc>
      </w:tr>
      <w:tr>
        <w:trPr/>
        <w:tc>
          <w:tcPr>
            <w:tcW w:w="17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183,867</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6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214" w:type="dxa"/>
            <w:tcBorders/>
            <w:shd w:fill="CFF0FC" w:val="clear"/>
            <w:vAlign w:val="center"/>
          </w:tcPr>
          <w:p>
            <w:pPr>
              <w:pStyle w:val="TableContents"/>
              <w:bidi w:val="0"/>
              <w:spacing w:before="0" w:after="283"/>
              <w:jc w:val="left"/>
              <w:rPr/>
            </w:pPr>
            <w:r>
              <w:rPr/>
              <w:t> </w:t>
            </w:r>
          </w:p>
        </w:tc>
      </w:tr>
      <w:tr>
        <w:trPr/>
        <w:tc>
          <w:tcPr>
            <w:tcW w:w="17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14" w:type="dxa"/>
            <w:tcBorders/>
            <w:shd w:fill="FFFFFF" w:val="clear"/>
            <w:vAlign w:val="center"/>
          </w:tcPr>
          <w:p>
            <w:pPr>
              <w:pStyle w:val="TableContents"/>
              <w:bidi w:val="0"/>
              <w:spacing w:before="0" w:after="283"/>
              <w:jc w:val="left"/>
              <w:rPr/>
            </w:pPr>
            <w:r>
              <w:rPr/>
              <w:t> </w:t>
            </w:r>
          </w:p>
        </w:tc>
      </w:tr>
      <w:tr>
        <w:trPr/>
        <w:tc>
          <w:tcPr>
            <w:tcW w:w="17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33,699</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CFF0FC" w:val="clear"/>
            <w:vAlign w:val="center"/>
          </w:tcPr>
          <w:p>
            <w:pPr>
              <w:pStyle w:val="TableContents"/>
              <w:bidi w:val="0"/>
              <w:spacing w:before="0" w:after="283"/>
              <w:jc w:val="left"/>
              <w:rPr/>
            </w:pPr>
            <w:r>
              <w:rPr/>
              <w:t> </w:t>
            </w:r>
          </w:p>
        </w:tc>
      </w:tr>
      <w:tr>
        <w:trPr/>
        <w:tc>
          <w:tcPr>
            <w:tcW w:w="17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4" w:type="dxa"/>
            <w:tcBorders/>
            <w:shd w:fill="CFF0FC" w:val="clear"/>
            <w:vAlign w:val="center"/>
          </w:tcPr>
          <w:p>
            <w:pPr>
              <w:pStyle w:val="TableContents"/>
              <w:bidi w:val="0"/>
              <w:spacing w:before="0" w:after="283"/>
              <w:jc w:val="left"/>
              <w:rPr/>
            </w:pPr>
            <w:r>
              <w:rPr/>
              <w:t> </w:t>
            </w:r>
          </w:p>
        </w:tc>
      </w:tr>
      <w:tr>
        <w:trPr/>
        <w:tc>
          <w:tcPr>
            <w:tcW w:w="17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26,217,629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66"/>
        <w:gridCol w:w="146"/>
        <w:gridCol w:w="916"/>
        <w:gridCol w:w="146"/>
        <w:gridCol w:w="345"/>
        <w:gridCol w:w="346"/>
        <w:gridCol w:w="146"/>
        <w:gridCol w:w="327"/>
        <w:gridCol w:w="954"/>
        <w:gridCol w:w="166"/>
        <w:gridCol w:w="207"/>
        <w:gridCol w:w="733"/>
        <w:gridCol w:w="146"/>
        <w:gridCol w:w="351"/>
        <w:gridCol w:w="916"/>
        <w:gridCol w:w="166"/>
        <w:gridCol w:w="217"/>
        <w:gridCol w:w="834"/>
        <w:gridCol w:w="166"/>
        <w:gridCol w:w="269"/>
        <w:gridCol w:w="827"/>
        <w:gridCol w:w="215"/>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8324"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Three-Months Ended 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25,447,615</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343,769</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7,959</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(282,192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68,647</w:t>
            </w:r>
          </w:p>
        </w:tc>
        <w:tc>
          <w:tcPr>
            <w:tcW w:w="215"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(8,712</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215"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17,221</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5" w:type="dxa"/>
            <w:tcBorders/>
            <w:shd w:fill="FFFFFF" w:val="clear"/>
            <w:vAlign w:val="center"/>
          </w:tcPr>
          <w:p>
            <w:pPr>
              <w:pStyle w:val="TableContents"/>
              <w:bidi w:val="0"/>
              <w:spacing w:before="0" w:after="283"/>
              <w:jc w:val="left"/>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45,336</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40,522</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FFFFFF" w:val="clear"/>
            <w:vAlign w:val="center"/>
          </w:tcPr>
          <w:p>
            <w:pPr>
              <w:pStyle w:val="TableContents"/>
              <w:bidi w:val="0"/>
              <w:spacing w:before="0" w:after="283"/>
              <w:jc w:val="left"/>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215"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5" w:type="dxa"/>
            <w:tcBorders/>
            <w:shd w:fill="FFFFFF" w:val="clear"/>
            <w:vAlign w:val="center"/>
          </w:tcPr>
          <w:p>
            <w:pPr>
              <w:pStyle w:val="TableContents"/>
              <w:bidi w:val="0"/>
              <w:spacing w:before="0" w:after="283"/>
              <w:jc w:val="left"/>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5"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25,550,694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62,978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2"/>
        <w:gridCol w:w="146"/>
        <w:gridCol w:w="916"/>
        <w:gridCol w:w="146"/>
        <w:gridCol w:w="345"/>
        <w:gridCol w:w="346"/>
        <w:gridCol w:w="146"/>
        <w:gridCol w:w="309"/>
        <w:gridCol w:w="902"/>
        <w:gridCol w:w="166"/>
        <w:gridCol w:w="206"/>
        <w:gridCol w:w="727"/>
        <w:gridCol w:w="146"/>
        <w:gridCol w:w="321"/>
        <w:gridCol w:w="939"/>
        <w:gridCol w:w="166"/>
        <w:gridCol w:w="217"/>
        <w:gridCol w:w="834"/>
        <w:gridCol w:w="166"/>
        <w:gridCol w:w="250"/>
        <w:gridCol w:w="846"/>
        <w:gridCol w:w="213"/>
      </w:tblGrid>
      <w:tr>
        <w:trPr/>
        <w:tc>
          <w:tcPr>
            <w:tcW w:w="1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52" w:type="dxa"/>
            <w:tcBorders/>
            <w:shd w:fill="FFFFFF" w:val="clear"/>
            <w:vAlign w:val="center"/>
          </w:tcPr>
          <w:p>
            <w:pPr>
              <w:pStyle w:val="TableContents"/>
              <w:bidi w:val="0"/>
              <w:spacing w:before="0" w:after="283"/>
              <w:jc w:val="left"/>
              <w:rPr/>
            </w:pPr>
            <w:r>
              <w:rPr/>
              <w:t> </w:t>
            </w:r>
          </w:p>
        </w:tc>
        <w:tc>
          <w:tcPr>
            <w:tcW w:w="8240"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Nine-Months Ended September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1752"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25,682,078</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350,039</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w:t>
            </w:r>
          </w:p>
        </w:tc>
        <w:tc>
          <w:tcPr>
            <w:tcW w:w="213" w:type="dxa"/>
            <w:tcBorders/>
            <w:shd w:fill="CFF0FC" w:val="clear"/>
            <w:vAlign w:val="center"/>
          </w:tcPr>
          <w:p>
            <w:pPr>
              <w:pStyle w:val="TableContents"/>
              <w:bidi w:val="0"/>
              <w:spacing w:before="0" w:after="283"/>
              <w:jc w:val="left"/>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(50,256</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w:t>
            </w:r>
          </w:p>
        </w:tc>
        <w:tc>
          <w:tcPr>
            <w:tcW w:w="213" w:type="dxa"/>
            <w:tcBorders/>
            <w:shd w:fill="CFF0FC" w:val="clear"/>
            <w:vAlign w:val="center"/>
          </w:tcPr>
          <w:p>
            <w:pPr>
              <w:pStyle w:val="TableContents"/>
              <w:bidi w:val="0"/>
              <w:spacing w:before="0" w:after="283"/>
              <w:jc w:val="left"/>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94,123</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vAlign w:val="center"/>
          </w:tcPr>
          <w:p>
            <w:pPr>
              <w:pStyle w:val="TableContents"/>
              <w:bidi w:val="0"/>
              <w:spacing w:before="0" w:after="283"/>
              <w:jc w:val="left"/>
              <w:rPr/>
            </w:pPr>
            <w:r>
              <w:rPr/>
              <w:t> </w:t>
            </w:r>
          </w:p>
        </w:tc>
      </w:tr>
      <w:tr>
        <w:trPr/>
        <w:tc>
          <w:tcPr>
            <w:tcW w:w="17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301,524</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w:t>
            </w:r>
          </w:p>
        </w:tc>
        <w:tc>
          <w:tcPr>
            <w:tcW w:w="213" w:type="dxa"/>
            <w:tcBorders/>
            <w:shd w:fill="CFF0FC" w:val="clear"/>
            <w:vAlign w:val="center"/>
          </w:tcPr>
          <w:p>
            <w:pPr>
              <w:pStyle w:val="TableContents"/>
              <w:bidi w:val="0"/>
              <w:spacing w:before="0" w:after="283"/>
              <w:jc w:val="left"/>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96,253</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213" w:type="dxa"/>
            <w:tcBorders/>
            <w:shd w:fill="FFFFFF" w:val="clear"/>
            <w:vAlign w:val="center"/>
          </w:tcPr>
          <w:p>
            <w:pPr>
              <w:pStyle w:val="TableContents"/>
              <w:bidi w:val="0"/>
              <w:spacing w:before="0" w:after="283"/>
              <w:jc w:val="left"/>
              <w:rPr/>
            </w:pPr>
            <w:r>
              <w:rPr/>
              <w:t> </w:t>
            </w:r>
          </w:p>
        </w:tc>
      </w:tr>
      <w:tr>
        <w:trPr/>
        <w:tc>
          <w:tcPr>
            <w:tcW w:w="17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213" w:type="dxa"/>
            <w:tcBorders/>
            <w:shd w:fill="CFF0FC" w:val="clear"/>
            <w:vAlign w:val="center"/>
          </w:tcPr>
          <w:p>
            <w:pPr>
              <w:pStyle w:val="TableContents"/>
              <w:bidi w:val="0"/>
              <w:spacing w:before="0" w:after="283"/>
              <w:jc w:val="left"/>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43,651</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vAlign w:val="center"/>
          </w:tcPr>
          <w:p>
            <w:pPr>
              <w:pStyle w:val="TableContents"/>
              <w:bidi w:val="0"/>
              <w:spacing w:before="0" w:after="283"/>
              <w:jc w:val="left"/>
              <w:rPr/>
            </w:pPr>
            <w:r>
              <w:rPr/>
              <w:t> </w:t>
            </w:r>
          </w:p>
        </w:tc>
      </w:tr>
      <w:tr>
        <w:trPr/>
        <w:tc>
          <w:tcPr>
            <w:tcW w:w="17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13" w:type="dxa"/>
            <w:tcBorders/>
            <w:shd w:fill="CFF0FC" w:val="clear"/>
            <w:vAlign w:val="center"/>
          </w:tcPr>
          <w:p>
            <w:pPr>
              <w:pStyle w:val="TableContents"/>
              <w:bidi w:val="0"/>
              <w:spacing w:before="0" w:after="283"/>
              <w:jc w:val="left"/>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26,217,629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56"/>
        <w:gridCol w:w="146"/>
        <w:gridCol w:w="916"/>
        <w:gridCol w:w="146"/>
        <w:gridCol w:w="345"/>
        <w:gridCol w:w="346"/>
        <w:gridCol w:w="146"/>
        <w:gridCol w:w="325"/>
        <w:gridCol w:w="948"/>
        <w:gridCol w:w="166"/>
        <w:gridCol w:w="207"/>
        <w:gridCol w:w="732"/>
        <w:gridCol w:w="166"/>
        <w:gridCol w:w="351"/>
        <w:gridCol w:w="916"/>
        <w:gridCol w:w="166"/>
        <w:gridCol w:w="217"/>
        <w:gridCol w:w="834"/>
        <w:gridCol w:w="166"/>
        <w:gridCol w:w="250"/>
        <w:gridCol w:w="846"/>
        <w:gridCol w:w="214"/>
      </w:tblGrid>
      <w:tr>
        <w:trPr/>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56" w:type="dxa"/>
            <w:tcBorders/>
            <w:shd w:fill="FFFFFF" w:val="clear"/>
            <w:vAlign w:val="center"/>
          </w:tcPr>
          <w:p>
            <w:pPr>
              <w:pStyle w:val="TableContents"/>
              <w:bidi w:val="0"/>
              <w:spacing w:before="0" w:after="283"/>
              <w:jc w:val="left"/>
              <w:rPr/>
            </w:pPr>
            <w:r>
              <w:rPr/>
              <w:t> </w:t>
            </w:r>
          </w:p>
        </w:tc>
        <w:tc>
          <w:tcPr>
            <w:tcW w:w="8335"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Nine-Months Ended September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6"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165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25,208,436</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339,825</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7,627</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84,740</w:t>
            </w:r>
          </w:p>
        </w:tc>
        <w:tc>
          <w:tcPr>
            <w:tcW w:w="214" w:type="dxa"/>
            <w:tcBorders/>
            <w:shd w:fill="CFF0FC" w:val="clear"/>
            <w:vAlign w:val="center"/>
          </w:tcPr>
          <w:p>
            <w:pPr>
              <w:pStyle w:val="TableContents"/>
              <w:bidi w:val="0"/>
              <w:spacing w:before="0" w:after="283"/>
              <w:jc w:val="left"/>
              <w:rPr/>
            </w:pPr>
            <w:r>
              <w:rPr/>
              <w:t> </w:t>
            </w:r>
          </w:p>
        </w:tc>
      </w:tr>
      <w:tr>
        <w:trPr/>
        <w:tc>
          <w:tcPr>
            <w:tcW w:w="16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(28,316</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w:t>
            </w:r>
          </w:p>
        </w:tc>
        <w:tc>
          <w:tcPr>
            <w:tcW w:w="214" w:type="dxa"/>
            <w:tcBorders/>
            <w:shd w:fill="CFF0FC" w:val="clear"/>
            <w:vAlign w:val="center"/>
          </w:tcPr>
          <w:p>
            <w:pPr>
              <w:pStyle w:val="TableContents"/>
              <w:bidi w:val="0"/>
              <w:spacing w:before="0" w:after="283"/>
              <w:jc w:val="left"/>
              <w:rPr/>
            </w:pPr>
            <w:r>
              <w:rPr/>
              <w:t> </w:t>
            </w:r>
          </w:p>
        </w:tc>
      </w:tr>
      <w:tr>
        <w:trPr/>
        <w:tc>
          <w:tcPr>
            <w:tcW w:w="16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163,750</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6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214" w:type="dxa"/>
            <w:tcBorders/>
            <w:shd w:fill="FFFFFF" w:val="clear"/>
            <w:vAlign w:val="center"/>
          </w:tcPr>
          <w:p>
            <w:pPr>
              <w:pStyle w:val="TableContents"/>
              <w:bidi w:val="0"/>
              <w:spacing w:before="0" w:after="283"/>
              <w:jc w:val="left"/>
              <w:rPr/>
            </w:pPr>
            <w:r>
              <w:rPr/>
              <w:t> </w:t>
            </w:r>
          </w:p>
        </w:tc>
      </w:tr>
      <w:tr>
        <w:trPr/>
        <w:tc>
          <w:tcPr>
            <w:tcW w:w="16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128,172</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CFF0FC" w:val="clear"/>
            <w:vAlign w:val="center"/>
          </w:tcPr>
          <w:p>
            <w:pPr>
              <w:pStyle w:val="TableContents"/>
              <w:bidi w:val="0"/>
              <w:spacing w:before="0" w:after="283"/>
              <w:jc w:val="left"/>
              <w:rPr/>
            </w:pPr>
            <w:r>
              <w:rPr/>
              <w:t> </w:t>
            </w:r>
          </w:p>
        </w:tc>
      </w:tr>
      <w:tr>
        <w:trPr/>
        <w:tc>
          <w:tcPr>
            <w:tcW w:w="16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50,336</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FFFFFF" w:val="clear"/>
            <w:vAlign w:val="center"/>
          </w:tcPr>
          <w:p>
            <w:pPr>
              <w:pStyle w:val="TableContents"/>
              <w:bidi w:val="0"/>
              <w:spacing w:before="0" w:after="283"/>
              <w:jc w:val="left"/>
              <w:rPr/>
            </w:pPr>
            <w:r>
              <w:rPr/>
              <w:t> </w:t>
            </w:r>
          </w:p>
        </w:tc>
      </w:tr>
      <w:tr>
        <w:trPr/>
        <w:tc>
          <w:tcPr>
            <w:tcW w:w="16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214" w:type="dxa"/>
            <w:tcBorders/>
            <w:shd w:fill="CFF0FC" w:val="clear"/>
            <w:vAlign w:val="center"/>
          </w:tcPr>
          <w:p>
            <w:pPr>
              <w:pStyle w:val="TableContents"/>
              <w:bidi w:val="0"/>
              <w:spacing w:before="0" w:after="283"/>
              <w:jc w:val="left"/>
              <w:rPr/>
            </w:pPr>
            <w:r>
              <w:rPr/>
              <w:t> </w:t>
            </w:r>
          </w:p>
        </w:tc>
      </w:tr>
      <w:tr>
        <w:trPr/>
        <w:tc>
          <w:tcPr>
            <w:tcW w:w="16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25,550,694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62,978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bookmarkStart w:id="9" w:name="consolidated_statements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9500" w:type="dxa"/>
        <w:jc w:val="left"/>
        <w:tblInd w:w="0" w:type="dxa"/>
        <w:tblLayout w:type="fixed"/>
        <w:tblCellMar>
          <w:top w:w="28" w:type="dxa"/>
          <w:left w:w="28" w:type="dxa"/>
          <w:bottom w:w="28" w:type="dxa"/>
          <w:right w:w="28" w:type="dxa"/>
        </w:tblCellMar>
      </w:tblPr>
      <w:tblGrid>
        <w:gridCol w:w="5221"/>
        <w:gridCol w:w="146"/>
        <w:gridCol w:w="365"/>
        <w:gridCol w:w="1240"/>
        <w:gridCol w:w="166"/>
        <w:gridCol w:w="146"/>
        <w:gridCol w:w="365"/>
        <w:gridCol w:w="1240"/>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(28,316</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long-term debt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fixed asset disposal</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Investment losses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patent disposal</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Remeasurement and foreign currency transaction gain/(loss)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BARDA deferred costs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cost amortization</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Trade and other receivables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BARDA receivables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CFF0FC" w:val="clear"/>
            <w:vAlign w:val="center"/>
          </w:tcPr>
          <w:p>
            <w:pPr>
              <w:pStyle w:val="TableContents"/>
              <w:bidi w:val="0"/>
              <w:spacing w:before="0" w:after="283"/>
              <w:jc w:val="left"/>
              <w:rPr/>
            </w:pPr>
            <w:r>
              <w:rPr/>
              <w:t> </w:t>
            </w:r>
          </w:p>
        </w:tc>
        <w:tc>
          <w:tcPr>
            <w:tcW w:w="3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(27,148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 of marketable securities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Patent filing fees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58,911</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financing activities: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Employee stock purchase plan (“ESPP”) purchases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on cash and cash equivalents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the period</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the period</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50,854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paid during the period</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during the period</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Plant and equipment purchases not yet paid</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Right-of-use-asset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(collectively with its subsidiaries, “AVITA Medical”, “we”, “our”, “us”, or the “Company”) is a commercial-stage regenerative medicine company transforming the standard of care in wound management and skin restoration with innovative devices. At the forefront of the Company's portfolio is its patented and proprietary RECELL</w:t>
      </w:r>
      <w:r>
        <w:rPr>
          <w:rFonts w:ascii="Times New Roman" w:hAnsi="Times New Roman"/>
          <w:color w:val="000000"/>
          <w:sz w:val="13"/>
        </w:rPr>
        <w:t>®</w:t>
      </w:r>
      <w:r>
        <w:rPr>
          <w:rFonts w:ascii="Times New Roman" w:hAnsi="Times New Roman"/>
          <w:color w:val="000000"/>
          <w:sz w:val="20"/>
        </w:rPr>
        <w:t xml:space="preserve"> technology (“RECELL”).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 of care. This breakthrough technology serves as the catalyst for a new treatment paradigm enabling improved clinical outcomes. The Company also holds the right to market, sell, and distribute PermeaDerm</w:t>
      </w:r>
      <w:r>
        <w:rPr>
          <w:rFonts w:ascii="Times New Roman" w:hAnsi="Times New Roman"/>
          <w:color w:val="000000"/>
          <w:sz w:val="13"/>
        </w:rPr>
        <w:t>®</w:t>
      </w:r>
      <w:r>
        <w:rPr>
          <w:rFonts w:ascii="Times New Roman" w:hAnsi="Times New Roman"/>
          <w:color w:val="000000"/>
          <w:sz w:val="20"/>
        </w:rPr>
        <w:t>, a biosynthetic wound matrix, in the United States under the terms of an exclusive multi-year distribution agreement with Stedical Scientific, Inc. (“Stedical”). The Company also entered into an exclusive multi-year development and distribution agreement with Regenity Biosciences (“Regenity”). Following 510(k) approval, Regenity will manufacture and supply Cohealyx</w:t>
      </w:r>
      <w:r>
        <w:rPr>
          <w:rFonts w:ascii="Times New Roman" w:hAnsi="Times New Roman"/>
          <w:color w:val="000000"/>
          <w:sz w:val="13"/>
        </w:rPr>
        <w:t></w:t>
      </w:r>
      <w:r>
        <w:rPr>
          <w:rFonts w:ascii="Times New Roman" w:hAnsi="Times New Roman"/>
          <w:color w:val="000000"/>
          <w:sz w:val="20"/>
        </w:rPr>
        <w:t xml:space="preserve">, an AVITA-medical branded collagen-based dermal matrix. Under the agreement, the Company will hold the exclusive rights to market, sell, and distribute Cohealyx in the U.S., with potential expansion into the European Union, as well as in Australia and Japan.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U.S. Food and Drug Administration (the “FDA”) for the treatment of thermal burn wounds and full-thickness skin defects, and repigmentation of stable depigmented vitiligo lesions. The Company's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streamline the preparation of Spray-On Skin Cells and improves workflow efficiency in the operating room. It consists of two components: a multi-use, AC-powered RECELL GO Processing Device (the “RPD”) and a RECELL GO Preparation Kit (the “RPK”). The RPK contains the single-use RECELL GO Cartridge, disaggregation head, RECELL Enzyme</w:t>
      </w:r>
      <w:r>
        <w:rPr>
          <w:rFonts w:ascii="Times New Roman" w:hAnsi="Times New Roman"/>
          <w:color w:val="000000"/>
          <w:sz w:val="13"/>
        </w:rPr>
        <w:t></w:t>
      </w:r>
      <w:r>
        <w:rPr>
          <w:rFonts w:ascii="Times New Roman" w:hAnsi="Times New Roman"/>
          <w:color w:val="000000"/>
          <w:sz w:val="20"/>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2023 filed with the SEC on February 22, 2024 and the Australian Securities Exchange (“ASX”) on February 23, 2024 (the “2023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Except for revenue recognition, related to the RECELL GO system, as described below, there have been no changes to the Company’s significant accounting policies as described in the 2023 Annual Report that have had a material impact on the Company’s Consolidated Financial Statements. See the summary of the Company’s significant accounting policies set forth in the notes to its Consolidated Financial Statements included in the 2023 Annual Report.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2023, the Financial Accounting Standards Board (the “FASB”) issued ASU 2023-07, S</w:t>
      </w:r>
      <w:r>
        <w:rPr>
          <w:rFonts w:ascii="Times New Roman" w:hAnsi="Times New Roman"/>
          <w:i/>
          <w:color w:val="000000"/>
          <w:sz w:val="20"/>
        </w:rPr>
        <w:t>egment Reporting (Topic 280): Improvements to Reportable Segment Disclosures.</w:t>
      </w:r>
      <w:r>
        <w:rPr>
          <w:rFonts w:ascii="Times New Roman" w:hAnsi="Times New Roman"/>
          <w:color w:val="000000"/>
          <w:sz w:val="20"/>
        </w:rPr>
        <w:t xml:space="preserve"> The ASU expands public entities’ segment disclosures by requiring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GAAP, the disclosure of additional measures of segment profit or loss that are used by the CODM in assessing segment performance and deciding how to allocate resources. All disclosure requirements under ASU 2023-07 are also required for public entities with a single reportable segment. The ASU is effective for fiscal years beginning after December 15, 2023, and interim periods beginning after December 15, 2024, with early adoption permitted.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The amendments affected by this ASU require (i) enhanced disclosures in connection with an entity's effective tax rate reconciliation and (ii) income taxes paid disaggregated by jurisdiction. These amendments are effective for annual periods beginning after December 15, 2024.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the useful lives of long-lived assets, accounting for marketable securities, income taxes, fair value of debt, fair value of warrants and stock-based compensation) and related disclosures. Estimates have been prepared based on the current and available information. However, actual results could differ from estimated amounts.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Translation and Foreign Currency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loss in the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are included in earnings in the Consolidated Statement of Operations. Gains and losses for remeasurement were minimal during the three-months and nine-months ended September 30, 2024 and 2023.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records certain revenues and operating expenses in foreign currencies. These revenues and expenses are translated into U.S. Dollars based on the average exchange rate for the reporting period. Assets and liabilities denominated in foreign currencies are translated into U.S. Dollars at the exchange rate in effect as of the balance sheet date. For the three and nine-months ended September 30, 2024, the Company incurred approximately $11,000 and $23,000 in losses included in Net loss in the Consolidated Statement of Operations, respectively. For the three and nine-months ended September 30, 2023, the Company incurred approximately $26,000 and $23,000 in gains included in Net loss in the Consolidated Statement of Operations,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holds cash at deposit institutions in the amount of $5.3 million and $10.7 million as of September 30, 2024 and December 31, 2023, respectively. The Company does not have cash on deposit denominated in foreign currency in foreign institutions as of September 30, 2024. As of December 31, 2023, the Company had $69,000 of cash on deposit denominated in foreign currencies in foreign institutions. As of September 30, 2024 and December 31, 2023, the Company held cash equivalents in the amounts of $13.3 million and $11.4 million,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Rabbi Trust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April 2022, the Company established a rabbi trust to hold the assets of the NQDC Plan. The rabbi trust holds the COLI asset and the Common stock from deferred restricted stock unit awards that have vested. The NQDC Plan permits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diversification of fully vested shares into other equity securities subject to a six-month-and-one-day holding period. In accordance with ASR 268</w:t>
      </w:r>
      <w:r>
        <w:rPr>
          <w:rFonts w:ascii="Times New Roman" w:hAnsi="Times New Roman"/>
          <w:i/>
          <w:color w:val="000000"/>
          <w:sz w:val="20"/>
        </w:rPr>
        <w:t>, Redeemable Preferred Stock</w:t>
      </w:r>
      <w:r>
        <w:rPr>
          <w:rFonts w:ascii="Times New Roman" w:hAnsi="Times New Roman"/>
          <w:color w:val="000000"/>
          <w:sz w:val="20"/>
        </w:rPr>
        <w:t>, and ASC 718</w:t>
      </w:r>
      <w:r>
        <w:rPr>
          <w:rFonts w:ascii="Times New Roman" w:hAnsi="Times New Roman"/>
          <w:i/>
          <w:color w:val="000000"/>
          <w:sz w:val="20"/>
        </w:rPr>
        <w:t>, Compensation — Stock Compensation</w:t>
      </w:r>
      <w:r>
        <w:rPr>
          <w:rFonts w:ascii="Times New Roman" w:hAnsi="Times New Roman"/>
          <w:color w:val="000000"/>
          <w:sz w:val="20"/>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Common stock held in the rabbi trust is classified in a manner similar to treasury stock and presented separately on the Consolidated Balance Sheets as Company common stock held by the NQDC plan. As of September 30, 2024 and December 31, 2023, a total of 91,026 and 81,052 shares awards have been deferred, respectively. Vested shares are converted to Common stock and are reclassified to permanent equity.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and debt and other liabilities. As of September 30, 2024 and December 31, 2023, substantially all the Company’s cash and cash equivalents were deposited in accounts at financial institutions, and those deposited amounts exceed federally insured limits and are subject to the risk of bank failure.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2024 and December 31, 2023, no single commercial customer accounted for more than 10% of net accounts receivable or more than 10% of revenues for the three-months and nine-months ended September 30, 2024 and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fee received from BARDA to ensure first right of access to our inventory. In the prior year, the Company recorded service revenue for the emergency preparedness services provided to BARDA.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sale of the RECELL EOU and PermeaDerm products are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(“ASC 606”). Revenue for the RECELL GO system is disaggregated between two accounting standards: (1) ASC 606 for the RPK and (2) ASC 842, </w:t>
      </w:r>
      <w:r>
        <w:rPr>
          <w:rFonts w:ascii="Times New Roman" w:hAnsi="Times New Roman"/>
          <w:i/>
          <w:color w:val="000000"/>
          <w:sz w:val="20"/>
        </w:rPr>
        <w:t xml:space="preserve">Leases </w:t>
      </w:r>
      <w:r>
        <w:rPr>
          <w:rFonts w:ascii="Times New Roman" w:hAnsi="Times New Roman"/>
          <w:color w:val="000000"/>
          <w:sz w:val="20"/>
        </w:rPr>
        <w:t>(“ASC 842”) for the RPD. Revenues from BARDA are accounted for under ASC 606, and are included in Sales revenues within the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determine revenue recognition for contracts that are within the scope of ASC 606, the Company performs the following five steps: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Allocate the transaction price to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Recognize revenue when/as a performance obligation(s) is(are) satisfied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the Company must develop judgmental assumptions to determine the estimated SSP for each performance obligation identified in the contract. We utilize the observable SSP when available, which represents the price charged for the promised product or service when sold separately. When the SSP for our products or services are not directly observable, we determine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 </w:t>
      </w:r>
    </w:p>
    <w:p>
      <w:pPr>
        <w:pStyle w:val="TextBody"/>
        <w:bidi w:val="0"/>
        <w:jc w:val="left"/>
        <w:rPr>
          <w:rFonts w:ascii="Times New Roman" w:hAnsi="Times New Roman"/>
          <w:color w:val="000000"/>
          <w:sz w:val="20"/>
        </w:rPr>
      </w:pPr>
      <w:r>
        <w:rPr>
          <w:rFonts w:ascii="Times New Roman" w:hAnsi="Times New Roman"/>
          <w:color w:val="000000"/>
          <w:sz w:val="20"/>
        </w:rPr>
        <w:t>Most of the Company’s contracts have a single performance obligation. As such, 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ASC 606 and ASC 842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contracts with customers where it receives consideration for the RPK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these contracts the Company considers the guidance under ASC 842 to determine if furnishing the RPD to the customer during the period of use establishes an embedded lease. To determine if the contract contains a lease, the Company evaluates the customer’s rights and ability to control the use of the underlying equipment throughout the contract term, including any equipment substitution rights retained by the Company. As the contract conveys the right to control the use of an identified asset for a period of time, the contract was determined to contain a lease. The Company then evaluated the lease classification based on the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ASC 842-30, the Company will classify a lease as a sales-type lease if: (i) the lease transfers ownership of the underlying asset to the lessee by the end of the lease term, (ii) the lease grants the lessee an option to purchase the underlying asset that the lessee is reasonably certain to exercise, (iii) the lease term is for the major part of the remaining economic life of the underlying asset, (iv) the present value of the sum of the lease payments and any residual value guaranteed by the lessee that is not already reflected in the lease payments equals or exceeds substantially all (90% or more) of the fair value of the underlying asset, or (v) the underlying asset is of such a specialized nature that it is expected to have no alternative use to the lessor at the end of the lease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ASC 842-30, when none of the sales-type lease classification criteria are met, a lessor would classify the lease as a direct financing lease when both of the following criteria are met: (i) the present value of the sum of the lease payments and any residual value guaranteed by the lessee that is not already reflected in the lease payments and/or any other third party unrelated to the lessor equals or exceeds substantially all (90% or more) of the fair value of the underlying asset and (ii) it is probable that the lessor will collect the lease payments plus any amount necessary to satisfy a residual value guarantee.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Pursuant to ASC 842-30, a lessor would classify a lease as an operating lease when none of the sales-type or direct financing lease classification criteria are met. Further, per </w:t>
      </w:r>
      <w:r>
        <w:rPr>
          <w:rFonts w:ascii="Times New Roman" w:hAnsi="Times New Roman"/>
          <w:color w:val="211D1E"/>
          <w:sz w:val="20"/>
        </w:rPr>
        <w:t xml:space="preserve">ASC 842, </w:t>
      </w:r>
      <w:r>
        <w:rPr>
          <w:rFonts w:ascii="Times New Roman" w:hAnsi="Times New Roman"/>
          <w:color w:val="000000"/>
          <w:sz w:val="20"/>
        </w:rPr>
        <w:t xml:space="preserve">a lessor is required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loss at the lease commencement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determining whether the lease components are related to a sales-type lease or an operating lease, the Company evaluates if the lease transfers ownership at the end of the lease term, purchase options, the lease term in relation to the economic life of the asset, if the lease payments exceed the fair value of the asset, and if the asset is of a specialized nature. The Company also evaluates if the lease results in a loss at the lease commencement date. As </w:t>
      </w:r>
      <w:r>
        <w:rPr>
          <w:rFonts w:ascii="Times New Roman" w:hAnsi="Times New Roman"/>
          <w:color w:val="211D1E"/>
          <w:sz w:val="20"/>
        </w:rPr>
        <w:t>the lease term is for the major part of the economic life, the lease meets the classification criteria for sales-type lease. However, t</w:t>
      </w:r>
      <w:r>
        <w:rPr>
          <w:rFonts w:ascii="Times New Roman" w:hAnsi="Times New Roman"/>
          <w:color w:val="000000"/>
          <w:sz w:val="20"/>
        </w:rPr>
        <w:t xml:space="preserve">o determine if the contract results in a loss at the lease commencement date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Company evaluated the consideration in the contract. </w:t>
      </w:r>
      <w:r>
        <w:rPr>
          <w:rFonts w:ascii="Times New Roman" w:hAnsi="Times New Roman"/>
          <w:color w:val="211D1E"/>
          <w:sz w:val="20"/>
        </w:rPr>
        <w:t>The consideration at lease commencement does not contain fixed payments, purchase options, penalty payments or residual value guarantees. The variable consideration is related to the sale of the RPK. As the</w:t>
      </w:r>
      <w:r>
        <w:rPr>
          <w:rFonts w:ascii="Times New Roman" w:hAnsi="Times New Roman"/>
          <w:color w:val="000000"/>
          <w:sz w:val="20"/>
        </w:rPr>
        <w:t xml:space="preserve"> variable lease payments are not dependent on an index or rate, the variable consideration is excluded from consideration at contract inception resulting in a loss at lease commencement. As such, the Company classifies the lease as an operating lease.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 lease component, the RPD, and a non-lease component, the RPK. The lease component will be accounted for under the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 occurs and control has transferred to the customer. Consideration will be allocated to the RPD and RPK based on the SSP. Consideration related to the RPD will be recognized as Lease revenue and consideration related to the RPK will be recognized as Sales revenues in accordance with guidance in ASC 606, as described above, upon transfer of control of the RPK, which generally occurs at the time the product is shipped or delivered depending on the customer's shipping terms.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our lease program are reported in Plant and equipment, net on our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 units sold. Based on customer usage, each purchase of an RPK unit results in a 1/200 depreciation to the RPD.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amortized cost and estimated fair values of securities available-for-sale:</w:t>
      </w:r>
    </w:p>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354"/>
        <w:gridCol w:w="532"/>
        <w:gridCol w:w="146"/>
        <w:gridCol w:w="146"/>
        <w:gridCol w:w="495"/>
        <w:gridCol w:w="391"/>
        <w:gridCol w:w="146"/>
        <w:gridCol w:w="146"/>
        <w:gridCol w:w="211"/>
        <w:gridCol w:w="67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3106"/>
        <w:gridCol w:w="146"/>
        <w:gridCol w:w="211"/>
        <w:gridCol w:w="676"/>
        <w:gridCol w:w="146"/>
        <w:gridCol w:w="146"/>
        <w:gridCol w:w="295"/>
        <w:gridCol w:w="591"/>
        <w:gridCol w:w="146"/>
        <w:gridCol w:w="146"/>
        <w:gridCol w:w="387"/>
        <w:gridCol w:w="499"/>
        <w:gridCol w:w="166"/>
        <w:gridCol w:w="146"/>
        <w:gridCol w:w="211"/>
        <w:gridCol w:w="67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65,242</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maturities of our available-for-sale securities are summarized in the following table using contractual maturities. Actual maturities may differ from contractual maturities due to obligations that are called or prepaid. </w:t>
      </w:r>
    </w:p>
    <w:p>
      <w:pPr>
        <w:pStyle w:val="TextBody"/>
        <w:bidi w:val="0"/>
        <w:spacing w:before="40" w:after="283"/>
        <w:jc w:val="left"/>
        <w:rPr/>
      </w:pPr>
      <w:r>
        <w:rPr/>
        <w:t> </w:t>
      </w:r>
    </w:p>
    <w:tbl>
      <w:tblPr>
        <w:tblW w:w="6712"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11"/>
        <w:gridCol w:w="676"/>
        <w:gridCol w:w="146"/>
        <w:gridCol w:w="146"/>
        <w:gridCol w:w="211"/>
        <w:gridCol w:w="676"/>
        <w:gridCol w:w="146"/>
        <w:gridCol w:w="146"/>
        <w:gridCol w:w="211"/>
        <w:gridCol w:w="6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income, net, in the accompanying Consolidated Statements of Operations. The Company had net unrealized gains of $34,000 and $95,000 as of September 30, 2024 and December 31, 2023, respectively. The Company did not have sales of investments during the three-months and nine-months ended September 30, 2024 and 2023 that resulted in realized gains or losses. As of September 30, 2024, and December 31, 2023, the Company did not recognize credit losses. The Company has accrued interest income receivable of $154,000 and $227,000 as of September 30, 2024, and December 31, 2023, respectively, in Prepaids and other current assets in the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xml:space="preserve">,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438" w:type="dxa"/>
        <w:jc w:val="left"/>
        <w:tblInd w:w="0" w:type="dxa"/>
        <w:tblLayout w:type="fixed"/>
        <w:tblCellMar>
          <w:top w:w="28" w:type="dxa"/>
          <w:left w:w="28" w:type="dxa"/>
          <w:bottom w:w="28" w:type="dxa"/>
          <w:right w:w="28" w:type="dxa"/>
        </w:tblCellMar>
      </w:tblPr>
      <w:tblGrid>
        <w:gridCol w:w="4261"/>
        <w:gridCol w:w="211"/>
        <w:gridCol w:w="676"/>
        <w:gridCol w:w="146"/>
        <w:gridCol w:w="211"/>
        <w:gridCol w:w="676"/>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39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42,547</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49,918</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4261"/>
        <w:gridCol w:w="211"/>
        <w:gridCol w:w="571"/>
        <w:gridCol w:w="146"/>
        <w:gridCol w:w="211"/>
        <w:gridCol w:w="676"/>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388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65,242</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46,801</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our Level 3 financial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2"/>
        <w:gridCol w:w="328"/>
        <w:gridCol w:w="1049"/>
        <w:gridCol w:w="175"/>
        <w:gridCol w:w="404"/>
        <w:gridCol w:w="1086"/>
        <w:gridCol w:w="166"/>
        <w:gridCol w:w="328"/>
        <w:gridCol w:w="1049"/>
        <w:gridCol w:w="172"/>
        <w:gridCol w:w="404"/>
        <w:gridCol w:w="1086"/>
        <w:gridCol w:w="196"/>
      </w:tblGrid>
      <w:tr>
        <w:trPr/>
        <w:tc>
          <w:tcPr>
            <w:tcW w:w="376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762" w:type="dxa"/>
            <w:tcBorders/>
            <w:shd w:fill="FFFFFF" w:val="clear"/>
            <w:vAlign w:val="center"/>
          </w:tcPr>
          <w:p>
            <w:pPr>
              <w:pStyle w:val="TableContents"/>
              <w:bidi w:val="0"/>
              <w:spacing w:before="0" w:after="283"/>
              <w:jc w:val="left"/>
              <w:rPr/>
            </w:pPr>
            <w:r>
              <w:rPr/>
              <w:t> </w:t>
            </w:r>
          </w:p>
        </w:tc>
        <w:tc>
          <w:tcPr>
            <w:tcW w:w="30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Long-term debt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Long-term debt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75"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2"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r>
      <w:tr>
        <w:trPr/>
        <w:tc>
          <w:tcPr>
            <w:tcW w:w="3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on issuance date</w:t>
            </w:r>
          </w:p>
        </w:tc>
        <w:tc>
          <w:tcPr>
            <w:tcW w:w="1377" w:type="dxa"/>
            <w:gridSpan w:val="2"/>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37,575</w:t>
            </w:r>
          </w:p>
        </w:tc>
        <w:tc>
          <w:tcPr>
            <w:tcW w:w="172"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96" w:type="dxa"/>
            <w:tcBorders/>
            <w:shd w:fill="FFFFFF" w:val="clear"/>
            <w:vAlign w:val="center"/>
          </w:tcPr>
          <w:p>
            <w:pPr>
              <w:pStyle w:val="TableContents"/>
              <w:bidi w:val="0"/>
              <w:spacing w:before="0" w:after="283"/>
              <w:jc w:val="left"/>
              <w:rPr/>
            </w:pPr>
            <w:r>
              <w:rPr/>
              <w:t> </w:t>
            </w:r>
          </w:p>
        </w:tc>
      </w:tr>
      <w:tr>
        <w:trPr/>
        <w:tc>
          <w:tcPr>
            <w:tcW w:w="3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earnings</w:t>
            </w:r>
          </w:p>
        </w:tc>
        <w:tc>
          <w:tcPr>
            <w:tcW w:w="328"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75"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72"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96" w:type="dxa"/>
            <w:tcBorders/>
            <w:shd w:fill="CFF0FC" w:val="clear"/>
            <w:vAlign w:val="center"/>
          </w:tcPr>
          <w:p>
            <w:pPr>
              <w:pStyle w:val="TableContents"/>
              <w:bidi w:val="0"/>
              <w:spacing w:before="0" w:after="283"/>
              <w:jc w:val="left"/>
              <w:rPr/>
            </w:pPr>
            <w:r>
              <w:rPr/>
              <w:t> </w:t>
            </w:r>
          </w:p>
        </w:tc>
      </w:tr>
      <w:tr>
        <w:trPr/>
        <w:tc>
          <w:tcPr>
            <w:tcW w:w="3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other comprehensive loss</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 at fair value</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1 assets include money market instruments and are valued based upon observable market prices. Level 2 assets consist of U.S Treasury securities and U.S. Government Agency obligations.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selected by the participants and it is recorded as Level 2. There were no transfers between fair value measurement levels during the periods ended September 30, 2024 and December 31, 2023.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rFonts w:ascii="Times New Roman" w:hAnsi="Times New Roman"/>
          <w:color w:val="000000"/>
          <w:sz w:val="20"/>
        </w:rPr>
      </w:pPr>
      <w:r>
        <w:rPr>
          <w:rFonts w:ascii="Times New Roman" w:hAnsi="Times New Roman"/>
          <w:color w:val="000000"/>
          <w:sz w:val="20"/>
        </w:rPr>
        <w:t>The fair value of the debt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debt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debt valuation.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debt is subject to net revenue requirements, the valuation of the debt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or the TTM revenues are equal to or higher than the targeted revenues per the Credit Agreement, as discussed in Note 6 of our Consolidated Financial Statements. MCS performs 100,000 iterations of various simulated revenues to determine the fair value of the debt. </w:t>
      </w:r>
    </w:p>
    <w:p>
      <w:pPr>
        <w:pStyle w:val="TextBody"/>
        <w:bidi w:val="0"/>
        <w:jc w:val="left"/>
        <w:rPr>
          <w:rFonts w:ascii="Times New Roman" w:hAnsi="Times New Roman"/>
          <w:color w:val="000000"/>
          <w:sz w:val="20"/>
        </w:rPr>
      </w:pPr>
      <w:r>
        <w:rPr>
          <w:rFonts w:ascii="Times New Roman" w:hAnsi="Times New Roman"/>
          <w:color w:val="000000"/>
          <w:sz w:val="20"/>
        </w:rPr>
        <w:t>The below assumptions were used in the MCS:</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936"/>
        <w:gridCol w:w="359"/>
        <w:gridCol w:w="1411"/>
        <w:gridCol w:w="271"/>
        <w:gridCol w:w="350"/>
        <w:gridCol w:w="1375"/>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59"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volatility</w:t>
            </w:r>
          </w:p>
        </w:tc>
        <w:tc>
          <w:tcPr>
            <w:tcW w:w="35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discount rate</w:t>
            </w:r>
          </w:p>
        </w:tc>
        <w:tc>
          <w:tcPr>
            <w:tcW w:w="359"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i/>
          <w:color w:val="000000"/>
          <w:sz w:val="20"/>
        </w:rPr>
        <w:t>Warrant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fair value of the warrant liability is recognized in connection with the Credit Agreement. The fair value of the warrant liability was determined based on significant inputs not observable in the market, which represents a Level 3 measurement within the fair value hierarchy. The fair value of the warrant liability, which is reported within Warrant liability on the Consolidated Balance Sheets, is estimated by the Company based on the Black-Scholes option pricing model with the following key inputs:</w:t>
      </w:r>
    </w:p>
    <w:p>
      <w:pPr>
        <w:pStyle w:val="TextBody"/>
        <w:bidi w:val="0"/>
        <w:jc w:val="left"/>
        <w:rPr/>
      </w:pPr>
      <w:r>
        <w:rPr/>
        <w:t> </w:t>
      </w:r>
    </w:p>
    <w:tbl>
      <w:tblPr>
        <w:tblW w:w="6048" w:type="dxa"/>
        <w:jc w:val="left"/>
        <w:tblInd w:w="0" w:type="dxa"/>
        <w:tblLayout w:type="fixed"/>
        <w:tblCellMar>
          <w:top w:w="28" w:type="dxa"/>
          <w:left w:w="28" w:type="dxa"/>
          <w:bottom w:w="28" w:type="dxa"/>
          <w:right w:w="28" w:type="dxa"/>
        </w:tblCellMar>
      </w:tblPr>
      <w:tblGrid>
        <w:gridCol w:w="1966"/>
        <w:gridCol w:w="374"/>
        <w:gridCol w:w="1396"/>
        <w:gridCol w:w="271"/>
        <w:gridCol w:w="367"/>
        <w:gridCol w:w="1358"/>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71"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316" w:type="dxa"/>
            <w:tcBorders/>
            <w:shd w:fill="CFF0FC" w:val="clear"/>
            <w:vAlign w:val="center"/>
          </w:tcPr>
          <w:p>
            <w:pPr>
              <w:pStyle w:val="TableContents"/>
              <w:bidi w:val="0"/>
              <w:spacing w:before="0" w:after="283"/>
              <w:jc w:val="left"/>
              <w:rPr/>
            </w:pPr>
            <w:r>
              <w:rPr/>
              <w:t> </w:t>
            </w:r>
          </w:p>
        </w:tc>
      </w:tr>
      <w:tr>
        <w:trPr/>
        <w:tc>
          <w:tcPr>
            <w:tcW w:w="1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77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 years</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 years</w:t>
            </w:r>
          </w:p>
        </w:tc>
        <w:tc>
          <w:tcPr>
            <w:tcW w:w="316" w:type="dxa"/>
            <w:tcBorders/>
            <w:shd w:fill="FFFFFF" w:val="clear"/>
            <w:vAlign w:val="center"/>
          </w:tcPr>
          <w:p>
            <w:pPr>
              <w:pStyle w:val="TableContents"/>
              <w:bidi w:val="0"/>
              <w:spacing w:before="0" w:after="283"/>
              <w:jc w:val="right"/>
              <w:rPr/>
            </w:pPr>
            <w:r>
              <w:rPr/>
              <w:t> </w:t>
            </w:r>
          </w:p>
        </w:tc>
      </w:tr>
      <w:tr>
        <w:trPr/>
        <w:tc>
          <w:tcPr>
            <w:tcW w:w="1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74"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vAlign w:val="center"/>
          </w:tcPr>
          <w:p>
            <w:pPr>
              <w:pStyle w:val="TableContents"/>
              <w:bidi w:val="0"/>
              <w:spacing w:before="0" w:after="283"/>
              <w:jc w:val="left"/>
              <w:rPr/>
            </w:pPr>
            <w:r>
              <w:rPr/>
              <w:t> </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10.9847</w:t>
            </w:r>
          </w:p>
        </w:tc>
        <w:tc>
          <w:tcPr>
            <w:tcW w:w="271"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10.9847</w:t>
            </w:r>
          </w:p>
        </w:tc>
        <w:tc>
          <w:tcPr>
            <w:tcW w:w="316" w:type="dxa"/>
            <w:tcBorders/>
            <w:shd w:fill="FFFFFF" w:val="clear"/>
            <w:vAlign w:val="center"/>
          </w:tcPr>
          <w:p>
            <w:pPr>
              <w:pStyle w:val="TableContents"/>
              <w:bidi w:val="0"/>
              <w:spacing w:before="0" w:after="283"/>
              <w:jc w:val="left"/>
              <w:rPr/>
            </w:pPr>
            <w:r>
              <w:rPr/>
              <w:t> </w:t>
            </w:r>
          </w:p>
        </w:tc>
      </w:tr>
      <w:tr>
        <w:trPr/>
        <w:tc>
          <w:tcPr>
            <w:tcW w:w="1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74"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vAlign w:val="center"/>
          </w:tcPr>
          <w:p>
            <w:pPr>
              <w:pStyle w:val="TableContents"/>
              <w:bidi w:val="0"/>
              <w:spacing w:before="0" w:after="283"/>
              <w:jc w:val="left"/>
              <w:rPr/>
            </w:pPr>
            <w:r>
              <w:rPr/>
              <w:t> </w:t>
            </w:r>
          </w:p>
        </w:tc>
        <w:tc>
          <w:tcPr>
            <w:tcW w:w="13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74"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Ease of Use (“EOU”), RECELL GO RPK,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fee received from BARDA in exchange for first right of access to our inventory. In the prior year, the Company recorded service revenues for the emergency preparedness services provided to BARDA.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RECELL GO RPD.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sale of the EOU and PermeaDerm products are accounted for under ASC 606, as discussed in Note 2 of our Consolidated Financial Statements. Revenue for the RECELL GO device is disaggregated between two accounting standards: (1) ASC 606 for the RPK and (2) ASC 842 for the RPD.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RECELL GO</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RECELL GO device consists of a single-use RPK and a durable AC powered device, RPD. The Company enters into contracts with customers where it receives consideration for the single-use RPK and does not receive additional consideration for the RPD. The consideration in the contract is allocated based on the SSP. Upon sale of the RPK the consideration is allocated to the lease and non-lease components. Consideration received for the RPK is recorded in Sales revenues in the Consolidated Statement of Operations and consideration for the lease is recorded in Lease revenue in the Consolidated Statement of Operations. During the three and nine-months ended September 30, 2024, the Company recorded approximately $7.6 million and $8.2 million in Sales revenue related to the RPK and $152,000 and $164,000 in Lease revenue related to the RPD in the Consolidated Statement of Operations, respectively.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Distributor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international markets, the Company exclusively partners with third-party distributors (currently, COSMOTEC in Japan, and PolyMedics Innovation GmbH, in Germany).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Summary of Significant Accounting Policies in our Consolidated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PermeaDerm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provided in the Distribution Agreement with Stedical, the Company’s gross margin from the sale of PermeaDerm is 50% of the average sales price (“ASP”). The Company and Stedical share the gross revenue from the sale of the products evenly at 50% of ASP. The Company recognizes revenue when the customer obtains control of promised goods, in an amount that reflects the consideration to which the Company expects to be entitled in exchange for those goods.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calculated as the dollar value of the remaining performance obligations on executed contracts and primarily relate to COSMOTEC and other customers. The estimated revenue expected to be recognized in the future once the performance obligation is satisfied under the Company’s existing customer agreements is $365,000 and $390,000 as of September 30, 2024 and December 31, 2023, respectively. These amounts are classified between current and long-term in Other current liabilities and Contract liabilities in the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September 30, 2024 and December 31, 2023, the Company does not have any contract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recorded when the Company receives payment prior to satisfying its obligation to transfer goods to a customer. Contract liability balance primarily relates to unsatisfied performance obligation with COSMOTEC of $365,000 and $390,000 as of September 30, 2024 and December 31, 2023, respectively. This balance is classified between current and long-term. As of September 30, 2024 and December 31, 2023, a total of $33,000 and $33,000, respectively, was included in Other current liabilities and $332,000 and $357,000, respectively, in Contract liabilities in the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approximately $8,000 and $25,000 of revenue from COSMOTEC for amounts included in the beginning balance of Contract liabilities for the three-months and nine-months ended September 30, 2024 and 2023,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by customer type and by product. As noted in the segment footnote, the Company’s business consists of one reporting segment. A reconciliation of revenue by geographical region, customer type and product is provided in Note 10 of our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Long-term debt</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0"/>
        </w:rPr>
        <w:t>On October 18, 2023 (the “Closing Date”) the Company entered into a credit agreement, by and between the Company, as borrower, and an affiliate of OrbiMed Advisors, LLC (the “Lender”) as the lender and administrative agent (the “Credit Agreement”). The Credit Agreement provides for a five-year</w:t>
      </w:r>
      <w:r>
        <w:rPr>
          <w:rFonts w:ascii="Times New Roman" w:hAnsi="Times New Roman"/>
          <w:color w:val="000000"/>
          <w:sz w:val="24"/>
        </w:rPr>
        <w:t xml:space="preserve"> </w:t>
      </w:r>
      <w:r>
        <w:rPr>
          <w:rFonts w:ascii="Times New Roman" w:hAnsi="Times New Roman"/>
          <w:color w:val="000000"/>
          <w:sz w:val="20"/>
        </w:rPr>
        <w:t>senior secured credit facility in an aggregate principal amount of up to $90.0</w:t>
      </w:r>
      <w:r>
        <w:rPr>
          <w:rFonts w:ascii="Times New Roman" w:hAnsi="Times New Roman"/>
          <w:color w:val="000000"/>
          <w:sz w:val="24"/>
        </w:rPr>
        <w:t xml:space="preserve"> </w:t>
      </w:r>
      <w:r>
        <w:rPr>
          <w:rFonts w:ascii="Times New Roman" w:hAnsi="Times New Roman"/>
          <w:color w:val="000000"/>
          <w:sz w:val="20"/>
        </w:rPr>
        <w:t>million, of which (i) $40.0</w:t>
      </w:r>
      <w:r>
        <w:rPr>
          <w:rFonts w:ascii="Times New Roman" w:hAnsi="Times New Roman"/>
          <w:color w:val="000000"/>
          <w:sz w:val="24"/>
        </w:rPr>
        <w:t xml:space="preserve"> </w:t>
      </w:r>
      <w:r>
        <w:rPr>
          <w:rFonts w:ascii="Times New Roman" w:hAnsi="Times New Roman"/>
          <w:color w:val="000000"/>
          <w:sz w:val="20"/>
        </w:rPr>
        <w:t>million was made available on the Closing Date (the “Initial Commitment Amount”), (ii) $25.0</w:t>
      </w:r>
      <w:r>
        <w:rPr>
          <w:rFonts w:ascii="Times New Roman" w:hAnsi="Times New Roman"/>
          <w:color w:val="000000"/>
          <w:sz w:val="24"/>
        </w:rPr>
        <w:t xml:space="preserve"> </w:t>
      </w:r>
      <w:r>
        <w:rPr>
          <w:rFonts w:ascii="Times New Roman" w:hAnsi="Times New Roman"/>
          <w:color w:val="000000"/>
          <w:sz w:val="20"/>
        </w:rPr>
        <w:t xml:space="preserve">million is available,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discretion, on or prior to December 31, 2024, subject to certain net revenue requirements, and (iii) $25.0 million is available, at the Company’s discretion, on or prior to June 30, 2025, subject to certain net revenue requirements (the “Loan Facility”). The maturity date of the Credit Agreement is October 18, 2028 (the “Maturity Date”). On the Closing Date, the Company closed on the Initial Commitment Amount, less certain fees and expenses payable to or on behalf of the Lender. The Company received net proceeds of $38.8 million upon closing after deducting the Lender's transaction costs in connection with the Loan Facility. For information regarding an amendment to the Credit Agreement, refer to Note 16 of our Consolidated Financial Statements.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obligations under the Credit Agreement are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the applicable repayment premium and exit fee of 3% on the principal amount of the loans. The repayment premium varies between 0.0% - 3.0%, depending on certain conditions that are defined in the Credit Agreement. The repayment premium incorporates the make-whole amount. The make-whole amount represents the remaining scheduled interest payments on the Loan Facility during the period commencing on the prepayment date through the 24-month anniversary of the Closing Date. The Credit Agreement further states that the Company will be required to repay the principal amount of the Loan Facility if the Company does not achieve certain net revenue thresholds. If, for any quarter until the maturity date, the Company’s net revenue does not equal or exceed the applicable trailing 12-month amount as set forth in the Credit Agreement, then the Company shall repay in equal quarterly installments equal to 5.0% of the outstanding principal amount of the Loan Facility on the date the net revenue amount was not satisfied, together with a repayment premium and exit fee. The Company shall repay amounts outstanding in full immediately upon an acceleration as a result of an event of default as set forth in the Credit Agreement, together with a repayment premium and other fees. As of September 30, 2024, the Company has not made any repayments on the outstanding debt balance.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term of the Credit Agreement, interest payable in cash by the Company shall accrue on any outstanding debt at a rate per annum equal to the greater of (x) the SOFR rate for such period and (y) 4.00% plus, in either case, 8.00%. As of September 30, 2024, the interest rate was 13.20%. During an event of default, any outstanding amount will bear interest at a rate of 4.00% in excess of the otherwise applicable rate of interest. The Company will pay certain fees with respect to the Credit Agreement, including an upfront fee, an unused fee on the undrawn portion of the Loan Facility, an administration fee, a repayment premium and an exit fee, as well as certain other fees and expenses of the Lender. The unused fee accrues at 0.5% of the undrawn balance and it is recorded as an asset in the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As of September 30, 2024, the Company was in compliance with all financial covenants in the Credit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Credit Agreement and the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and the guarantors will be required to maintain at least $10.0 million of unrestricted cash and cash equivalents.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Closing Date, the Company issued to an affiliate of the Lender a warrant (the “Warrant”) to purchase up to 409,661 shares of the Company’s Common Stock, par value $0.0001 per share, at an exercise price of $10.9847 per share, with a term of 10 years from the issuance date. The Warrant contains customary share adjustment provisions, as well as weighted average price protection in certain circumstances.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permitted under ASC 825, </w:t>
      </w:r>
      <w:r>
        <w:rPr>
          <w:rFonts w:ascii="Times New Roman" w:hAnsi="Times New Roman"/>
          <w:i/>
          <w:color w:val="000000"/>
          <w:sz w:val="20"/>
        </w:rPr>
        <w:t>Financial Instruments</w:t>
      </w:r>
      <w:r>
        <w:rPr>
          <w:rFonts w:ascii="Times New Roman" w:hAnsi="Times New Roman"/>
          <w:color w:val="000000"/>
          <w:sz w:val="20"/>
        </w:rPr>
        <w:t xml:space="preserve">, the Company elected the fair value option to record the long-term debt and warrant with changes in fair value recorded in the Consolidated Statements of Operations in Other income, net. Changes related to instrument-specific credit risk are revalued by comparing the amount of the total change in fair value of the long-term debt to the amount of change in fair value that would have occurred if the Company’s credit spread had not changed between the reporting periods, and is recorded in Accumulated other comprehensive loss in the Consolidated Balance Sheet. The difference between the fair value of the long-term debt and the unpaid principal balance of $40.0 million is an additional liability of $2.5 million and reduction to the liability of $188,000 as of September 30, 2024 and December 31, 2023, respectively. For changes in fair value, refer to Note 4 of our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the inventory is as follows (in thousands): </w:t>
      </w:r>
    </w:p>
    <w:p>
      <w:pPr>
        <w:pStyle w:val="TextBody"/>
        <w:bidi w:val="0"/>
        <w:jc w:val="left"/>
        <w:rPr/>
      </w:pPr>
      <w:r>
        <w:rPr/>
        <w:t> </w:t>
      </w:r>
    </w:p>
    <w:tbl>
      <w:tblPr>
        <w:tblW w:w="5258" w:type="dxa"/>
        <w:jc w:val="left"/>
        <w:tblInd w:w="0" w:type="dxa"/>
        <w:tblLayout w:type="fixed"/>
        <w:tblCellMar>
          <w:top w:w="28" w:type="dxa"/>
          <w:left w:w="28" w:type="dxa"/>
          <w:bottom w:w="28" w:type="dxa"/>
          <w:right w:w="28" w:type="dxa"/>
        </w:tblCellMar>
      </w:tblPr>
      <w:tblGrid>
        <w:gridCol w:w="1426"/>
        <w:gridCol w:w="477"/>
        <w:gridCol w:w="1293"/>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left"/>
              <w:rPr/>
            </w:pPr>
            <w:r>
              <w:rPr/>
              <w:t> </w:t>
            </w:r>
          </w:p>
        </w:tc>
        <w:tc>
          <w:tcPr>
            <w:tcW w:w="36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values its inventories to reflect the lower of cost or net realizable value. Charges for estimated excess and obsolescence are recorded in Cost of sales in the Consolidated Statements of Operations and were $173,000 and $81,000 for the three-months ended September 30, 2024 and 2023, respectively, and $408,000 and $149,000 for the nine-months ended September 30, 2024 and 2023, respectively. The inventory balance as of September 30, 2024, includes inventory purchased from Stedical for the sales of PermeaDerm. </w:t>
      </w:r>
    </w:p>
    <w:p>
      <w:pPr>
        <w:pStyle w:val="TextBody"/>
        <w:bidi w:val="0"/>
        <w:spacing w:before="360" w:after="283"/>
        <w:jc w:val="left"/>
        <w:rPr>
          <w:rFonts w:ascii="Times New Roman" w:hAnsi="Times New Roman"/>
          <w:sz w:val="20"/>
        </w:rPr>
      </w:pPr>
      <w:r>
        <w:rPr>
          <w:rFonts w:ascii="Times New Roman" w:hAnsi="Times New Roman"/>
          <w:b/>
          <w:color w:val="000000"/>
          <w:sz w:val="20"/>
        </w:rPr>
        <w:t>8.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intangible assets, net is as follows (in thousands): </w:t>
      </w:r>
    </w:p>
    <w:p>
      <w:pPr>
        <w:pStyle w:val="TextBody"/>
        <w:bidi w:val="0"/>
        <w:jc w:val="left"/>
        <w:rPr/>
      </w:pPr>
      <w:r>
        <w:rPr/>
        <w:t> </w:t>
      </w:r>
    </w:p>
    <w:tbl>
      <w:tblPr>
        <w:tblW w:w="9934" w:type="dxa"/>
        <w:jc w:val="left"/>
        <w:tblInd w:w="0" w:type="dxa"/>
        <w:tblLayout w:type="fixed"/>
        <w:tblCellMar>
          <w:top w:w="28" w:type="dxa"/>
          <w:left w:w="28" w:type="dxa"/>
          <w:bottom w:w="28" w:type="dxa"/>
          <w:right w:w="28" w:type="dxa"/>
        </w:tblCellMar>
      </w:tblPr>
      <w:tblGrid>
        <w:gridCol w:w="1951"/>
        <w:gridCol w:w="510"/>
        <w:gridCol w:w="1110"/>
        <w:gridCol w:w="146"/>
        <w:gridCol w:w="250"/>
        <w:gridCol w:w="501"/>
        <w:gridCol w:w="146"/>
        <w:gridCol w:w="343"/>
        <w:gridCol w:w="783"/>
        <w:gridCol w:w="166"/>
        <w:gridCol w:w="250"/>
        <w:gridCol w:w="501"/>
        <w:gridCol w:w="146"/>
        <w:gridCol w:w="250"/>
        <w:gridCol w:w="501"/>
        <w:gridCol w:w="146"/>
        <w:gridCol w:w="343"/>
        <w:gridCol w:w="783"/>
        <w:gridCol w:w="166"/>
        <w:gridCol w:w="250"/>
        <w:gridCol w:w="50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1" w:type="dxa"/>
            <w:tcBorders/>
            <w:shd w:fill="FFFFFF" w:val="cle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w:t>
            </w:r>
          </w:p>
        </w:tc>
        <w:tc>
          <w:tcPr>
            <w:tcW w:w="51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2</w:t>
            </w:r>
          </w:p>
        </w:tc>
        <w:tc>
          <w:tcPr>
            <w:tcW w:w="51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3</w:t>
            </w:r>
          </w:p>
        </w:tc>
        <w:tc>
          <w:tcPr>
            <w:tcW w:w="51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5</w:t>
            </w:r>
          </w:p>
        </w:tc>
        <w:tc>
          <w:tcPr>
            <w:tcW w:w="51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6</w:t>
            </w:r>
          </w:p>
        </w:tc>
        <w:tc>
          <w:tcPr>
            <w:tcW w:w="51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7</w:t>
            </w:r>
          </w:p>
        </w:tc>
        <w:tc>
          <w:tcPr>
            <w:tcW w:w="51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8</w:t>
            </w:r>
          </w:p>
        </w:tc>
        <w:tc>
          <w:tcPr>
            <w:tcW w:w="51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9</w:t>
            </w:r>
          </w:p>
        </w:tc>
        <w:tc>
          <w:tcPr>
            <w:tcW w:w="51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10</w:t>
            </w:r>
          </w:p>
        </w:tc>
        <w:tc>
          <w:tcPr>
            <w:tcW w:w="51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11</w:t>
            </w:r>
          </w:p>
        </w:tc>
        <w:tc>
          <w:tcPr>
            <w:tcW w:w="51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6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6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three-months ended September 30, 2024 and 2023, the Company did not identify any events or changes in circumstances that indicated that the carrying value of its intangibles may not be recoverable. As such, there was no impairment of intangible assets recognized for the three-months ended September 30, 2024 and 2023. For the nine-months ended September 30, 2024 and 2023, the Company recorded a loss on disposal for patents of approximately $16,000 and $4,000, respectively, in General and administrative expenses in the Consolidated Statement of Operations. Amortization expense of intangibles included in the Consolidated Statements of Operations was $23,000 and $9,000 for the three-months ended September 30, 2024 and 2023, respectively, and $56,000 and $26,000 for the nine-months ended September 30, 2024 and 2023,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the future amortization of amortizable intangible assets held at September 30, 2024 to be as follows (in thousands):</w:t>
      </w:r>
    </w:p>
    <w:p>
      <w:pPr>
        <w:pStyle w:val="TextBody"/>
        <w:bidi w:val="0"/>
        <w:jc w:val="left"/>
        <w:rPr/>
      </w:pPr>
      <w:r>
        <w:rPr/>
        <w:t> </w:t>
      </w:r>
    </w:p>
    <w:tbl>
      <w:tblPr>
        <w:tblW w:w="5059" w:type="dxa"/>
        <w:jc w:val="left"/>
        <w:tblInd w:w="0" w:type="dxa"/>
        <w:tblLayout w:type="fixed"/>
        <w:tblCellMar>
          <w:top w:w="28" w:type="dxa"/>
          <w:left w:w="28" w:type="dxa"/>
          <w:bottom w:w="28" w:type="dxa"/>
          <w:right w:w="28" w:type="dxa"/>
        </w:tblCellMar>
      </w:tblPr>
      <w:tblGrid>
        <w:gridCol w:w="1681"/>
        <w:gridCol w:w="146"/>
        <w:gridCol w:w="146"/>
        <w:gridCol w:w="964"/>
        <w:gridCol w:w="1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left"/>
              <w:rPr/>
            </w:pPr>
            <w:r>
              <w:rPr/>
              <w:t> </w:t>
            </w:r>
          </w:p>
        </w:tc>
        <w:tc>
          <w:tcPr>
            <w:tcW w:w="1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left"/>
              <w:rPr/>
            </w:pPr>
            <w:r>
              <w:rPr/>
              <w:t> </w:t>
            </w:r>
          </w:p>
        </w:tc>
        <w:tc>
          <w:tcPr>
            <w:tcW w:w="1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plant and equipment, net is as follows (in thousands): </w:t>
      </w:r>
    </w:p>
    <w:p>
      <w:pPr>
        <w:pStyle w:val="TextBody"/>
        <w:bidi w:val="0"/>
        <w:jc w:val="left"/>
        <w:rPr/>
      </w:pPr>
      <w:r>
        <w:rPr/>
        <w:t> </w:t>
      </w:r>
    </w:p>
    <w:tbl>
      <w:tblPr>
        <w:tblW w:w="10189" w:type="dxa"/>
        <w:jc w:val="left"/>
        <w:tblInd w:w="0" w:type="dxa"/>
        <w:tblLayout w:type="fixed"/>
        <w:tblCellMar>
          <w:top w:w="28" w:type="dxa"/>
          <w:left w:w="28" w:type="dxa"/>
          <w:bottom w:w="28" w:type="dxa"/>
          <w:right w:w="28" w:type="dxa"/>
        </w:tblCellMar>
      </w:tblPr>
      <w:tblGrid>
        <w:gridCol w:w="4111"/>
        <w:gridCol w:w="2206"/>
        <w:gridCol w:w="443"/>
        <w:gridCol w:w="1327"/>
        <w:gridCol w:w="166"/>
        <w:gridCol w:w="431"/>
        <w:gridCol w:w="1294"/>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2206" w:type="dxa"/>
            <w:tcBorders/>
            <w:shd w:fill="FFFFFF" w:val="clear"/>
            <w:vAlign w:val="center"/>
          </w:tcPr>
          <w:p>
            <w:pPr>
              <w:pStyle w:val="TableContents"/>
              <w:bidi w:val="0"/>
              <w:spacing w:before="0" w:after="283"/>
              <w:jc w:val="left"/>
              <w:rPr/>
            </w:pPr>
            <w:r>
              <w:rPr/>
              <w:t> </w:t>
            </w:r>
          </w:p>
        </w:tc>
        <w:tc>
          <w:tcPr>
            <w:tcW w:w="36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2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4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2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 (“CIP”)</w:t>
            </w:r>
          </w:p>
        </w:tc>
        <w:tc>
          <w:tcPr>
            <w:tcW w:w="2206" w:type="dxa"/>
            <w:tcBorders/>
            <w:shd w:fill="CFF0FC" w:val="clear"/>
            <w:vAlign w:val="center"/>
          </w:tcPr>
          <w:p>
            <w:pPr>
              <w:pStyle w:val="TableContents"/>
              <w:bidi w:val="0"/>
              <w:spacing w:before="0" w:after="283"/>
              <w:jc w:val="center"/>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2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other equipment</w:t>
            </w:r>
          </w:p>
        </w:tc>
        <w:tc>
          <w:tcPr>
            <w:tcW w:w="22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2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life or lease term</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moulds</w:t>
            </w:r>
          </w:p>
        </w:tc>
        <w:tc>
          <w:tcPr>
            <w:tcW w:w="22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 CIP</w:t>
            </w:r>
          </w:p>
        </w:tc>
        <w:tc>
          <w:tcPr>
            <w:tcW w:w="2206" w:type="dxa"/>
            <w:tcBorders/>
            <w:shd w:fill="FFFFFF" w:val="clear"/>
            <w:vAlign w:val="center"/>
          </w:tcPr>
          <w:p>
            <w:pPr>
              <w:pStyle w:val="TableContents"/>
              <w:bidi w:val="0"/>
              <w:spacing w:before="0" w:after="283"/>
              <w:jc w:val="center"/>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w:t>
            </w:r>
          </w:p>
        </w:tc>
        <w:tc>
          <w:tcPr>
            <w:tcW w:w="2206" w:type="dxa"/>
            <w:tcBorders/>
            <w:shd w:fill="CFF0FC" w:val="clear"/>
            <w:vAlign w:val="center"/>
          </w:tcPr>
          <w:p>
            <w:pPr>
              <w:pStyle w:val="TableContents"/>
              <w:bidi w:val="0"/>
              <w:spacing w:before="0" w:after="283"/>
              <w:jc w:val="center"/>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 RPD</w:t>
            </w:r>
          </w:p>
        </w:tc>
        <w:tc>
          <w:tcPr>
            <w:tcW w:w="22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 uses</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206" w:type="dxa"/>
            <w:tcBorders/>
            <w:shd w:fill="CFF0FC" w:val="cle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plant and equipment, net</w:t>
            </w:r>
          </w:p>
        </w:tc>
        <w:tc>
          <w:tcPr>
            <w:tcW w:w="2206" w:type="dxa"/>
            <w:tcBorders/>
            <w:shd w:fill="FFFFFF" w:val="clear"/>
            <w:vAlign w:val="center"/>
          </w:tcPr>
          <w:p>
            <w:pPr>
              <w:pStyle w:val="TableContents"/>
              <w:bidi w:val="0"/>
              <w:spacing w:before="0" w:after="283"/>
              <w:jc w:val="center"/>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Construction in progress consists primarily of leasehold improvements for the renovations to the Ventura production facility, and RECELL GO RPD CIP consists of materials for the manufacture of the RPDs. RPDs have a useful life of 200 uses and are being amortized based on customer usage as determined by orders placed for the sales of RPK units. RECELL GO RPD represents assets available to be leased by customers and are not depreciated until leased.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related to plant and equipment was $288,000 and $156,000 for the three-months ended September 30, 2024 and 2023, respectively, and $661,000 and $419,000 for the nine-months ended September 30, 2024 and 2023, respectively. No impairment was recorded for the three-months ended September 30, 2024. During the nine-months ended September 30, 2024, the Company recorded a loss on disposal of fixed assets for approximately $5,000. During the three-months and nine-months ended September 30, 2023, the Company recorded a loss on disposal of fixed assets for approximately of $80,000 and $83,000, respectively. Amounts are recorded in General and administrative expenses in the Consolidated Statement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Lessor Arrangements</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discussed in Note 5 </w:t>
      </w:r>
      <w:r>
        <w:rPr>
          <w:rFonts w:ascii="Times New Roman" w:hAnsi="Times New Roman"/>
          <w:color w:val="000000"/>
          <w:sz w:val="18"/>
        </w:rPr>
        <w:t>o</w:t>
      </w:r>
      <w:r>
        <w:rPr>
          <w:rFonts w:ascii="Times New Roman" w:hAnsi="Times New Roman"/>
          <w:color w:val="000000"/>
          <w:sz w:val="20"/>
        </w:rPr>
        <w:t>f our Consolidated Financial Statements, the contracts for the RECELL GO device include an operating lease for the customer’s right to use the RPD. The lease arrangement does not contain fixed consideration. Variable lease payments are not included in consideration at lease inception. The variable consideration related to the lease is allocated based on the SSP and is recognized when control of the RPK is transferred to the customer.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Lease revenue as presented in the Consolidated Statement of Operations for the three and nine-months ended September 30,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5948" w:type="dxa"/>
        <w:jc w:val="left"/>
        <w:tblInd w:w="0" w:type="dxa"/>
        <w:tblLayout w:type="fixed"/>
        <w:tblCellMar>
          <w:top w:w="28" w:type="dxa"/>
          <w:left w:w="28" w:type="dxa"/>
          <w:bottom w:w="28" w:type="dxa"/>
          <w:right w:w="28" w:type="dxa"/>
        </w:tblCellMar>
      </w:tblPr>
      <w:tblGrid>
        <w:gridCol w:w="1951"/>
        <w:gridCol w:w="631"/>
        <w:gridCol w:w="1259"/>
        <w:gridCol w:w="146"/>
        <w:gridCol w:w="455"/>
        <w:gridCol w:w="131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89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shd w:fill="FFFFFF" w:val="cle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held for lease and included in Plant and equipment consisted of the following (in thousands):</w:t>
      </w:r>
    </w:p>
    <w:p>
      <w:pPr>
        <w:pStyle w:val="TextBody"/>
        <w:bidi w:val="0"/>
        <w:jc w:val="left"/>
        <w:rPr/>
      </w:pPr>
      <w:r>
        <w:rPr/>
        <w:t> </w:t>
      </w:r>
    </w:p>
    <w:tbl>
      <w:tblPr>
        <w:tblW w:w="4247" w:type="dxa"/>
        <w:jc w:val="left"/>
        <w:tblInd w:w="0" w:type="dxa"/>
        <w:tblLayout w:type="fixed"/>
        <w:tblCellMar>
          <w:top w:w="28" w:type="dxa"/>
          <w:left w:w="28" w:type="dxa"/>
          <w:bottom w:w="28" w:type="dxa"/>
          <w:right w:w="28" w:type="dxa"/>
        </w:tblCellMar>
      </w:tblPr>
      <w:tblGrid>
        <w:gridCol w:w="2266"/>
        <w:gridCol w:w="477"/>
        <w:gridCol w:w="1293"/>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shd w:fill="FFFFFF" w:val="cle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RPD assets</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1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rental RPD assets</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Reporting Segment and Geographic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in one reporting segment. Long-lived assets are primarily located in the United States as of September 30, 2024, and December 31,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by region for the three-months and nine-months ended September 30, 2024 and 2023 were as follows (in thousands): </w:t>
      </w:r>
    </w:p>
    <w:p>
      <w:pPr>
        <w:pStyle w:val="TextBody"/>
        <w:bidi w:val="0"/>
        <w:jc w:val="left"/>
        <w:rPr/>
      </w:pPr>
      <w:r>
        <w:rPr/>
        <w:t> </w:t>
      </w:r>
    </w:p>
    <w:tbl>
      <w:tblPr>
        <w:tblW w:w="9435" w:type="dxa"/>
        <w:jc w:val="left"/>
        <w:tblInd w:w="0" w:type="dxa"/>
        <w:tblLayout w:type="fixed"/>
        <w:tblCellMar>
          <w:top w:w="28" w:type="dxa"/>
          <w:left w:w="28" w:type="dxa"/>
          <w:bottom w:w="28" w:type="dxa"/>
          <w:right w:w="28" w:type="dxa"/>
        </w:tblCellMar>
      </w:tblPr>
      <w:tblGrid>
        <w:gridCol w:w="1726"/>
        <w:gridCol w:w="420"/>
        <w:gridCol w:w="1350"/>
        <w:gridCol w:w="146"/>
        <w:gridCol w:w="420"/>
        <w:gridCol w:w="1350"/>
        <w:gridCol w:w="146"/>
        <w:gridCol w:w="420"/>
        <w:gridCol w:w="1350"/>
        <w:gridCol w:w="146"/>
        <w:gridCol w:w="420"/>
        <w:gridCol w:w="1350"/>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left"/>
              <w:rPr/>
            </w:pPr>
            <w:r>
              <w:rPr/>
              <w:t> </w:t>
            </w:r>
          </w:p>
        </w:tc>
        <w:tc>
          <w:tcPr>
            <w:tcW w:w="36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region:</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19,048</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44,162</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33,379</w:t>
            </w:r>
          </w:p>
        </w:tc>
        <w:tc>
          <w:tcPr>
            <w:tcW w:w="191" w:type="dxa"/>
            <w:tcBorders/>
            <w:shd w:fill="FFFFFF" w:val="cle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91" w:type="dxa"/>
            <w:tcBorders/>
            <w:shd w:fill="CFF0FC"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CFF0FC"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by customer type for the three-months and nine-months ended September 30, 2024 and 2023 were as follows (in thousands):</w:t>
      </w:r>
    </w:p>
    <w:p>
      <w:pPr>
        <w:pStyle w:val="TextBody"/>
        <w:bidi w:val="0"/>
        <w:spacing w:before="4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9"/>
        <w:gridCol w:w="388"/>
        <w:gridCol w:w="1248"/>
        <w:gridCol w:w="146"/>
        <w:gridCol w:w="388"/>
        <w:gridCol w:w="1248"/>
        <w:gridCol w:w="146"/>
        <w:gridCol w:w="388"/>
        <w:gridCol w:w="1248"/>
        <w:gridCol w:w="146"/>
        <w:gridCol w:w="388"/>
        <w:gridCol w:w="1248"/>
        <w:gridCol w:w="194"/>
      </w:tblGrid>
      <w:tr>
        <w:trPr/>
        <w:tc>
          <w:tcPr>
            <w:tcW w:w="30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29" w:type="dxa"/>
            <w:tcBorders/>
            <w:shd w:fill="FFFFFF" w:val="clear"/>
            <w:vAlign w:val="center"/>
          </w:tcPr>
          <w:p>
            <w:pPr>
              <w:pStyle w:val="TableContents"/>
              <w:bidi w:val="0"/>
              <w:spacing w:before="0" w:after="283"/>
              <w:jc w:val="left"/>
              <w:rPr/>
            </w:pPr>
            <w:r>
              <w:rPr/>
              <w:t> </w:t>
            </w:r>
          </w:p>
        </w:tc>
        <w:tc>
          <w:tcPr>
            <w:tcW w:w="3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9" w:type="dxa"/>
            <w:tcBorders/>
            <w:shd w:fill="FFFFFF" w:val="cle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customer type:</w:t>
            </w:r>
          </w:p>
        </w:tc>
        <w:tc>
          <w:tcPr>
            <w:tcW w:w="16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6"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r>
      <w:tr>
        <w:trPr/>
        <w:tc>
          <w:tcPr>
            <w:tcW w:w="30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19,482</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35,673</w:t>
            </w:r>
          </w:p>
        </w:tc>
        <w:tc>
          <w:tcPr>
            <w:tcW w:w="194" w:type="dxa"/>
            <w:tcBorders/>
            <w:shd w:fill="FFFFFF" w:val="clear"/>
            <w:vAlign w:val="center"/>
          </w:tcPr>
          <w:p>
            <w:pPr>
              <w:pStyle w:val="TableContents"/>
              <w:bidi w:val="0"/>
              <w:spacing w:before="0" w:after="283"/>
              <w:jc w:val="left"/>
              <w:rPr/>
            </w:pPr>
            <w:r>
              <w:rPr/>
              <w:t> </w:t>
            </w:r>
          </w:p>
        </w:tc>
      </w:tr>
      <w:tr>
        <w:trPr/>
        <w:tc>
          <w:tcPr>
            <w:tcW w:w="30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commercial revenue recognized</w:t>
            </w:r>
          </w:p>
        </w:tc>
        <w:tc>
          <w:tcPr>
            <w:tcW w:w="388"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4" w:type="dxa"/>
            <w:tcBorders/>
            <w:shd w:fill="CFF0FC" w:val="clear"/>
            <w:vAlign w:val="center"/>
          </w:tcPr>
          <w:p>
            <w:pPr>
              <w:pStyle w:val="TableContents"/>
              <w:bidi w:val="0"/>
              <w:spacing w:before="0" w:after="283"/>
              <w:jc w:val="left"/>
              <w:rPr/>
            </w:pPr>
            <w:r>
              <w:rPr/>
              <w:t> </w:t>
            </w:r>
          </w:p>
        </w:tc>
      </w:tr>
      <w:tr>
        <w:trPr/>
        <w:tc>
          <w:tcPr>
            <w:tcW w:w="30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revenue for right of first access</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Commercial revenue by product for the three-months and nine-months ended September 30, 2024 and 2023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6"/>
        <w:gridCol w:w="408"/>
        <w:gridCol w:w="1313"/>
        <w:gridCol w:w="146"/>
        <w:gridCol w:w="408"/>
        <w:gridCol w:w="1313"/>
        <w:gridCol w:w="146"/>
        <w:gridCol w:w="408"/>
        <w:gridCol w:w="1313"/>
        <w:gridCol w:w="146"/>
        <w:gridCol w:w="408"/>
        <w:gridCol w:w="1313"/>
        <w:gridCol w:w="197"/>
      </w:tblGrid>
      <w:tr>
        <w:trPr/>
        <w:tc>
          <w:tcPr>
            <w:tcW w:w="26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3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revenue by product:</w:t>
            </w:r>
          </w:p>
        </w:tc>
        <w:tc>
          <w:tcPr>
            <w:tcW w:w="1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44,811</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35,673</w:t>
            </w:r>
          </w:p>
        </w:tc>
        <w:tc>
          <w:tcPr>
            <w:tcW w:w="197"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wound care products</w:t>
            </w:r>
          </w:p>
        </w:tc>
        <w:tc>
          <w:tcPr>
            <w:tcW w:w="408"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commercial sales</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sales by customer type for the three-months and nine-months ended September 30, 2024 and 2023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448"/>
        <w:gridCol w:w="1216"/>
        <w:gridCol w:w="158"/>
        <w:gridCol w:w="448"/>
        <w:gridCol w:w="1216"/>
        <w:gridCol w:w="166"/>
        <w:gridCol w:w="448"/>
        <w:gridCol w:w="1216"/>
        <w:gridCol w:w="150"/>
        <w:gridCol w:w="448"/>
        <w:gridCol w:w="1216"/>
        <w:gridCol w:w="220"/>
      </w:tblGrid>
      <w:tr>
        <w:trPr/>
        <w:tc>
          <w:tcPr>
            <w:tcW w:w="285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vAlign w:val="center"/>
          </w:tcPr>
          <w:p>
            <w:pPr>
              <w:pStyle w:val="TableContents"/>
              <w:bidi w:val="0"/>
              <w:spacing w:before="0" w:after="283"/>
              <w:jc w:val="left"/>
              <w:rPr/>
            </w:pPr>
            <w:r>
              <w:rPr/>
              <w:t> </w:t>
            </w:r>
          </w:p>
        </w:tc>
        <w:tc>
          <w:tcPr>
            <w:tcW w:w="34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664" w:type="dxa"/>
            <w:gridSpan w:val="2"/>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6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4" w:type="dxa"/>
            <w:gridSpan w:val="2"/>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664" w:type="dxa"/>
            <w:gridSpan w:val="2"/>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r>
      <w:tr>
        <w:trPr/>
        <w:tc>
          <w:tcPr>
            <w:tcW w:w="28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cost</w:t>
            </w:r>
          </w:p>
        </w:tc>
        <w:tc>
          <w:tcPr>
            <w:tcW w:w="4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58"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66"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50"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220" w:type="dxa"/>
            <w:tcBorders/>
            <w:shd w:fill="CFF0FC"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w:t>
            </w:r>
          </w:p>
        </w:tc>
        <w:tc>
          <w:tcPr>
            <w:tcW w:w="1664" w:type="dxa"/>
            <w:gridSpan w:val="2"/>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right"/>
              <w:rPr/>
            </w:pPr>
            <w:r>
              <w:rPr/>
              <w:t> </w:t>
            </w:r>
          </w:p>
        </w:tc>
        <w:tc>
          <w:tcPr>
            <w:tcW w:w="16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664" w:type="dxa"/>
            <w:gridSpan w:val="2"/>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right"/>
              <w:rPr/>
            </w:pPr>
            <w:r>
              <w:rPr/>
              <w:t> </w:t>
            </w:r>
          </w:p>
        </w:tc>
        <w:tc>
          <w:tcPr>
            <w:tcW w:w="1664" w:type="dxa"/>
            <w:gridSpan w:val="2"/>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r>
      <w:tr>
        <w:trPr/>
        <w:tc>
          <w:tcPr>
            <w:tcW w:w="28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w:t>
            </w:r>
          </w:p>
        </w:tc>
        <w:tc>
          <w:tcPr>
            <w:tcW w:w="448"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Emergency preparedness service cost</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2024 and December 31, 2023, the Company did not have any outstanding or threatened litigation that would have a material impact on the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Minimum Purchase</w:t>
      </w:r>
      <w:r>
        <w:rPr>
          <w:rFonts w:ascii="Times New Roman" w:hAnsi="Times New Roman"/>
          <w:color w:val="000000"/>
          <w:sz w:val="20"/>
        </w:rPr>
        <w:t xml:space="preserve"> </w:t>
      </w:r>
      <w:r>
        <w:rPr>
          <w:rFonts w:ascii="Times New Roman" w:hAnsi="Times New Roman"/>
          <w:b/>
          <w:i/>
          <w:color w:val="000000"/>
          <w:sz w:val="20"/>
        </w:rPr>
        <w:t>Commitments with Stedical</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minimum purchases of PermeaDerm product for the initial term of five years. For 2024, the Company has an obligation to purchase enough products from Stedical to achieve $5.0 million in customer sales of that purchased inventory. As of September 30, 2024, this obligation has already been achieved. For the first three years of the Distribution Agreement, the minimum purchase should increase annually by an amount equal to the percentage growth in the Company's annual U.S.-based revenues excluding PermeaDerm revenue, or a minimum increase of at least 20% over the prior year purchase commitment. After the third year, the minimum purchase obligation shall increase annually by an amount equal to the percentage growth of the Company's annual U.S.-based revenues excluding PermeaDerm sales. The minimum purchase obligation should never decrease from the previous year.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and Distribution Agreement with Regenity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31, 2024, the Company entered into a multi-year exclusive development and distribution agreement with Collagen Matrix, Inc. dba Regenity Biosciences (“Regenity”) to market, sell, and distribute Cohealyx</w:t>
      </w:r>
      <w:r>
        <w:rPr>
          <w:rFonts w:ascii="Times New Roman" w:hAnsi="Times New Roman"/>
          <w:color w:val="000000"/>
          <w:sz w:val="13"/>
        </w:rPr>
        <w:t></w:t>
      </w:r>
      <w:r>
        <w:rPr>
          <w:rFonts w:ascii="Times New Roman" w:hAnsi="Times New Roman"/>
          <w:color w:val="000000"/>
          <w:sz w:val="20"/>
        </w:rPr>
        <w:t>, a unique collagen-based dermal matrix under the Company's private label in the U.S., with the potential to commercialize the product in countries in the European Union, as well as in Japan and Australia. The initial term of the agreement is five years, with an automatic extension of an additional five years, contingent upon meeting certain criteria. Under the terms of the agreement, the Company will make a $2.0 million payment upon receipt of 510(k) clearance by Regenity. The Company has a further obligation to make up to an additional $3.0 million payment on or before January 4, 2026 to guarantee development and manufacturing capacity (and related resources), contingent on positive results of certain clinical studies related to the new dermal matrix. These obligations are not recorded in the Company's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CHESS Depositary Interests (“CDIs”) are quoted on the ASX under the ticker code, “AVH.” The Company’s shares of Common stock are quoted on the Nasdaq Capital Market (“Nasdaq”) under the ticker code, “RCEL”. One share of Common Stock on Nasdaq is equivalent to five CDIs on the ASX.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Common stock held in the rabbi trust is classified in a manner similar to treasury stock and presented separately on the Consolidated Balance Sheets as Common stock held by the NQDC Plan. As of September 30, 2024, and December 31, 2023, 26,217,629 and 25,682,078 shares of Common stock, respectively, were issued and outstanding and no shares of Preferred stock were outstanding during any period.</w:t>
      </w:r>
    </w:p>
    <w:p>
      <w:pPr>
        <w:pStyle w:val="TextBody"/>
        <w:bidi w:val="0"/>
        <w:spacing w:before="360" w:after="283"/>
        <w:jc w:val="left"/>
        <w:rPr>
          <w:rFonts w:ascii="Times New Roman" w:hAnsi="Times New Roman"/>
          <w:sz w:val="20"/>
        </w:rPr>
      </w:pPr>
      <w:r>
        <w:rPr>
          <w:rFonts w:ascii="Times New Roman" w:hAnsi="Times New Roman"/>
          <w:b/>
          <w:color w:val="000000"/>
          <w:sz w:val="20"/>
        </w:rPr>
        <w:t>13. Stock-Based Payment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Stock-Based Payment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hAnsi="Times New Roman"/>
          <w:i/>
          <w:color w:val="000000"/>
          <w:sz w:val="20"/>
        </w:rPr>
        <w:t>, Simplifying the Accounting for Share-Based Payment.</w:t>
      </w:r>
      <w:r>
        <w:rPr>
          <w:rFonts w:ascii="Times New Roman" w:hAnsi="Times New Roman"/>
          <w:color w:val="000000"/>
          <w:sz w:val="20"/>
        </w:rPr>
        <w:t xml:space="preserve"> No income tax benefit was recognized in the Consolidated Statements of Operations for stock-based payment arrangements for the three-months and nine-months ended September 30, 2024 and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stockholders approved the ESPP, which became effective on July 1, 2023. On June 30, 2023, the Company filed a Registration Statement on Form S-8 to register 1,000,000 shares of Common stock under the ESPP, as a result of the Company’s stockholders approving the ESPP at the 2023 Annual Meeting. The ESPP features two six-month offering periods per year, running from June 1 to November 30 and December 1 to May 31.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for all equity awards and the ESPP as part of operating expenses in the accompanying Consolidated Statements of Operations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5"/>
        <w:gridCol w:w="451"/>
        <w:gridCol w:w="1223"/>
        <w:gridCol w:w="159"/>
        <w:gridCol w:w="451"/>
        <w:gridCol w:w="1223"/>
        <w:gridCol w:w="146"/>
        <w:gridCol w:w="397"/>
        <w:gridCol w:w="1276"/>
        <w:gridCol w:w="146"/>
        <w:gridCol w:w="451"/>
        <w:gridCol w:w="1223"/>
        <w:gridCol w:w="194"/>
      </w:tblGrid>
      <w:tr>
        <w:trPr/>
        <w:tc>
          <w:tcPr>
            <w:tcW w:w="28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tcBorders/>
            <w:shd w:fill="FFFFFF" w:val="clear"/>
            <w:vAlign w:val="center"/>
          </w:tcPr>
          <w:p>
            <w:pPr>
              <w:pStyle w:val="TableContents"/>
              <w:bidi w:val="0"/>
              <w:spacing w:before="0" w:after="283"/>
              <w:jc w:val="center"/>
              <w:rPr/>
            </w:pPr>
            <w:r>
              <w:rPr/>
              <w:t> </w:t>
            </w:r>
          </w:p>
        </w:tc>
        <w:tc>
          <w:tcPr>
            <w:tcW w:w="350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5" w:type="dxa"/>
            <w:tcBorders/>
            <w:shd w:fill="FFFFFF" w:val="cle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59"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94" w:type="dxa"/>
            <w:tcBorders/>
            <w:shd w:fill="CFF0FC" w:val="cle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5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w:t>
            </w:r>
          </w:p>
        </w:tc>
        <w:tc>
          <w:tcPr>
            <w:tcW w:w="194" w:type="dxa"/>
            <w:tcBorders/>
            <w:shd w:fill="FFFFFF" w:val="clear"/>
            <w:vAlign w:val="center"/>
          </w:tcPr>
          <w:p>
            <w:pPr>
              <w:pStyle w:val="TableContents"/>
              <w:bidi w:val="0"/>
              <w:spacing w:before="0" w:after="283"/>
              <w:jc w:val="left"/>
              <w:rPr/>
            </w:pPr>
            <w:r>
              <w:rPr/>
              <w:t> </w:t>
            </w:r>
          </w:p>
        </w:tc>
      </w:tr>
      <w:tr>
        <w:trPr/>
        <w:tc>
          <w:tcPr>
            <w:tcW w:w="28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September 30, 2024, and changes during the period ended,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8"/>
        <w:gridCol w:w="279"/>
        <w:gridCol w:w="1783"/>
        <w:gridCol w:w="166"/>
        <w:gridCol w:w="421"/>
        <w:gridCol w:w="2260"/>
        <w:gridCol w:w="166"/>
        <w:gridCol w:w="218"/>
        <w:gridCol w:w="1390"/>
        <w:gridCol w:w="214"/>
      </w:tblGrid>
      <w:tr>
        <w:trPr/>
        <w:tc>
          <w:tcPr>
            <w:tcW w:w="33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308" w:type="dxa"/>
            <w:tcBorders/>
            <w:shd w:fill="FFFFFF" w:val="clear"/>
            <w:vAlign w:val="center"/>
          </w:tcPr>
          <w:p>
            <w:pPr>
              <w:pStyle w:val="TableContents"/>
              <w:bidi w:val="0"/>
              <w:spacing w:before="0" w:after="283"/>
              <w:jc w:val="left"/>
              <w:rPr/>
            </w:pPr>
            <w:r>
              <w:rPr/>
              <w:t> </w:t>
            </w:r>
          </w:p>
        </w:tc>
        <w:tc>
          <w:tcPr>
            <w:tcW w:w="2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 Options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December 31, 2023</w:t>
            </w:r>
          </w:p>
        </w:tc>
        <w:tc>
          <w:tcPr>
            <w:tcW w:w="279" w:type="dxa"/>
            <w:tcBorders/>
            <w:shd w:fill="CFF0FC" w:val="clear"/>
            <w:vAlign w:val="center"/>
          </w:tcPr>
          <w:p>
            <w:pPr>
              <w:pStyle w:val="TableContents"/>
              <w:bidi w:val="0"/>
              <w:spacing w:before="0" w:after="283"/>
              <w:jc w:val="left"/>
              <w:rPr/>
            </w:pPr>
            <w:r>
              <w:rPr/>
              <w:t> </w:t>
            </w:r>
          </w:p>
        </w:tc>
        <w:tc>
          <w:tcPr>
            <w:tcW w:w="1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2,397,571</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pPr>
            <w:r>
              <w:rPr/>
              <w:t> </w:t>
            </w:r>
          </w:p>
        </w:tc>
        <w:tc>
          <w:tcPr>
            <w:tcW w:w="2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292,587</w:t>
            </w:r>
          </w:p>
        </w:tc>
        <w:tc>
          <w:tcPr>
            <w:tcW w:w="16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3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2,690,158</w:t>
            </w:r>
          </w:p>
        </w:tc>
        <w:tc>
          <w:tcPr>
            <w:tcW w:w="214" w:type="dxa"/>
            <w:tcBorders/>
            <w:shd w:fill="CFF0FC" w:val="clear"/>
            <w:vAlign w:val="center"/>
          </w:tcPr>
          <w:p>
            <w:pPr>
              <w:pStyle w:val="TableContents"/>
              <w:bidi w:val="0"/>
              <w:spacing w:before="0" w:after="283"/>
              <w:jc w:val="left"/>
              <w:rPr/>
            </w:pPr>
            <w:r>
              <w:rPr/>
              <w:t> </w:t>
            </w:r>
          </w:p>
        </w:tc>
      </w:tr>
      <w:tr>
        <w:trPr/>
        <w:tc>
          <w:tcPr>
            <w:tcW w:w="3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79"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1,887,658</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2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1,942,658</w:t>
            </w:r>
          </w:p>
        </w:tc>
        <w:tc>
          <w:tcPr>
            <w:tcW w:w="214" w:type="dxa"/>
            <w:tcBorders/>
            <w:shd w:fill="FFFFFF" w:val="clear"/>
            <w:vAlign w:val="center"/>
          </w:tcPr>
          <w:p>
            <w:pPr>
              <w:pStyle w:val="TableContents"/>
              <w:bidi w:val="0"/>
              <w:spacing w:before="0" w:after="283"/>
              <w:jc w:val="left"/>
              <w:rPr/>
            </w:pPr>
            <w:r>
              <w:rPr/>
              <w:t> </w:t>
            </w:r>
          </w:p>
        </w:tc>
      </w:tr>
      <w:tr>
        <w:trPr/>
        <w:tc>
          <w:tcPr>
            <w:tcW w:w="3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79" w:type="dxa"/>
            <w:tcBorders/>
            <w:shd w:fill="CFF0FC" w:val="clear"/>
            <w:vAlign w:val="center"/>
          </w:tcPr>
          <w:p>
            <w:pPr>
              <w:pStyle w:val="TableContents"/>
              <w:bidi w:val="0"/>
              <w:spacing w:before="0" w:after="283"/>
              <w:jc w:val="left"/>
              <w:rPr/>
            </w:pPr>
            <w:r>
              <w:rPr/>
              <w:t> </w:t>
            </w:r>
          </w:p>
        </w:tc>
        <w:tc>
          <w:tcPr>
            <w:tcW w:w="1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left"/>
              <w:rPr/>
            </w:pPr>
            <w:r>
              <w:rPr/>
              <w:t> </w:t>
            </w:r>
          </w:p>
        </w:tc>
        <w:tc>
          <w:tcPr>
            <w:tcW w:w="2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13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(301,524</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279"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left"/>
              <w:rPr/>
            </w:pPr>
            <w:r>
              <w:rPr/>
              <w:t> </w:t>
            </w:r>
          </w:p>
        </w:tc>
        <w:tc>
          <w:tcPr>
            <w:tcW w:w="2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(300,902</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(239,369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September 30, 2024</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3,791,021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279" w:type="dxa"/>
            <w:tcBorders/>
            <w:shd w:fill="CFF0FC" w:val="clear"/>
            <w:vAlign w:val="center"/>
          </w:tcPr>
          <w:p>
            <w:pPr>
              <w:pStyle w:val="TableContents"/>
              <w:bidi w:val="0"/>
              <w:spacing w:before="0" w:after="283"/>
              <w:jc w:val="left"/>
              <w:rPr/>
            </w:pPr>
            <w:r>
              <w:rPr/>
              <w:t> </w:t>
            </w:r>
          </w:p>
        </w:tc>
        <w:tc>
          <w:tcPr>
            <w:tcW w:w="1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1,146,550</w:t>
            </w:r>
          </w:p>
        </w:tc>
        <w:tc>
          <w:tcPr>
            <w:tcW w:w="16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pPr>
            <w:r>
              <w:rPr/>
              <w:t> </w:t>
            </w:r>
          </w:p>
        </w:tc>
        <w:tc>
          <w:tcPr>
            <w:tcW w:w="2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163,322</w:t>
            </w:r>
          </w:p>
        </w:tc>
        <w:tc>
          <w:tcPr>
            <w:tcW w:w="16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3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1,309,872</w:t>
            </w:r>
          </w:p>
        </w:tc>
        <w:tc>
          <w:tcPr>
            <w:tcW w:w="214" w:type="dxa"/>
            <w:tcBorders/>
            <w:shd w:fill="CFF0FC" w:val="clear"/>
            <w:vAlign w:val="center"/>
          </w:tcPr>
          <w:p>
            <w:pPr>
              <w:pStyle w:val="TableContents"/>
              <w:bidi w:val="0"/>
              <w:spacing w:before="0" w:after="283"/>
              <w:jc w:val="left"/>
              <w:rPr/>
            </w:pPr>
            <w:r>
              <w:rPr/>
              <w:t> </w:t>
            </w:r>
          </w:p>
        </w:tc>
      </w:tr>
      <w:tr>
        <w:trPr/>
        <w:tc>
          <w:tcPr>
            <w:tcW w:w="3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September 30, 2024</w:t>
            </w:r>
          </w:p>
        </w:tc>
        <w:tc>
          <w:tcPr>
            <w:tcW w:w="279"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3,553,813</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2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237,208</w:t>
            </w:r>
          </w:p>
        </w:tc>
        <w:tc>
          <w:tcPr>
            <w:tcW w:w="16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3,791,021</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September 30, 2024, and changes that occurred during the period, is presented below: </w:t>
      </w:r>
    </w:p>
    <w:p>
      <w:pPr>
        <w:pStyle w:val="TextBody"/>
        <w:bidi w:val="0"/>
        <w:jc w:val="left"/>
        <w:rPr/>
      </w:pPr>
      <w:r>
        <w:rPr/>
        <w:t> </w:t>
      </w:r>
    </w:p>
    <w:tbl>
      <w:tblPr>
        <w:tblW w:w="9094" w:type="dxa"/>
        <w:jc w:val="left"/>
        <w:tblInd w:w="0" w:type="dxa"/>
        <w:tblLayout w:type="fixed"/>
        <w:tblCellMar>
          <w:top w:w="28" w:type="dxa"/>
          <w:left w:w="28" w:type="dxa"/>
          <w:bottom w:w="28" w:type="dxa"/>
          <w:right w:w="28" w:type="dxa"/>
        </w:tblCellMar>
      </w:tblPr>
      <w:tblGrid>
        <w:gridCol w:w="4261"/>
        <w:gridCol w:w="262"/>
        <w:gridCol w:w="1523"/>
        <w:gridCol w:w="166"/>
        <w:gridCol w:w="238"/>
        <w:gridCol w:w="1202"/>
        <w:gridCol w:w="166"/>
        <w:gridCol w:w="157"/>
        <w:gridCol w:w="908"/>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Tenure-Based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w:t>
              <w:br/>
              <w:t>Condition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December 31, 2023</w:t>
            </w:r>
          </w:p>
        </w:tc>
        <w:tc>
          <w:tcPr>
            <w:tcW w:w="262" w:type="dxa"/>
            <w:tcBorders/>
            <w:shd w:fill="CFF0FC" w:val="clear"/>
            <w:vAlign w:val="center"/>
          </w:tcPr>
          <w:p>
            <w:pPr>
              <w:pStyle w:val="TableContents"/>
              <w:bidi w:val="0"/>
              <w:spacing w:before="0" w:after="283"/>
              <w:jc w:val="left"/>
              <w:rPr/>
            </w:pPr>
            <w:r>
              <w:rPr/>
              <w:t> </w:t>
            </w:r>
          </w:p>
        </w:tc>
        <w:tc>
          <w:tcPr>
            <w:tcW w:w="15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207,112</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28,020</w:t>
            </w:r>
          </w:p>
        </w:tc>
        <w:tc>
          <w:tcPr>
            <w:tcW w:w="16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235,132</w:t>
            </w:r>
          </w:p>
        </w:tc>
        <w:tc>
          <w:tcPr>
            <w:tcW w:w="21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62"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55,200</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55,200</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62" w:type="dxa"/>
            <w:tcBorders/>
            <w:shd w:fill="CFF0FC" w:val="clear"/>
            <w:vAlign w:val="center"/>
          </w:tcPr>
          <w:p>
            <w:pPr>
              <w:pStyle w:val="TableContents"/>
              <w:bidi w:val="0"/>
              <w:spacing w:before="0" w:after="283"/>
              <w:jc w:val="left"/>
              <w:rPr/>
            </w:pPr>
            <w:r>
              <w:rPr/>
              <w:t> </w:t>
            </w:r>
          </w:p>
        </w:tc>
        <w:tc>
          <w:tcPr>
            <w:tcW w:w="15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(137,774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September 30, 2024</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Tax benefit (expense) for the three-months ended September 30, 2024 and 2023 was a benefit of $28,000 and expense of $(11,000), respectively. Tax expense for the nine-months ended September 30, 2024 and 2023 was $(35,000) and $(54,000), respectively. These amounts are related to state minimum taxes. </w:t>
      </w:r>
    </w:p>
    <w:p>
      <w:pPr>
        <w:pStyle w:val="TextBody"/>
        <w:bidi w:val="0"/>
        <w:spacing w:before="36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70"/>
        <w:gridCol w:w="302"/>
        <w:gridCol w:w="1055"/>
        <w:gridCol w:w="166"/>
        <w:gridCol w:w="320"/>
        <w:gridCol w:w="1031"/>
        <w:gridCol w:w="166"/>
        <w:gridCol w:w="302"/>
        <w:gridCol w:w="1055"/>
        <w:gridCol w:w="166"/>
        <w:gridCol w:w="302"/>
        <w:gridCol w:w="1055"/>
        <w:gridCol w:w="215"/>
      </w:tblGrid>
      <w:tr>
        <w:trPr/>
        <w:tc>
          <w:tcPr>
            <w:tcW w:w="407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FFFFFF" w:val="clear"/>
            <w:vAlign w:val="center"/>
          </w:tcPr>
          <w:p>
            <w:pPr>
              <w:pStyle w:val="TableContents"/>
              <w:bidi w:val="0"/>
              <w:spacing w:before="0" w:after="283"/>
              <w:jc w:val="left"/>
              <w:rPr/>
            </w:pPr>
            <w:r>
              <w:rPr/>
              <w:t> </w:t>
            </w:r>
          </w:p>
        </w:tc>
        <w:tc>
          <w:tcPr>
            <w:tcW w:w="28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per share amounts)</w:t>
            </w:r>
          </w:p>
        </w:tc>
        <w:tc>
          <w:tcPr>
            <w:tcW w:w="13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5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40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(28,316</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302"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25,984</w:t>
            </w:r>
          </w:p>
        </w:tc>
        <w:tc>
          <w:tcPr>
            <w:tcW w:w="16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25,402</w:t>
            </w:r>
          </w:p>
        </w:tc>
        <w:tc>
          <w:tcPr>
            <w:tcW w:w="16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25,795</w:t>
            </w:r>
          </w:p>
        </w:tc>
        <w:tc>
          <w:tcPr>
            <w:tcW w:w="16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25,282</w:t>
            </w:r>
          </w:p>
        </w:tc>
        <w:tc>
          <w:tcPr>
            <w:tcW w:w="215" w:type="dxa"/>
            <w:tcBorders/>
            <w:shd w:fill="FFFFFF" w:val="clear"/>
            <w:vAlign w:val="center"/>
          </w:tcPr>
          <w:p>
            <w:pPr>
              <w:pStyle w:val="TableContents"/>
              <w:bidi w:val="0"/>
              <w:spacing w:before="0" w:after="283"/>
              <w:jc w:val="left"/>
              <w:rPr/>
            </w:pPr>
            <w:r>
              <w:rPr/>
              <w:t> </w:t>
            </w:r>
          </w:p>
        </w:tc>
      </w:tr>
      <w:tr>
        <w:trPr/>
        <w:tc>
          <w:tcPr>
            <w:tcW w:w="40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7"/>
        <w:gridCol w:w="197"/>
        <w:gridCol w:w="1261"/>
        <w:gridCol w:w="146"/>
        <w:gridCol w:w="197"/>
        <w:gridCol w:w="1261"/>
        <w:gridCol w:w="146"/>
        <w:gridCol w:w="197"/>
        <w:gridCol w:w="1261"/>
        <w:gridCol w:w="146"/>
        <w:gridCol w:w="197"/>
        <w:gridCol w:w="1261"/>
        <w:gridCol w:w="198"/>
      </w:tblGrid>
      <w:tr>
        <w:trPr/>
        <w:tc>
          <w:tcPr>
            <w:tcW w:w="3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737" w:type="dxa"/>
            <w:tcBorders/>
            <w:shd w:fill="FFFFFF" w:val="clear"/>
            <w:vAlign w:val="center"/>
          </w:tcPr>
          <w:p>
            <w:pPr>
              <w:pStyle w:val="TableContents"/>
              <w:bidi w:val="0"/>
              <w:spacing w:before="0" w:after="283"/>
              <w:jc w:val="center"/>
              <w:rPr/>
            </w:pPr>
            <w:r>
              <w:rPr/>
              <w:t> </w:t>
            </w:r>
          </w:p>
        </w:tc>
        <w:tc>
          <w:tcPr>
            <w:tcW w:w="30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7" w:type="dxa"/>
            <w:tcBorders/>
            <w:shd w:fill="FFFFFF" w:val="clear"/>
            <w:vAlign w:val="center"/>
          </w:tcPr>
          <w:p>
            <w:pPr>
              <w:pStyle w:val="TableContents"/>
              <w:bidi w:val="0"/>
              <w:spacing w:before="0" w:after="283"/>
              <w:jc w:val="righ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45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8" w:type="dxa"/>
            <w:gridSpan w:val="2"/>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3,791,021</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2,684,683</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3,791,021</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2,684,683</w:t>
            </w:r>
          </w:p>
        </w:tc>
        <w:tc>
          <w:tcPr>
            <w:tcW w:w="198" w:type="dxa"/>
            <w:tcBorders/>
            <w:shd w:fill="FFFFFF" w:val="clear"/>
            <w:vAlign w:val="center"/>
          </w:tcPr>
          <w:p>
            <w:pPr>
              <w:pStyle w:val="TableContents"/>
              <w:bidi w:val="0"/>
              <w:spacing w:before="0" w:after="283"/>
              <w:jc w:val="left"/>
              <w:rPr/>
            </w:pPr>
            <w:r>
              <w:rPr/>
              <w:t> </w:t>
            </w:r>
          </w:p>
        </w:tc>
      </w:tr>
      <w:tr>
        <w:trPr/>
        <w:tc>
          <w:tcPr>
            <w:tcW w:w="37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128,454</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292,272</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128,454</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292,272</w:t>
            </w:r>
          </w:p>
        </w:tc>
        <w:tc>
          <w:tcPr>
            <w:tcW w:w="198" w:type="dxa"/>
            <w:tcBorders/>
            <w:shd w:fill="CFF0FC" w:val="clear"/>
            <w:vAlign w:val="center"/>
          </w:tcPr>
          <w:p>
            <w:pPr>
              <w:pStyle w:val="TableContents"/>
              <w:bidi w:val="0"/>
              <w:spacing w:before="0" w:after="283"/>
              <w:jc w:val="left"/>
              <w:rPr/>
            </w:pPr>
            <w:r>
              <w:rPr/>
              <w:t> </w:t>
            </w:r>
          </w:p>
        </w:tc>
      </w:tr>
      <w:tr>
        <w:trPr/>
        <w:tc>
          <w:tcPr>
            <w:tcW w:w="37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75,339</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75,339</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r>
      <w:tr>
        <w:trPr/>
        <w:tc>
          <w:tcPr>
            <w:tcW w:w="37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409,661</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409,661</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basic net loss per share is calculated by dividing the net loss by the weighted-average number of shares of common stock outstanding for the relevant period. In accordance with ASC 710-10, </w:t>
      </w:r>
      <w:r>
        <w:rPr>
          <w:rFonts w:ascii="Times New Roman" w:hAnsi="Times New Roman"/>
          <w:i/>
          <w:color w:val="000000"/>
          <w:sz w:val="20"/>
        </w:rPr>
        <w:t>Compensation - General</w:t>
      </w:r>
      <w:r>
        <w:rPr>
          <w:rFonts w:ascii="Times New Roman" w:hAnsi="Times New Roman"/>
          <w:color w:val="000000"/>
          <w:sz w:val="20"/>
        </w:rPr>
        <w:t xml:space="preserve">, 122,294 shares of Common stock held by the rabbi trust are excluded from the denominator in the basic and diluted net loss per common share calculations.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and nine-months ended September 30, 2024 and 2023, diluted net loss per common share is the same as the basic net loss per share for those periods.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7, 2024, an affiliate of OrbiMed Advisors, LLC (the “Lender”) and the Company mutually agreed to a third amendment (the “Third Amendment”) to the Credit Agreement (See Note 6. Long-term debt). Under the terms of the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Amendment and subject to the payment by the Company of a consent fee to the Lender, the Company and the Lender mutually agreed to (1) terminate two additional tranches of available debt in the aggregate amount of $50.0 million and (2) remove the trailing 12-month revenue covenant for the fourth quarter of 2024, which was set at $67.5 million. All revenue covenants for subsequent quarters remain in effect.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Consolidated Financial Statements and related notes appearing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conditions, or developments in future periods.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information and any forward-looking statements should be considered in light of factors discussed elsewhere in this Quarterly Report on Form 10-Q, including those risks referenced under Part II, 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We caution readers not to place undue reliance on any forward-looking statements made by us, which speak only as of the date they are made. We disclaim any obligation, except as specifically required by law and the rules regulations of the Securities and Exchange Commission (the “SEC”) and the Australian Securities and Investments Commission (the “ASIC”), to publicly update or revise any such statements to reflect any change in our expectations or in events, conditions or circumstances under which any such statements may be based, or that may affect the likelihood that actual results will differ from those set forth in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Please see “Note Regarding Forward-Looking Statements” on page 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(“we”, “our”, “us”) is a commercial-stage regenerative medicine company transforming the standard of care in wound care management and skin restoration with innovative devices. At the forefront of our portfolio is our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&amp; Drug Administration (the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 of care. This breakthrough technology serves as the catalyst for a new treatment paradigm enabling improved clinical outcomes. In the United States, we also hold the rights to market, sell, and distribute PermeaDerm</w:t>
      </w:r>
      <w:r>
        <w:rPr>
          <w:rFonts w:ascii="Times New Roman" w:hAnsi="Times New Roman"/>
          <w:color w:val="000000"/>
          <w:sz w:val="13"/>
        </w:rPr>
        <w:t>®</w:t>
      </w:r>
      <w:r>
        <w:rPr>
          <w:rFonts w:ascii="Times New Roman" w:hAnsi="Times New Roman"/>
          <w:color w:val="000000"/>
          <w:sz w:val="20"/>
        </w:rPr>
        <w:t>, a biosynthetic wound matrix, under the terms of an exclusive multi-year distribution agreement (the "Stedical Agreement") with Stedical Scientific, Inc. (“Stedical”). We also entered into an exclusive multi-year development and distribution agreement with Collagen Matrix, Inc. dba Regenity Biosciences (“Regenity”). Following FDA 510(k) clearance, Regenity will manufacture and supply Cohealyx</w:t>
      </w:r>
      <w:r>
        <w:rPr>
          <w:rFonts w:ascii="Times New Roman" w:hAnsi="Times New Roman"/>
          <w:color w:val="000000"/>
          <w:sz w:val="13"/>
        </w:rPr>
        <w:t></w:t>
      </w:r>
      <w:r>
        <w:rPr>
          <w:rFonts w:ascii="Times New Roman" w:hAnsi="Times New Roman"/>
          <w:color w:val="000000"/>
          <w:sz w:val="20"/>
        </w:rPr>
        <w:t>, an AVITA Medical-branded collagen-based dermal matrix. Under the agreement, we will hold the exclusive rights to market, sell, and distribute Cohealyx in the U.S., with potential expansion into the European Union, Australia, and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and repigmentation of stable depigmented vitiligo lesions. Our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streamline the preparation of Spray-On Skin Cells and improves workflow efficiency in the operating room. It consists of two components: the RECELL GO Processing Device (the “RPD”) and the RECELL GO Preparation Kit (the “RPK”). The RPD is a multi-use, AC-powered device that controls the RPK. The RPK is a single-use cartridge that contains the RECELL Enzyme</w:t>
      </w:r>
      <w:r>
        <w:rPr>
          <w:rFonts w:ascii="Times New Roman" w:hAnsi="Times New Roman"/>
          <w:color w:val="000000"/>
          <w:sz w:val="13"/>
        </w:rPr>
        <w:t></w:t>
      </w:r>
      <w:r>
        <w:rPr>
          <w:rFonts w:ascii="Times New Roman" w:hAnsi="Times New Roman"/>
          <w:color w:val="000000"/>
          <w:sz w:val="20"/>
        </w:rPr>
        <w:t>. The RPD regulates the pressure applied to disaggregate the cells and precisely controls the incubation time of the RECELL Enzyme to optimize cell yield and promote cell viability.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focused on becoming the leading provider of regenerative medicine addressing unmet medical needs in burn injuries, full-thickness skin defects, and in-skin repigmentation, such as vitiligo. We will continue to drive commercial revenue growth to generate positive cash flow and achieve operating profit. To achieve these objectives, we intend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Become the standard of care in the U.S. burn care market by increasing penetration and adoption in burn centers with our recently FDA-approved RECELL GO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adoption of RECELL technology for the treatment of full-thickness skin defects in the U.S. with RECELL GO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RECELL GO mini, which is designed to address smaller wounds, following FDA approval in December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Cohealyx after FDA 510(k) clearance anticipated to be received in December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global presence within the U.K., the European Union and Australia through the exclusive use of third-party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grow commercial activities in Japan through our partnership with COSMOTEC Company, Ltd (“COSMOTEC”) by leveraging our current Pharmaceuticals and Medical Devices Act approval for RECELL with an indication in burns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pursue business development opportunities that are complementary to our core RECELL technology and/or our targeted markets, such as our exclusive distribution agreements with Stedical and Regenity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 post-market study, TONE, and the health care economics study, both related to our vitiligo initiative to be published in early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macroeconomic environment may have unexpected adverse effects on businesses and healthcare institutions globally that may negatively impact our consolidated operating results. There remains significant uncertainty in the current macroeconomic environment due to factors including supply chain shortages, increased cost of healthcare, changes to inflation rates, a competitive labor market, and other related global economic conditions and geopolitical conditions. If these conditions continue or worsen, they could adversely impact our future operating results.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Ukraine or in the Middle East, the continuation of the military conflicts in these regions and/or an escalation of the conflicts beyond their current scope may further weaken the global economy that could result in additional inflationary pressures or supply chain constraints.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rPr>
          <w:rFonts w:ascii="Times New Roman" w:hAnsi="Times New Roman"/>
          <w:color w:val="000000"/>
          <w:sz w:val="20"/>
        </w:rPr>
      </w:pPr>
      <w:r>
        <w:rPr>
          <w:rFonts w:ascii="Times New Roman" w:hAnsi="Times New Roman"/>
          <w:color w:val="000000"/>
          <w:sz w:val="20"/>
        </w:rPr>
        <w:t>On January 10, 2024, we entered into the Stedical Agreement, an exclusive multi-year distribution agreement with Stedical to commercialize PermeaDerm® Biosynthetic Wound Matrix (“PermeaDerm”) in the United States. PermeaDerm is cleared by the FDA as a transparent matrix for use in the treatment of a variety of wound types until healing is achieved. Under the terms of the Stedical Agreement, we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16, 2024, we amended our contract with the Biomedical Advanced Research and Development Authority, under the Assistant Secretary for Preparedness and Response, within the U.S. Department of Health and Human Services (“BARDA”), dated September 29, 2015, to extend the term through September 28, 2025. Under the modified contract, BARDA will have access to our RECELL inventory in the event of a national emergency. In the case of a national emergency, BARDA will pay for RECELL devices at a reduced price for the first 1,000 units and will then pay retail price for any additional units. No additional inventory build will be required as part of this modification as we have sufficient inventory in stock to fulfill this requirement. BARDA will pay us approximately $333,000 in maintenance fees over the term of the contract to ensure its first right of access to our RECELL inventory.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29, 2024, the FDA approved our premarket approval (“PMA”) supplement for RECELL GO, our next generation autologous cell harvesting device, to treat thermal burn wounds and full-thickness skin defects. Following this approval, we shipped the first RECELL GO order on May 30, 2024, to accommodate the first case for its use on May 31,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June 28, 2024, we submitted a PMA supplement for RECELL GO mini, which is designed to address small wounds up to 480 cm</w:t>
      </w:r>
      <w:r>
        <w:rPr>
          <w:rFonts w:ascii="Times New Roman" w:hAnsi="Times New Roman"/>
          <w:color w:val="000000"/>
          <w:sz w:val="13"/>
        </w:rPr>
        <w:t>2</w:t>
      </w:r>
      <w:r>
        <w:rPr>
          <w:rFonts w:ascii="Times New Roman" w:hAnsi="Times New Roman"/>
          <w:color w:val="000000"/>
          <w:sz w:val="20"/>
        </w:rPr>
        <w:t>. This version retains the same multi-use processing units as RECELL GO but features a smaller cartridge designed for the smaller donor skin samples needed for smaller wounds. This submission maintains the FDA Breakthrough Device designation from predecessor devices, providing a prioritized 180-day review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31, 2024, we entered into a multi-year exclusive development and distribution agreement with Regenity to market, sell, and distribute Cohealyx</w:t>
      </w:r>
      <w:r>
        <w:rPr>
          <w:rFonts w:ascii="Times New Roman" w:hAnsi="Times New Roman"/>
          <w:color w:val="000000"/>
          <w:sz w:val="13"/>
        </w:rPr>
        <w:t></w:t>
      </w:r>
      <w:r>
        <w:rPr>
          <w:rFonts w:ascii="Times New Roman" w:hAnsi="Times New Roman"/>
          <w:color w:val="000000"/>
          <w:sz w:val="20"/>
        </w:rPr>
        <w:t>, an AVITA-Medical branded collagen-based dermal matrix in the U.S., with the potential to commercialize the product in the European Union, Japan, and Australia.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three-months ended September 30, 2024 compared to the three-months ended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2671"/>
        <w:gridCol w:w="146"/>
        <w:gridCol w:w="357"/>
        <w:gridCol w:w="1248"/>
        <w:gridCol w:w="166"/>
        <w:gridCol w:w="357"/>
        <w:gridCol w:w="1248"/>
        <w:gridCol w:w="166"/>
        <w:gridCol w:w="146"/>
        <w:gridCol w:w="169"/>
        <w:gridCol w:w="732"/>
        <w:gridCol w:w="166"/>
        <w:gridCol w:w="146"/>
        <w:gridCol w:w="186"/>
        <w:gridCol w:w="805"/>
        <w:gridCol w:w="4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416"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6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income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FFFFFF" w:val="clear"/>
            <w:vAlign w:val="center"/>
          </w:tcPr>
          <w:p>
            <w:pPr>
              <w:pStyle w:val="TableContents"/>
              <w:bidi w:val="0"/>
              <w:spacing w:before="0" w:after="283"/>
              <w:jc w:val="righ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FFFFFF" w:val="clear"/>
            <w:vAlign w:val="center"/>
          </w:tcPr>
          <w:p>
            <w:pPr>
              <w:pStyle w:val="TableContents"/>
              <w:bidi w:val="0"/>
              <w:spacing w:before="0" w:after="283"/>
              <w:jc w:val="righ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43.2%, or $5.9 million, to $19.5 million, compared to $13.6 million in the same period in the prior year. Our commercial revenue was $19.5 million in the three-months ended September 30, 2024, an increase of $5.9 million, or 43.8%, compared to $13.5 million in the corresponding period in the prior year. The growth in commercial revenues was largely driven by deeper penetration within customer accounts and new accounts for full-thickness skin defects.</w:t>
      </w:r>
    </w:p>
    <w:p>
      <w:pPr>
        <w:pStyle w:val="TextBody"/>
        <w:bidi w:val="0"/>
        <w:jc w:val="left"/>
        <w:rPr>
          <w:rFonts w:ascii="Times New Roman" w:hAnsi="Times New Roman"/>
          <w:color w:val="000000"/>
          <w:sz w:val="20"/>
        </w:rPr>
      </w:pPr>
      <w:r>
        <w:rPr>
          <w:rFonts w:ascii="Times New Roman" w:hAnsi="Times New Roman"/>
          <w:color w:val="000000"/>
          <w:sz w:val="20"/>
        </w:rPr>
        <w:t xml:space="preserve">Gross profit margin was 83.7% compared to 84.5% in the corresponding period in the prior year. The decrease in this quarter was due to ongoing engineering and validation of the RECELL GO durable and disposable cartridge. </w:t>
      </w:r>
    </w:p>
    <w:p>
      <w:pPr>
        <w:pStyle w:val="TextBody"/>
        <w:bidi w:val="0"/>
        <w:jc w:val="left"/>
        <w:rPr>
          <w:rFonts w:ascii="Times New Roman" w:hAnsi="Times New Roman"/>
          <w:color w:val="000000"/>
          <w:sz w:val="20"/>
        </w:rPr>
      </w:pPr>
      <w:r>
        <w:rPr>
          <w:rFonts w:ascii="Times New Roman" w:hAnsi="Times New Roman"/>
          <w:color w:val="000000"/>
          <w:sz w:val="20"/>
        </w:rPr>
        <w:t xml:space="preserve">BARDA income decreased to zero, compared to $0.2 million in the corresponding period in the prior year due to ending of reimbursable clinical trials. BARDA income in the prior year consisted of funding from the Biomedical Advanced Research and Development Authority, under the Assistant Secretary for Preparedness and Response, within the U.S. Department of Health and Human Services, under ongoing USG Contract No. HHSO100201500028C.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increased by 43.3% or $9.1 million to $30.2 million, compared with $21.1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increased by 43.8%, or $4.6 million, to $15.1 million, compared to $10.5 million in the corresponding period in the prior year. Higher costs in the current year are due to an increase in salaries and benefits of approximately $1.9 million, commissions expense of $1.9 million, and stock-based compensation expense of $0.4 million, plus $0.4 million in other selling expenses. The increase in salaries and benefits is due to the expansion of the sales force to support our growing commercial capabilities. Higher commissions were directly associated with the increase in revenues. The increase stock-based compensation is due to additional grants related to the expansion of the sales force.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56.6%, or $3.5 million, to $9.6 million, compared to $6.1 million in the same period in the prior year. The increase was attributable to an increase in stock-based compensation of $1.3 million, an increase in salaries and benefits of $1.1 million, an increase in severance benefits of $0.1 million, an increase of $0.5 million in deferred compensation expenses, and an increase of $0.5 million in professional fees, offset by lower other corporate expenses. The increase in stock-based compensation and salaries and benefits are primarily attributable to headcount growth to support the expansion of our business. The increased severance payments is due to termination payments for two former executives. The increase in deferred compensation expense is driven by higher stock price used to calculate the deferred compensation liability for the deferred restricted stock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23.5%, or $1.0 million, to $5.4 million, compared to $4.4 million in the same period in the prior year. The increase in salaries and benefits of approximately $0.8 million was due to the increase in headcount resulting from the deployment of a team of Medical Science Liaisons, an increase in development costs of $0.2 million, an increase of $0.1 million in deferred compensation expenses, and an increase to all other development expenses of $0.2 million, offset by a decrease in professional fees of approximately $0.3 million due to higher expenses in the prior period related to RECELL GO and full-thickness skin defects.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approximately $1.3 million in comparison to the same period in the prior year due to the interest expense related to the long-term debt as part of the OrbiMed Credit Agreement, for an aggregate principal amount owed of $40.0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income, net decreased by $1.7 million to expense of $1.1 million from income of $0.6 million in the prior period. In the current period, other (expense) income consists of non-cash charges of $1.0 million and $0.8 million related to the changes in fair value of the debt and warrant liability, respectively, offset by $0.6 million in income related to our investments and $0.1 million in other gains, net. The prior period income consisted of $0.7 million related to our investments offset by $0.1 million in other losses,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nine-months ended September 30, 2024 compared to the nine-months ended September 30, 2023.</w:t>
      </w:r>
      <w:r>
        <w:rPr>
          <w:rFonts w:ascii="Times New Roman" w:hAnsi="Times New Roman"/>
          <w:color w:val="000000"/>
          <w:sz w:val="20"/>
        </w:rPr>
        <w:t xml:space="preserve"> </w:t>
      </w:r>
    </w:p>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2671"/>
        <w:gridCol w:w="146"/>
        <w:gridCol w:w="357"/>
        <w:gridCol w:w="1248"/>
        <w:gridCol w:w="166"/>
        <w:gridCol w:w="357"/>
        <w:gridCol w:w="1248"/>
        <w:gridCol w:w="166"/>
        <w:gridCol w:w="146"/>
        <w:gridCol w:w="149"/>
        <w:gridCol w:w="752"/>
        <w:gridCol w:w="166"/>
        <w:gridCol w:w="146"/>
        <w:gridCol w:w="186"/>
        <w:gridCol w:w="805"/>
        <w:gridCol w:w="4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67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416"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6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6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income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27.5%, or $9.9 million, to $45.8 million, compared to $35.9 million in the same period in the prior year. Our commercial revenue was $45.7 million in the nine-months ended September 30, 2024, an increase of $10.0 million, or 28.1%, compared to $35.7 million in the corresponding period in the prior year. The growth in commercial revenues was largely driven by deeper penetration within customer accounts and new accounts for full-thickness skin defect.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profit margin was 85.1% compared to 83.4% in the corresponding period in the prior year. This increase was largely driven by increases in both revenues and the volume of production.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BARDA income decreased to zero, compared to $1.4 million in the corresponding period in the prior year due to the ending of reimbursable clinical trials. BARDA income in the prior year consisted of funding received from the Biomedical Advanced Research and Development Authority, under the Assistant Secretary for Preparedness and Response, within the U.S. Department of Health and Human Services, under ongoing USG Contract No. HHSO100201500028C.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increased by 38.8% or $24.0 million to $85.7 million, compared with $61.7 million in the corresponding period in the prior year.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increased by 62.8%, or $17.0 million, to $44.1 million, compared to $27.1 million in the corresponding period in the prior year. Higher costs in the current year were primarily related to increases in salaries and benefits and personnel expenses of approximately $7.2 million, commissions expense of $4.9 million, stock-based compensation expense of $1.7 million, $1.0 million in other selling expenses, $0.9 million in professional fees, $0.7 million in travel expenses, and $0.2 million in rent expense, plus $0.4 million in all other expenses, net. The increase in salaries and benefits, personnel related expenses, stock-based compensation, travel expenses, and other selling expenses are due to the expansion of the sales force to support our growing commercial capabilities. Higher commissions were directly associated with the increase in revenues. The increase in professional fees are primarily due to consulting expenses related to our foreign distribution network. The increase in rent is due to increased office space to accommodate our growing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increased by 26.7%, or $5.5 million, to $26.1 million, compared to $20.6 million in the same period in the prior year. The increase was attributable to an increase in salaries and benefits and personnel expenses of $3.2 million, an increase in stock-based compensation of $2.0 million, an increase in professional fees of $0.4 million, and an increase of $0.2 million in travel expenses plus an increase in other corporate expenses of $0.3 million, partially offset by lower deferred compensation expenses of $0.6 million. The increase in salaries and benefits and stock-based compensation are primarily attributable to headcount growth to support the expansion of our business. The decrease in deferred compensation expense is driven by a lower stock price used to calculate the deferred compensation liability for the deferred restricted stock awards.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10.3%, or $1.4 million, to $15.5 million, compared to $14.1 million in the same period in the prior year. The increase in research and development expenses is primarily due to an increase in salaries and benefits of $2.6 million, an increase in stock-based compensation of $0.4 million, and an increase of $0.3 million in travel expenses, due to the increase in headcount resulting from the deployment of Medical Science Liaisons plus higher other development expenses of $0.8 million, offset by lower professional fees and development expenses of approximately $2.7 million related to RECELL GO and full-thickness skin defects.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approximately $4.0 million in comparison to the same period in the prior year due to the interest expense related to the long-term debt as part of the OrbiMed Credit Agreement, for an aggregate principal amount owed of $40.0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income, net decreased by $1.7 million or 77.7% to income of $0.5 million. In the current period other income, net consists of $2.3 million in income related to our investments, $0.4 million due to the change in fair value of warrant liability, and $0.4 million in other gains, net, offset by a non-cash charge of $2.6 million due to the change in fair value of the debt. In the prior period, income consisted of $2.0 million related to our investments and $0.1 million in other gains,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utilize cash reserves until U.S. sales of our products reach a level sufficient to fund ongoing operations. We have historically funded research and development activities, and more recently have funded a substantial investment in sales and marketing activities, through raising capital by issuing securities and the issuance of debt. On October 18, 2023, we entered into a Credit Agreement with an affiliate of OrbiMed Advisors, LLC. The Credit Agreement provides for a five-year senior secured credit facility in an aggregate principal amount of up to $90.0 million, of which $40.0 million was drawn during the fourth quarter of 2023. In addition, an aggregate of $50.0 million will be made available in two separate $25.0 million tranches, at our discretion, subject to certain net revenue requirements. The first tranche of $25.0 million is available on or before December 31, 2024. The second tranche of $25.0 million is available on or prior to June 30, 2025, and only if the first tranche was drawn upon. We have monthly interest rate payments for the debt at a rate equal to the greater of (a) forward-looking one-month term SOFR rate and (b) four percent (4.0%) per annum, plus eight percent (8.0%). In the event that we do not meet certain 12-month trailing revenue targets at the end of certain fiscal quarters, starting December 31, 2024, the outstanding balance of the loan must be repaid in equal quarterly installments of 5.0% of the funded amount through the maturity date. As of September 30, 2024, our projected revenues, for the trailing 12 months ending December 31, 2024, will exceed the minimum revenue requirements under the Credit Agreement. On November 7, 2024, we amended the Credit Agreement, see Note 16, Subsequent Events of our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had approximately $18.6 million in cash and cash equivalents and $25.8 million in marketable securities as of September 30,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the date of these financial statements, we believe we have sufficient cash reserves to fund operations for the next 12-months.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4381"/>
        <w:gridCol w:w="146"/>
        <w:gridCol w:w="365"/>
        <w:gridCol w:w="1240"/>
        <w:gridCol w:w="166"/>
        <w:gridCol w:w="146"/>
        <w:gridCol w:w="365"/>
        <w:gridCol w:w="1240"/>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(40,858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(27,148</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58,911</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on cash and cash equivalents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32,690</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18,164</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50,854</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was $40.9 million and $27.1 million during the nine-months ended September 30, 2024, and 2023, respectively. The increase in net cash used in operations was primarily due to higher operating costs.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was $34.9 million and $58.9 million during the nine-months ended September 30, 2024 and 2023, respectively. The decrease in cash provided by investing activities is primarily attributable to higher cash outflows from purchases of marketable securities and lower cash inflows from maturities of marketable securities in the current year compared to the prior year, offset primarily by an increase in cash outflow for capital expenditures. The increase in capital expenditures in the current year is primarily related to the leasehold improvement in the Ventura production facility to enhance manufacturing output and materials related to our RECELL GO RPDs.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$2.5 million and $0.9 million during the nine-months ended September 30, 2024, and 2023, respectively. The increase in cash provided by financing activities is related to proceeds from the exercises of stock options and purchases of stock under the ESPP plan.</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so that the Company continues as a going concern while also maintaining optimal returns to stockholders and benefits for other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nine-months ended September 30, 2024, there were no dividends paid and we have no plans to commence the payment of dividends. As part of the Stedical Agreement, we have an obligation to Stedical to purchase sufficient products to achieve $5.0 million in customer sales. As of September 30, 2024, we have fulfilled this obligation. Under the terms of our exclusive development and distribution agreement with Regenity, we will make a $2.0 million payment upon receipt of 510(k) clearance by Regenity. We have a further obligation to make up to an additional $3.0 million payment on or before January 4, 2026 to guarantee development and manufacturing capacity (and related resources), contingent on positive results of certain clinical studies. With the exception of the milestone payments related to our exclusive development and distribution agreement with Regenity, we do not have any other purchase commitments or long-term contractual obligations except for lease obligations as of September 30, 2024. In addition, we have no material off-balance sheet arrangements (as defined in the applicable rules and regulations established by the SEC) that have or are reasonably likely to have a current or future effect on our financial condition, changes in financial condition, revenues or expenses, results of operations, liquidity, capital expenditures or capital resources. While have no committed plans to issue further shares on the market, we will continue to assess market conditions.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Except as disclosed in Note 2 of our Consolidated Financial Statements, </w:t>
      </w:r>
      <w:r>
        <w:rPr>
          <w:rFonts w:ascii="Times New Roman" w:hAnsi="Times New Roman"/>
          <w:color w:val="000000"/>
          <w:sz w:val="18"/>
        </w:rPr>
        <w:t>th</w:t>
      </w:r>
      <w:r>
        <w:rPr>
          <w:rFonts w:ascii="Times New Roman" w:hAnsi="Times New Roman"/>
          <w:color w:val="000000"/>
          <w:sz w:val="20"/>
        </w:rPr>
        <w:t>ere have been no material changes to our critical accounting policies and estimates from the information provided in Item 7, “Management’s Discussion and Analysis of Financial Condition and Results of Operations,” included in the Company’s Quarterly Report on Form 10-Q for the quarter ended September 30, 2024.</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Chief Executive Officer and our Chief Financial Officer evaluated, with the participation of our management, the effectiveness of our disclosure controls and procedures as of the end of the period covered by this Quarterly Report on Form 10-Q. As of September 30, 2024, our Chief Executive Officer and our Chief Financial Officer concluded that our disclosure controls and procedures, as defined in Rules 13a-15(e) and 15d-15(e) of the Securities Exchange Act of 1934, as amended (the “Securities Exchange Act”), were effective.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(as defined in Rules 13a-15(f) and 15d-15(f) under the Exchange Act) during the third quarter of fiscal year 2024 covered by this Quarterly Report on Form 10-Q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legal proceedings that we believe will have a material adverse effect on our business or financial condition. We may, however, be subject to various claims or legal actions arising in the ordinary course of business from time to time.</w:t>
      </w:r>
    </w:p>
    <w:p>
      <w:pPr>
        <w:pStyle w:val="TextBody"/>
        <w:bidi w:val="0"/>
        <w:jc w:val="left"/>
        <w:rPr/>
      </w:pPr>
      <w:r>
        <w:rPr/>
        <w:t> </w:t>
      </w:r>
    </w:p>
    <w:p>
      <w:pPr>
        <w:pStyle w:val="TextBody"/>
        <w:bidi w:val="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other information set forth in this report, you should carefully consider the factors discussed under Part I, Item 1A, “Risk Factors,” in the 2023 Annual Report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the risk factors described in Part I, Item 1A, “Risk Factors,” included in the 2023 Annual Report. </w:t>
      </w:r>
    </w:p>
    <w:p>
      <w:pPr>
        <w:pStyle w:val="TextBody"/>
        <w:bidi w:val="0"/>
        <w:jc w:val="left"/>
        <w:rPr/>
      </w:pPr>
      <w:r>
        <w:rPr/>
        <w:t> </w:t>
      </w:r>
    </w:p>
    <w:p>
      <w:pPr>
        <w:pStyle w:val="TextBody"/>
        <w:bidi w:val="0"/>
        <w:jc w:val="left"/>
        <w:rPr>
          <w:rFonts w:ascii="Times New Roman" w:hAnsi="Times New Roman"/>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The following exhibits are filed as part of the Quarterly Report on Form 10-Q: </w:t>
      </w:r>
    </w:p>
    <w:tbl>
      <w:tblPr>
        <w:tblW w:w="10205" w:type="dxa"/>
        <w:jc w:val="left"/>
        <w:tblInd w:w="0" w:type="dxa"/>
        <w:tblLayout w:type="fixed"/>
        <w:tblCellMar>
          <w:top w:w="28" w:type="dxa"/>
          <w:left w:w="28" w:type="dxa"/>
          <w:bottom w:w="28" w:type="dxa"/>
          <w:right w:w="28" w:type="dxa"/>
        </w:tblCellMar>
      </w:tblPr>
      <w:tblGrid>
        <w:gridCol w:w="783"/>
        <w:gridCol w:w="323"/>
        <w:gridCol w:w="9099"/>
      </w:tblGrid>
      <w:tr>
        <w:trPr/>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099" w:type="dxa"/>
            <w:tcBorders/>
            <w:shd w:fill="FFFFFF" w:val="clear"/>
            <w:vAlign w:val="center"/>
          </w:tcPr>
          <w:p>
            <w:pPr>
              <w:pStyle w:val="TableContents"/>
              <w:bidi w:val="0"/>
              <w:spacing w:before="0" w:after="283"/>
              <w:jc w:val="left"/>
              <w:rPr>
                <w:sz w:val="4"/>
                <w:szCs w:val="4"/>
              </w:rPr>
            </w:pPr>
            <w:r>
              <w:rPr>
                <w:sz w:val="4"/>
                <w:szCs w:val="4"/>
              </w:rPr>
            </w:r>
          </w:p>
        </w:tc>
      </w:tr>
      <w:tr>
        <w:trPr/>
        <w:tc>
          <w:tcPr>
            <w:tcW w:w="78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Exhibit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w:t>
            </w:r>
          </w:p>
        </w:tc>
      </w:tr>
      <w:tr>
        <w:trPr/>
        <w:tc>
          <w:tcPr>
            <w:tcW w:w="783" w:type="dxa"/>
            <w:tcBorders/>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Certificate of Incorporation (incorporated by reference to Exhibit 3.2 of the registrant’s Form 10-KT filed on February 28, 2022)</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3.3 of the registrant’s Form 10-KT filed on February 28, 2022)</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10_1.htm">
              <w:r>
                <w:rPr>
                  <w:rStyle w:val="InternetLink"/>
                  <w:rFonts w:ascii="Times New Roman" w:hAnsi="Times New Roman"/>
                  <w:color w:val="0000FF"/>
                  <w:sz w:val="20"/>
                  <w:u w:val="single"/>
                </w:rPr>
                <w:t>Exclusive Development and Distribution Agreement between the registrant and Collagen Matrix, Inc. dba Regenity Biosciences dated July 31, 2024</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 </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10_2.htm">
              <w:r>
                <w:rPr>
                  <w:rStyle w:val="InternetLink"/>
                  <w:rFonts w:ascii="Times New Roman" w:hAnsi="Times New Roman"/>
                  <w:color w:val="0000FF"/>
                  <w:sz w:val="20"/>
                  <w:u w:val="single"/>
                </w:rPr>
                <w:t>Executive Employment Agreement between the registrant and Nicole Kelsey dated June 28, 2024</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 </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10_3.htm">
              <w:r>
                <w:rPr>
                  <w:rStyle w:val="InternetLink"/>
                  <w:rFonts w:ascii="Times New Roman" w:hAnsi="Times New Roman"/>
                  <w:color w:val="0000FF"/>
                  <w:sz w:val="20"/>
                  <w:u w:val="single"/>
                </w:rPr>
                <w:t>Separation Agreement and Release between the registrant and Donna Shiroma dated June 28, 2024</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center"/>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10_4.htm">
              <w:r>
                <w:rPr>
                  <w:rStyle w:val="InternetLink"/>
                  <w:rFonts w:ascii="Times New Roman" w:hAnsi="Times New Roman"/>
                  <w:color w:val="0000FF"/>
                  <w:sz w:val="20"/>
                  <w:u w:val="single"/>
                </w:rPr>
                <w:t>First Amendment to Lease Agreement between the registrant and Hartco Ventura Inc. dated September 12, 2024</w:t>
              </w:r>
            </w:hyperlink>
          </w:p>
        </w:tc>
      </w:tr>
      <w:tr>
        <w:trPr/>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31_1.htm">
              <w:r>
                <w:rPr>
                  <w:rStyle w:val="InternetLink"/>
                  <w:rFonts w:ascii="Times New Roman" w:hAnsi="Times New Roman"/>
                  <w:color w:val="0000FF"/>
                  <w:sz w:val="20"/>
                  <w:u w:val="single"/>
                </w:rPr>
                <w:t>Rule 13a-14(a) Certification of Chief Executive Officer</w:t>
              </w:r>
            </w:hyperlink>
            <w:hyperlink w:anchor="rcel-ex31_1.htm">
              <w:r>
                <w:rPr>
                  <w:rStyle w:val="InternetLink"/>
                  <w:rFonts w:ascii="Times New Roman" w:hAnsi="Times New Roman"/>
                  <w:color w:val="0000FF"/>
                  <w:sz w:val="20"/>
                </w:rPr>
                <w:t xml:space="preserve"> </w:t>
              </w:r>
            </w:hyperlink>
          </w:p>
        </w:tc>
      </w:tr>
      <w:tr>
        <w:trPr/>
        <w:tc>
          <w:tcPr>
            <w:tcW w:w="783" w:type="dxa"/>
            <w:tcBorders/>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31_2.htm">
              <w:r>
                <w:rPr>
                  <w:rStyle w:val="InternetLink"/>
                  <w:rFonts w:ascii="Times New Roman" w:hAnsi="Times New Roman"/>
                  <w:color w:val="0000FF"/>
                  <w:sz w:val="20"/>
                  <w:u w:val="single"/>
                </w:rPr>
                <w:t>Rule 13a-14(a) Certification of Chief Financial Officer</w:t>
              </w:r>
            </w:hyperlink>
            <w:hyperlink w:anchor="rcel-ex31_2.htm">
              <w:r>
                <w:rPr>
                  <w:rStyle w:val="InternetLink"/>
                  <w:rFonts w:ascii="Times New Roman" w:hAnsi="Times New Roman"/>
                  <w:color w:val="0000FF"/>
                  <w:sz w:val="20"/>
                </w:rPr>
                <w:t xml:space="preserve"> </w:t>
              </w:r>
            </w:hyperlink>
          </w:p>
        </w:tc>
      </w:tr>
      <w:tr>
        <w:trPr/>
        <w:tc>
          <w:tcPr>
            <w:tcW w:w="783" w:type="dxa"/>
            <w:tcBorders/>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32** </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hyperlink w:anchor="rcel-ex32.htm">
              <w:r>
                <w:rPr>
                  <w:rStyle w:val="InternetLink"/>
                  <w:rFonts w:ascii="Times New Roman" w:hAnsi="Times New Roman"/>
                  <w:color w:val="0000FF"/>
                  <w:sz w:val="20"/>
                  <w:u w:val="single"/>
                </w:rPr>
                <w:t>18 U.S.C. Section 1350 Certifications</w:t>
              </w:r>
            </w:hyperlink>
            <w:hyperlink w:anchor="rcel-ex32.htm">
              <w:r>
                <w:rPr>
                  <w:rStyle w:val="InternetLink"/>
                  <w:rFonts w:ascii="Times New Roman" w:hAnsi="Times New Roman"/>
                  <w:color w:val="0000FF"/>
                  <w:sz w:val="20"/>
                </w:rPr>
                <w:t xml:space="preserve"> </w:t>
              </w:r>
            </w:hyperlink>
          </w:p>
        </w:tc>
      </w:tr>
      <w:tr>
        <w:trPr/>
        <w:tc>
          <w:tcPr>
            <w:tcW w:w="783"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099"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83"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099"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3"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099"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compensation plan or arrangement</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443" w:type="dxa"/>
        <w:jc w:val="left"/>
        <w:tblInd w:w="0" w:type="dxa"/>
        <w:tblLayout w:type="fixed"/>
        <w:tblCellMar>
          <w:top w:w="28" w:type="dxa"/>
          <w:left w:w="28" w:type="dxa"/>
          <w:bottom w:w="28" w:type="dxa"/>
          <w:right w:w="28" w:type="dxa"/>
        </w:tblCellMar>
      </w:tblPr>
      <w:tblGrid>
        <w:gridCol w:w="556"/>
        <w:gridCol w:w="1606"/>
        <w:gridCol w:w="109"/>
        <w:gridCol w:w="406"/>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November 7,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55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pPr>
      <w:bookmarkStart w:id="23" w:name="rcel-ex10_1.htm"/>
      <w:bookmarkStart w:id="24" w:name="ksrcelex10_1"/>
      <w:bookmarkEnd w:id="23"/>
      <w:bookmarkEnd w:id="24"/>
      <w:r>
        <w:rPr/>
        <w:t> </w:t>
      </w:r>
      <w:r>
        <w:br w:type="page"/>
      </w:r>
    </w:p>
    <w:p>
      <w:pPr>
        <w:pStyle w:val="TextBody"/>
        <w:bidi w:val="0"/>
        <w:jc w:val="right"/>
        <w:rPr>
          <w:rFonts w:ascii="Aptos;sans-serif" w:hAnsi="Aptos;sans-serif"/>
          <w:b/>
          <w:color w:val="000000"/>
          <w:sz w:val="22"/>
        </w:rPr>
      </w:pPr>
      <w:r>
        <w:rPr>
          <w:rFonts w:ascii="Aptos;sans-serif" w:hAnsi="Aptos;sans-serif"/>
          <w:b/>
          <w:color w:val="000000"/>
          <w:sz w:val="22"/>
        </w:rPr>
        <w:t>Exhibit 10.1</w:t>
      </w:r>
    </w:p>
    <w:p>
      <w:pPr>
        <w:pStyle w:val="TextBody"/>
        <w:bidi w:val="0"/>
        <w:jc w:val="right"/>
        <w:rPr/>
      </w:pPr>
      <w:r>
        <w:rPr/>
        <w:t> </w:t>
      </w:r>
    </w:p>
    <w:p>
      <w:pPr>
        <w:pStyle w:val="TextBody"/>
        <w:bidi w:val="0"/>
        <w:jc w:val="center"/>
        <w:rPr>
          <w:rFonts w:ascii="Aptos;sans-serif" w:hAnsi="Aptos;sans-serif"/>
          <w:b/>
          <w:color w:val="000000"/>
          <w:sz w:val="22"/>
          <w:u w:val="single"/>
        </w:rPr>
      </w:pPr>
      <w:r>
        <w:rPr>
          <w:rFonts w:ascii="Aptos;sans-serif" w:hAnsi="Aptos;sans-serif"/>
          <w:b/>
          <w:color w:val="000000"/>
          <w:sz w:val="22"/>
          <w:u w:val="single"/>
        </w:rPr>
        <w:t>CERTAIN IDENTIFIED INFORMATION HAS BEEN EXCLUDED FROM THE EXHIBIT BECAUSE IT BOTH (I) IS NOT MATERIAL AND (II) WOULD BE COMPETITIVELY HARMFUL IF PUBLICLY DISCLOSED</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EXCLUSIVE DEVELOPMENT AND DISTRIBUTION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EXCLUSIVE DEVELOPMENT AND DISTRIBUTION AGREEMENT (this “</w:t>
      </w:r>
      <w:r>
        <w:rPr>
          <w:rFonts w:ascii="Times New Roman" w:hAnsi="Times New Roman"/>
          <w:color w:val="000000"/>
          <w:sz w:val="24"/>
          <w:u w:val="single"/>
        </w:rPr>
        <w:t>Agreement”</w:t>
      </w:r>
      <w:r>
        <w:rPr>
          <w:rFonts w:ascii="Times New Roman" w:hAnsi="Times New Roman"/>
          <w:color w:val="000000"/>
          <w:sz w:val="24"/>
        </w:rPr>
        <w:t>) is made and entered into effective as of the 31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of July 2024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Collagen Matrix, Inc. dba Regenity Biosciences (“</w:t>
      </w:r>
      <w:r>
        <w:rPr>
          <w:rFonts w:ascii="Times New Roman" w:hAnsi="Times New Roman"/>
          <w:color w:val="000000"/>
          <w:sz w:val="24"/>
          <w:u w:val="single"/>
        </w:rPr>
        <w:t>Regenity</w:t>
      </w:r>
      <w:r>
        <w:rPr>
          <w:rFonts w:ascii="Times New Roman" w:hAnsi="Times New Roman"/>
          <w:color w:val="000000"/>
          <w:sz w:val="20"/>
        </w:rPr>
        <w:t>”</w:t>
      </w:r>
      <w:r>
        <w:rPr>
          <w:rFonts w:ascii="Times New Roman" w:hAnsi="Times New Roman"/>
          <w:color w:val="000000"/>
          <w:sz w:val="24"/>
        </w:rPr>
        <w:t>), having its principal offices at [******], and AVITA Medical, Inc. (“</w:t>
      </w:r>
      <w:r>
        <w:rPr>
          <w:rFonts w:ascii="Times New Roman" w:hAnsi="Times New Roman"/>
          <w:color w:val="000000"/>
          <w:sz w:val="24"/>
          <w:u w:val="single"/>
        </w:rPr>
        <w:t>Distributor</w:t>
      </w:r>
      <w:r>
        <w:rPr>
          <w:rFonts w:ascii="Times New Roman" w:hAnsi="Times New Roman"/>
          <w:color w:val="000000"/>
          <w:sz w:val="20"/>
        </w:rPr>
        <w:t>”</w:t>
      </w:r>
      <w:r>
        <w:rPr>
          <w:rFonts w:ascii="Times New Roman" w:hAnsi="Times New Roman"/>
          <w:color w:val="000000"/>
          <w:sz w:val="24"/>
        </w:rPr>
        <w:t>) having its principal offices at 28159 Avenue Stanford, Suite 220, Valencia, CA USA. Regenity and Distributor are referred to herein collectively as the “</w:t>
      </w:r>
      <w:r>
        <w:rPr>
          <w:rFonts w:ascii="Times New Roman" w:hAnsi="Times New Roman"/>
          <w:color w:val="000000"/>
          <w:sz w:val="24"/>
          <w:u w:val="single"/>
        </w:rPr>
        <w:t>Parties</w:t>
      </w:r>
      <w:r>
        <w:rPr>
          <w:rFonts w:ascii="Times New Roman" w:hAnsi="Times New Roman"/>
          <w:color w:val="000000"/>
          <w:sz w:val="24"/>
        </w:rPr>
        <w:t>,” and individually as a “</w:t>
      </w:r>
      <w:r>
        <w:rPr>
          <w:rFonts w:ascii="Times New Roman" w:hAnsi="Times New Roman"/>
          <w:color w:val="000000"/>
          <w:sz w:val="24"/>
          <w:u w:val="single"/>
        </w:rPr>
        <w:t>Party</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WHEREAS, Regenity is in the business of manufacturing collagen and mineral-based medical devices;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WHEREAS, Distributor is in the business of distributing such products;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WHEREAS, Regenity and Distributor collaborated to create the Product (as defined below) in response to specifications provided to Regenity by Distributor;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WHEREAS, Regenity and Distributor desire to enter into an arrangement whereby Regenity will supply Products (as defined below) to Distributor for exclusive distribution in the Territory under Distributor’s Private Brand (as defined below).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the foregoing and the mutual promises and covenants contained herein, the adequacy of which each Party hereby accepts, the Parties mutually agree as follows: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I</w:t>
      </w:r>
    </w:p>
    <w:p>
      <w:pPr>
        <w:pStyle w:val="TextBody"/>
        <w:bidi w:val="0"/>
        <w:jc w:val="left"/>
        <w:rPr>
          <w:rFonts w:ascii="Times New Roman" w:hAnsi="Times New Roman"/>
          <w:b/>
          <w:color w:val="000000"/>
          <w:sz w:val="24"/>
        </w:rPr>
      </w:pPr>
      <w:r>
        <w:rPr>
          <w:rFonts w:ascii="Times New Roman" w:hAnsi="Times New Roman"/>
          <w:b/>
          <w:color w:val="000000"/>
          <w:sz w:val="24"/>
        </w:rPr>
        <w:t>Definitions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color w:val="000000"/>
        </w:rPr>
        <w:t>“</w:t>
      </w:r>
      <w:r>
        <w:rPr>
          <w:rFonts w:ascii="Times New Roman" w:hAnsi="Times New Roman"/>
          <w:color w:val="000000"/>
          <w:sz w:val="24"/>
          <w:u w:val="single"/>
        </w:rPr>
        <w:t>510(k)</w:t>
      </w:r>
      <w:r>
        <w:rPr>
          <w:color w:val="000000"/>
        </w:rPr>
        <w:t xml:space="preserve">” </w:t>
      </w:r>
      <w:r>
        <w:rPr>
          <w:rFonts w:ascii="Times New Roman" w:hAnsi="Times New Roman"/>
          <w:color w:val="000000"/>
          <w:sz w:val="24"/>
        </w:rPr>
        <w:t>means the Class II Product regulatory clearance obtained by Regenity from the FDA.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color w:val="000000"/>
        </w:rPr>
        <w:t>“</w:t>
      </w:r>
      <w:r>
        <w:rPr>
          <w:rFonts w:ascii="Times New Roman" w:hAnsi="Times New Roman"/>
          <w:color w:val="000000"/>
          <w:sz w:val="24"/>
          <w:u w:val="single"/>
        </w:rPr>
        <w:t>Accepted Order</w:t>
      </w:r>
      <w:r>
        <w:rPr>
          <w:color w:val="000000"/>
        </w:rPr>
        <w:t xml:space="preserve">” </w:t>
      </w:r>
      <w:r>
        <w:rPr>
          <w:rFonts w:ascii="Times New Roman" w:hAnsi="Times New Roman"/>
          <w:color w:val="000000"/>
          <w:sz w:val="24"/>
        </w:rPr>
        <w:t xml:space="preserve">means an Order that is accepted in writing by Regenity pursuant to </w:t>
      </w:r>
      <w:r>
        <w:rPr>
          <w:rFonts w:ascii="Times New Roman" w:hAnsi="Times New Roman"/>
          <w:color w:val="000000"/>
          <w:sz w:val="24"/>
          <w:u w:val="single"/>
        </w:rPr>
        <w:t>Section 3.1(c)</w:t>
      </w:r>
      <w:r>
        <w:rPr>
          <w:rFonts w:ascii="Times New Roman" w:hAnsi="Times New Roman"/>
          <w:color w:val="000000"/>
          <w:sz w:val="24"/>
        </w:rPr>
        <w: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color w:val="000000"/>
        </w:rPr>
        <w:t>“</w:t>
      </w:r>
      <w:r>
        <w:rPr>
          <w:rFonts w:ascii="Times New Roman" w:hAnsi="Times New Roman"/>
          <w:color w:val="000000"/>
          <w:sz w:val="24"/>
          <w:u w:val="single"/>
        </w:rPr>
        <w:t>Distributor Private Brand</w:t>
      </w:r>
      <w:r>
        <w:rPr>
          <w:color w:val="000000"/>
        </w:rPr>
        <w:t xml:space="preserve">” </w:t>
      </w:r>
      <w:r>
        <w:rPr>
          <w:rFonts w:ascii="Times New Roman" w:hAnsi="Times New Roman"/>
          <w:color w:val="000000"/>
          <w:sz w:val="24"/>
        </w:rPr>
        <w:t>means the labels, packaging, webpages, and other marketing materials of Distributor, together with all related trademarks, copyrights and associated goodwill.</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color w:val="000000"/>
        </w:rPr>
        <w:t>“</w:t>
      </w:r>
      <w:r>
        <w:rPr>
          <w:rFonts w:ascii="Times New Roman" w:hAnsi="Times New Roman"/>
          <w:color w:val="000000"/>
          <w:sz w:val="24"/>
          <w:u w:val="single"/>
        </w:rPr>
        <w:t>Distributor Product Branding</w:t>
      </w:r>
      <w:r>
        <w:rPr>
          <w:color w:val="000000"/>
        </w:rPr>
        <w:t xml:space="preserve">” </w:t>
      </w:r>
      <w:r>
        <w:rPr>
          <w:rFonts w:ascii="Times New Roman" w:hAnsi="Times New Roman"/>
          <w:color w:val="000000"/>
          <w:sz w:val="24"/>
        </w:rPr>
        <w:t xml:space="preserve">means the trade names, trademarks, catalog numbers, trade dress, trade styles, logos, symbols, corporate names and other branding elements, that Distributor will use to promote and sell Products hereunder. For clarity, (i) Distributor Product Branding shall include the Distributor Private Brand, and (ii) a Regenity Mark within Distributor Product Branding shall not comprise part of the Distributor Product Branding. </w:t>
        <w:br/>
      </w:r>
      <w:r>
        <w:rPr>
          <w:color w:val="000000"/>
        </w:rPr>
        <w:t>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DMS=InterwovenIManage Format=&lt;&lt;NUM&gt;&gt;_&lt;&lt;VER&gt;&gt; PRESERVELOCATION \* MERGEFORMAT47627155_9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color w:val="000000"/>
        </w:rPr>
        <w:t>“</w:t>
      </w:r>
      <w:r>
        <w:rPr>
          <w:rFonts w:ascii="Times New Roman" w:hAnsi="Times New Roman"/>
          <w:color w:val="000000"/>
          <w:sz w:val="24"/>
          <w:u w:val="single"/>
        </w:rPr>
        <w:t>FDA</w:t>
      </w:r>
      <w:r>
        <w:rPr>
          <w:color w:val="000000"/>
        </w:rPr>
        <w:t xml:space="preserve">” </w:t>
      </w:r>
      <w:r>
        <w:rPr>
          <w:rFonts w:ascii="Times New Roman" w:hAnsi="Times New Roman"/>
          <w:color w:val="000000"/>
          <w:sz w:val="24"/>
        </w:rPr>
        <w:t>means the U.S. Food and Drug Administration.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color w:val="000000"/>
        </w:rPr>
        <w:t>“</w:t>
      </w:r>
      <w:r>
        <w:rPr>
          <w:rFonts w:ascii="Times New Roman" w:hAnsi="Times New Roman"/>
          <w:color w:val="000000"/>
          <w:sz w:val="24"/>
          <w:u w:val="single"/>
        </w:rPr>
        <w:t>Field</w:t>
      </w:r>
      <w:r>
        <w:rPr>
          <w:color w:val="000000"/>
        </w:rPr>
        <w:t xml:space="preserve">” </w:t>
      </w:r>
      <w:r>
        <w:rPr>
          <w:rFonts w:ascii="Times New Roman" w:hAnsi="Times New Roman"/>
          <w:color w:val="000000"/>
          <w:sz w:val="24"/>
        </w:rPr>
        <w:t>means, with respect to a given Product in the Territory, the uses of such Product in accordance with received Regulatory Approval.</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color w:val="000000"/>
        </w:rPr>
        <w:t>“</w:t>
      </w:r>
      <w:r>
        <w:rPr>
          <w:rFonts w:ascii="Times New Roman" w:hAnsi="Times New Roman"/>
          <w:color w:val="000000"/>
          <w:sz w:val="24"/>
          <w:u w:val="single"/>
        </w:rPr>
        <w:t>Governmental Authority</w:t>
      </w:r>
      <w:r>
        <w:rPr>
          <w:color w:val="000000"/>
        </w:rPr>
        <w:t xml:space="preserve">” </w:t>
      </w:r>
      <w:r>
        <w:rPr>
          <w:rFonts w:ascii="Times New Roman" w:hAnsi="Times New Roman"/>
          <w:color w:val="000000"/>
          <w:sz w:val="24"/>
        </w:rPr>
        <w:t>means any court, agency, department, authority or other instrumentality of any national, state, county, city or other political subdivision.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color w:val="000000"/>
        </w:rPr>
        <w:t>“</w:t>
      </w:r>
      <w:r>
        <w:rPr>
          <w:rFonts w:ascii="Times New Roman" w:hAnsi="Times New Roman"/>
          <w:color w:val="000000"/>
          <w:sz w:val="24"/>
          <w:u w:val="single"/>
        </w:rPr>
        <w:t>Law</w:t>
      </w:r>
      <w:r>
        <w:rPr>
          <w:color w:val="000000"/>
        </w:rPr>
        <w:t xml:space="preserve">” </w:t>
      </w:r>
      <w:r>
        <w:rPr>
          <w:rFonts w:ascii="Times New Roman" w:hAnsi="Times New Roman"/>
          <w:color w:val="000000"/>
          <w:sz w:val="24"/>
        </w:rPr>
        <w:t>means any law, statute, rule, regulation, order, judgment or ordinance of any Governmental Authority.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color w:val="000000"/>
        </w:rPr>
        <w:t>“</w:t>
      </w:r>
      <w:r>
        <w:rPr>
          <w:rFonts w:ascii="Times New Roman" w:hAnsi="Times New Roman"/>
          <w:color w:val="000000"/>
          <w:sz w:val="24"/>
          <w:u w:val="single"/>
        </w:rPr>
        <w:t>PMA</w:t>
      </w:r>
      <w:r>
        <w:rPr>
          <w:color w:val="000000"/>
        </w:rPr>
        <w:t xml:space="preserve">” </w:t>
      </w:r>
      <w:r>
        <w:rPr>
          <w:rFonts w:ascii="Times New Roman" w:hAnsi="Times New Roman"/>
          <w:color w:val="000000"/>
          <w:sz w:val="24"/>
        </w:rPr>
        <w:t>means the Pre-Market Approval obtained by Distributor from the FDA for a Class III product that includes Distributor’s RECELL® platform.</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1.10</w:t>
      </w:r>
    </w:p>
    <w:p>
      <w:pPr>
        <w:pStyle w:val="TextBody"/>
        <w:bidi w:val="0"/>
        <w:jc w:val="left"/>
        <w:rPr/>
      </w:pPr>
      <w:r>
        <w:rPr>
          <w:color w:val="000000"/>
        </w:rPr>
        <w:t>“</w:t>
      </w:r>
      <w:r>
        <w:rPr>
          <w:rFonts w:ascii="Times New Roman" w:hAnsi="Times New Roman"/>
          <w:color w:val="000000"/>
          <w:sz w:val="24"/>
          <w:u w:val="single"/>
        </w:rPr>
        <w:t>PMA Alternative</w:t>
      </w:r>
      <w:r>
        <w:rPr>
          <w:color w:val="000000"/>
        </w:rPr>
        <w:t xml:space="preserve">” </w:t>
      </w:r>
      <w:r>
        <w:rPr>
          <w:rFonts w:ascii="Times New Roman" w:hAnsi="Times New Roman"/>
          <w:color w:val="000000"/>
          <w:sz w:val="24"/>
        </w:rPr>
        <w:t>means a clinical study that evaluates use of the Product together with the RECELL platform in a two-stage procedure with the following two endpoints: 1) time to graft and 2) time to closure. The endpoints need to demonstrate that use of the Product together with the RECELL platform demonstrates a level of performance at least equivalent to that of well-established, objective performance criteria of other comparable dermal matrices. The PMA Alternative will allow for the gathering of clinical data to support Distributor’s marketing, sales and distribution efforts as provided in this Agreement; in addition, the PMA Alternative may also be used as the basis for a future PMA application, upon mutual agreement of the Parties.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1.11</w:t>
      </w:r>
    </w:p>
    <w:p>
      <w:pPr>
        <w:pStyle w:val="TextBody"/>
        <w:bidi w:val="0"/>
        <w:jc w:val="left"/>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1.12 “</w:t>
      </w:r>
      <w:r>
        <w:rPr>
          <w:rFonts w:ascii="Times New Roman" w:hAnsi="Times New Roman"/>
          <w:color w:val="000000"/>
          <w:sz w:val="24"/>
          <w:u w:val="single"/>
        </w:rPr>
        <w:t>Product</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Products</w:t>
      </w:r>
      <w:r>
        <w:rPr>
          <w:rFonts w:ascii="Times New Roman" w:hAnsi="Times New Roman"/>
          <w:color w:val="000000"/>
          <w:sz w:val="20"/>
        </w:rPr>
        <w:t xml:space="preserve">” </w:t>
      </w:r>
      <w:r>
        <w:rPr>
          <w:rFonts w:ascii="Times New Roman" w:hAnsi="Times New Roman"/>
          <w:color w:val="000000"/>
          <w:sz w:val="24"/>
        </w:rPr>
        <w:t xml:space="preserve">means the specific Regenity product(s) listed in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when they are packaged, labeled, marketed and sold hereunder using Distributor Product Branding.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1.13 “</w:t>
      </w:r>
      <w:r>
        <w:rPr>
          <w:rFonts w:ascii="Times New Roman" w:hAnsi="Times New Roman"/>
          <w:color w:val="000000"/>
          <w:sz w:val="24"/>
          <w:u w:val="single"/>
        </w:rPr>
        <w:t>Regulatory Approval</w:t>
      </w:r>
      <w:r>
        <w:rPr>
          <w:rFonts w:ascii="Times New Roman" w:hAnsi="Times New Roman"/>
          <w:color w:val="000000"/>
          <w:sz w:val="20"/>
        </w:rPr>
        <w:t xml:space="preserve">” </w:t>
      </w:r>
      <w:r>
        <w:rPr>
          <w:rFonts w:ascii="Times New Roman" w:hAnsi="Times New Roman"/>
          <w:color w:val="000000"/>
          <w:sz w:val="24"/>
        </w:rPr>
        <w:t>means all technical, medical and scientific licenses, registrations, authorizations and approvals of any Regulatory Authority, necessary for the use, development, manufacture, and commercialization of a medical device in a regulatory jurisdiction.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1.14 “</w:t>
      </w:r>
      <w:r>
        <w:rPr>
          <w:rFonts w:ascii="Times New Roman" w:hAnsi="Times New Roman"/>
          <w:color w:val="000000"/>
          <w:sz w:val="24"/>
          <w:u w:val="single"/>
        </w:rPr>
        <w:t>Regulatory Authority</w:t>
      </w:r>
      <w:r>
        <w:rPr>
          <w:rFonts w:ascii="Times New Roman" w:hAnsi="Times New Roman"/>
          <w:color w:val="000000"/>
          <w:sz w:val="20"/>
        </w:rPr>
        <w:t xml:space="preserve">” </w:t>
      </w:r>
      <w:r>
        <w:rPr>
          <w:rFonts w:ascii="Times New Roman" w:hAnsi="Times New Roman"/>
          <w:color w:val="000000"/>
          <w:sz w:val="24"/>
        </w:rPr>
        <w:t>means, with respect to the Territory, any national (e.g., the FDA), regional, state or local regulatory agency, department, bureau, commission, council or other Governmental Authority involved in the granting of a Regulatory Approval for medical devices in such country.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1.15 “</w:t>
      </w:r>
      <w:r>
        <w:rPr>
          <w:rFonts w:ascii="Times New Roman" w:hAnsi="Times New Roman"/>
          <w:color w:val="000000"/>
          <w:sz w:val="24"/>
          <w:u w:val="single"/>
        </w:rPr>
        <w:t>Representatives</w:t>
      </w:r>
      <w:r>
        <w:rPr>
          <w:rFonts w:ascii="Times New Roman" w:hAnsi="Times New Roman"/>
          <w:color w:val="000000"/>
          <w:sz w:val="20"/>
        </w:rPr>
        <w:t xml:space="preserve">” </w:t>
      </w:r>
      <w:r>
        <w:rPr>
          <w:rFonts w:ascii="Times New Roman" w:hAnsi="Times New Roman"/>
          <w:color w:val="000000"/>
          <w:sz w:val="24"/>
        </w:rPr>
        <w:t>means, with respect to a Party, such Party’s officers, directors, employees, consultants, contractors and agents.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1.16 “</w:t>
      </w:r>
      <w:r>
        <w:rPr>
          <w:rFonts w:ascii="Times New Roman" w:hAnsi="Times New Roman"/>
          <w:color w:val="000000"/>
          <w:sz w:val="24"/>
          <w:u w:val="single"/>
        </w:rPr>
        <w:t>Return Policy</w:t>
      </w:r>
      <w:r>
        <w:rPr>
          <w:rFonts w:ascii="Times New Roman" w:hAnsi="Times New Roman"/>
          <w:color w:val="000000"/>
          <w:sz w:val="20"/>
        </w:rPr>
        <w:t xml:space="preserve">” </w:t>
      </w:r>
      <w:r>
        <w:rPr>
          <w:rFonts w:ascii="Times New Roman" w:hAnsi="Times New Roman"/>
          <w:color w:val="000000"/>
          <w:sz w:val="24"/>
        </w:rPr>
        <w:t>means Regenity’s internal policy regarding returns, as in effect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from time to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1.17 “</w:t>
      </w:r>
      <w:r>
        <w:rPr>
          <w:rFonts w:ascii="Times New Roman" w:hAnsi="Times New Roman"/>
          <w:color w:val="000000"/>
          <w:sz w:val="24"/>
          <w:u w:val="single"/>
        </w:rPr>
        <w:t>Specifications</w:t>
      </w:r>
      <w:r>
        <w:rPr>
          <w:rFonts w:ascii="Times New Roman" w:hAnsi="Times New Roman"/>
          <w:color w:val="000000"/>
          <w:sz w:val="20"/>
        </w:rPr>
        <w:t xml:space="preserve">” </w:t>
      </w:r>
      <w:r>
        <w:rPr>
          <w:rFonts w:ascii="Times New Roman" w:hAnsi="Times New Roman"/>
          <w:color w:val="000000"/>
          <w:sz w:val="24"/>
        </w:rPr>
        <w:t xml:space="preserve">means, with respect to a given Product, the specifications for such Product set forth in </w:t>
      </w:r>
      <w:r>
        <w:rPr>
          <w:rFonts w:ascii="Times New Roman" w:hAnsi="Times New Roman"/>
          <w:color w:val="000000"/>
          <w:sz w:val="24"/>
          <w:u w:val="single"/>
        </w:rPr>
        <w:t>Schedule D</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1.18 “</w:t>
      </w:r>
      <w:r>
        <w:rPr>
          <w:rFonts w:ascii="Times New Roman" w:hAnsi="Times New Roman"/>
          <w:color w:val="000000"/>
          <w:sz w:val="24"/>
          <w:u w:val="single"/>
        </w:rPr>
        <w:t>Statement of Work</w:t>
      </w:r>
      <w:r>
        <w:rPr>
          <w:rFonts w:ascii="Times New Roman" w:hAnsi="Times New Roman"/>
          <w:color w:val="000000"/>
          <w:sz w:val="20"/>
        </w:rPr>
        <w:t xml:space="preserve">” </w:t>
      </w:r>
      <w:r>
        <w:rPr>
          <w:rFonts w:ascii="Times New Roman" w:hAnsi="Times New Roman"/>
          <w:color w:val="000000"/>
          <w:sz w:val="24"/>
        </w:rPr>
        <w:t>means a document to be attached to this Agreement after the Effective Date that outlines additional work agreed upon by the Parties including, but not limited to, regulatory filings and development of new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1.19 “</w:t>
      </w:r>
      <w:r>
        <w:rPr>
          <w:rFonts w:ascii="Times New Roman" w:hAnsi="Times New Roman"/>
          <w:color w:val="000000"/>
          <w:sz w:val="24"/>
          <w:u w:val="single"/>
        </w:rPr>
        <w:t>Territory</w:t>
      </w:r>
      <w:r>
        <w:rPr>
          <w:rFonts w:ascii="Times New Roman" w:hAnsi="Times New Roman"/>
          <w:color w:val="000000"/>
          <w:sz w:val="20"/>
        </w:rPr>
        <w:t xml:space="preserve">” </w:t>
      </w:r>
      <w:r>
        <w:rPr>
          <w:rFonts w:ascii="Times New Roman" w:hAnsi="Times New Roman"/>
          <w:color w:val="000000"/>
          <w:sz w:val="24"/>
        </w:rPr>
        <w:t xml:space="preserve">means the country specified in </w:t>
      </w:r>
      <w:r>
        <w:rPr>
          <w:rFonts w:ascii="Times New Roman" w:hAnsi="Times New Roman"/>
          <w:color w:val="000000"/>
          <w:sz w:val="24"/>
          <w:u w:val="single"/>
        </w:rPr>
        <w:t>Schedule B</w:t>
      </w:r>
      <w:r>
        <w:rPr>
          <w:rFonts w:ascii="Times New Roman" w:hAnsi="Times New Roman"/>
          <w:color w:val="000000"/>
          <w:sz w:val="20"/>
        </w:rPr>
        <w:t xml:space="preserve"> </w:t>
      </w:r>
      <w:r>
        <w:rPr>
          <w:rFonts w:ascii="Times New Roman" w:hAnsi="Times New Roman"/>
          <w:color w:val="000000"/>
          <w:sz w:val="24"/>
        </w:rPr>
        <w:t>which may be amended by the Parties from time to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1.20 “</w:t>
      </w:r>
      <w:r>
        <w:rPr>
          <w:rFonts w:ascii="Times New Roman" w:hAnsi="Times New Roman"/>
          <w:color w:val="000000"/>
          <w:sz w:val="24"/>
          <w:u w:val="single"/>
        </w:rPr>
        <w:t>Third Party</w:t>
      </w:r>
      <w:r>
        <w:rPr>
          <w:rFonts w:ascii="Times New Roman" w:hAnsi="Times New Roman"/>
          <w:color w:val="000000"/>
          <w:sz w:val="20"/>
        </w:rPr>
        <w:t xml:space="preserve">” </w:t>
      </w:r>
      <w:r>
        <w:rPr>
          <w:rFonts w:ascii="Times New Roman" w:hAnsi="Times New Roman"/>
          <w:color w:val="000000"/>
          <w:sz w:val="24"/>
        </w:rPr>
        <w:t>means any Person other than Regenity, Distributor or their respective affiliates or Representatives.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1.21 “</w:t>
      </w:r>
      <w:r>
        <w:rPr>
          <w:rFonts w:ascii="Times New Roman" w:hAnsi="Times New Roman"/>
          <w:color w:val="000000"/>
          <w:sz w:val="24"/>
          <w:u w:val="single"/>
        </w:rPr>
        <w:t>Unit</w:t>
      </w:r>
      <w:r>
        <w:rPr>
          <w:rFonts w:ascii="Times New Roman" w:hAnsi="Times New Roman"/>
          <w:color w:val="000000"/>
          <w:sz w:val="20"/>
        </w:rPr>
        <w:t xml:space="preserve">” </w:t>
      </w:r>
      <w:r>
        <w:rPr>
          <w:rFonts w:ascii="Times New Roman" w:hAnsi="Times New Roman"/>
          <w:color w:val="000000"/>
          <w:sz w:val="24"/>
        </w:rPr>
        <w:t>means one packaged unit of a given Product.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1.22 “</w:t>
      </w:r>
      <w:r>
        <w:rPr>
          <w:rFonts w:ascii="Times New Roman" w:hAnsi="Times New Roman"/>
          <w:color w:val="000000"/>
          <w:sz w:val="24"/>
          <w:u w:val="single"/>
        </w:rPr>
        <w:t>Unit Purchase Price</w:t>
      </w:r>
      <w:r>
        <w:rPr>
          <w:rFonts w:ascii="Times New Roman" w:hAnsi="Times New Roman"/>
          <w:color w:val="000000"/>
          <w:sz w:val="20"/>
        </w:rPr>
        <w:t xml:space="preserve">” </w:t>
      </w:r>
      <w:r>
        <w:rPr>
          <w:rFonts w:ascii="Times New Roman" w:hAnsi="Times New Roman"/>
          <w:color w:val="000000"/>
          <w:sz w:val="24"/>
        </w:rPr>
        <w:t xml:space="preserve">means, with respect to one (1) Unit of a given Product, the corresponding unit purchase price set forth in </w:t>
      </w:r>
      <w:r>
        <w:rPr>
          <w:rFonts w:ascii="Times New Roman" w:hAnsi="Times New Roman"/>
          <w:color w:val="000000"/>
          <w:sz w:val="24"/>
          <w:u w:val="single"/>
        </w:rPr>
        <w:t>Schedule A</w:t>
      </w:r>
      <w:r>
        <w:rPr>
          <w:rFonts w:ascii="Times New Roman" w:hAnsi="Times New Roman"/>
          <w:color w:val="000000"/>
          <w:sz w:val="24"/>
        </w:rPr>
        <w:t xml:space="preserve">, as adjusted from time to time in accordance with </w:t>
      </w:r>
      <w:r>
        <w:rPr>
          <w:rFonts w:ascii="Times New Roman" w:hAnsi="Times New Roman"/>
          <w:color w:val="000000"/>
          <w:sz w:val="24"/>
          <w:u w:val="single"/>
        </w:rPr>
        <w:t>Section 3.2</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1.23 “</w:t>
      </w:r>
      <w:r>
        <w:rPr>
          <w:rFonts w:ascii="Times New Roman" w:hAnsi="Times New Roman"/>
          <w:color w:val="000000"/>
          <w:sz w:val="24"/>
          <w:u w:val="single"/>
        </w:rPr>
        <w:t>Warranty Period</w:t>
      </w:r>
      <w:r>
        <w:rPr>
          <w:rFonts w:ascii="Times New Roman" w:hAnsi="Times New Roman"/>
          <w:color w:val="000000"/>
          <w:sz w:val="20"/>
        </w:rPr>
        <w:t xml:space="preserve">” </w:t>
      </w:r>
      <w:r>
        <w:rPr>
          <w:rFonts w:ascii="Times New Roman" w:hAnsi="Times New Roman"/>
          <w:color w:val="000000"/>
          <w:sz w:val="24"/>
        </w:rPr>
        <w:t xml:space="preserve">means, with respect to a given delivery of Products, the time period from the receipt of Products by Distributor to the expiration date of the Products following delivery of such Products pursuant to </w:t>
      </w:r>
      <w:r>
        <w:rPr>
          <w:rFonts w:ascii="Times New Roman" w:hAnsi="Times New Roman"/>
          <w:color w:val="000000"/>
          <w:sz w:val="24"/>
          <w:u w:val="single"/>
        </w:rPr>
        <w:t>Section 3.2(b)</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 xml:space="preserve">1.24 </w:t>
      </w:r>
      <w:r>
        <w:rPr>
          <w:rFonts w:ascii="Times New Roman" w:hAnsi="Times New Roman"/>
          <w:color w:val="000000"/>
          <w:sz w:val="24"/>
          <w:u w:val="single"/>
        </w:rPr>
        <w:t>Cross Reference Table</w:t>
      </w:r>
      <w:r>
        <w:rPr>
          <w:rFonts w:ascii="Times New Roman" w:hAnsi="Times New Roman"/>
          <w:color w:val="000000"/>
          <w:sz w:val="24"/>
        </w:rPr>
        <w:t>. The following terms are defined elsewhere in this Agreement in the Sections set forth below:</w:t>
      </w:r>
    </w:p>
    <w:p>
      <w:pPr>
        <w:pStyle w:val="TextBody"/>
        <w:bidi w:val="0"/>
        <w:jc w:val="both"/>
        <w:rPr/>
      </w:pPr>
      <w:r>
        <w:rPr/>
        <w:t> </w:t>
      </w:r>
    </w:p>
    <w:tbl>
      <w:tblPr>
        <w:tblW w:w="3497" w:type="dxa"/>
        <w:jc w:val="left"/>
        <w:tblInd w:w="0" w:type="dxa"/>
        <w:tblLayout w:type="fixed"/>
        <w:tblCellMar>
          <w:top w:w="28" w:type="dxa"/>
          <w:left w:w="28" w:type="dxa"/>
          <w:bottom w:w="28" w:type="dxa"/>
          <w:right w:w="28" w:type="dxa"/>
        </w:tblCellMar>
      </w:tblPr>
      <w:tblGrid>
        <w:gridCol w:w="2461"/>
        <w:gridCol w:w="1036"/>
      </w:tblGrid>
      <w:tr>
        <w:trPr/>
        <w:tc>
          <w:tcPr>
            <w:tcW w:w="24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4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Term</w:t>
            </w:r>
          </w:p>
        </w:tc>
        <w:tc>
          <w:tcPr>
            <w:tcW w:w="10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Section</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Carrier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3.2(b)</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Regenity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Regenity Marks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7.2</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 Information</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Damages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5.2(a)</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Defense Costs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5.2(b)</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Disclosing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Distributor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Distributor Marks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7.4</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Indemnities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5.2(a)</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Indemnitor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5.2(a)</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Marketing Materials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2.5(a)(ii)</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Orders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3.1(b)</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Product IP</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7.5</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Product Issues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2.7(b)</w:t>
            </w:r>
          </w:p>
        </w:tc>
      </w:tr>
      <w:tr>
        <w:trPr/>
        <w:tc>
          <w:tcPr>
            <w:tcW w:w="24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Product Warranty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3.5(a)</w:t>
            </w:r>
          </w:p>
        </w:tc>
      </w:tr>
    </w:tbl>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957" w:type="dxa"/>
        <w:jc w:val="left"/>
        <w:tblInd w:w="0" w:type="dxa"/>
        <w:tblLayout w:type="fixed"/>
        <w:tblCellMar>
          <w:top w:w="28" w:type="dxa"/>
          <w:left w:w="28" w:type="dxa"/>
          <w:bottom w:w="28" w:type="dxa"/>
          <w:right w:w="28" w:type="dxa"/>
        </w:tblCellMar>
      </w:tblPr>
      <w:tblGrid>
        <w:gridCol w:w="2251"/>
        <w:gridCol w:w="706"/>
      </w:tblGrid>
      <w:tr>
        <w:trPr/>
        <w:tc>
          <w:tcPr>
            <w:tcW w:w="225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Recall Action</w:t>
            </w:r>
          </w:p>
        </w:tc>
        <w:tc>
          <w:tcPr>
            <w:tcW w:w="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2.7(c)</w:t>
            </w:r>
          </w:p>
        </w:tc>
      </w:tr>
      <w:tr>
        <w:trPr/>
        <w:tc>
          <w:tcPr>
            <w:tcW w:w="22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Recipient</w:t>
            </w:r>
          </w:p>
        </w:tc>
        <w:tc>
          <w:tcPr>
            <w:tcW w:w="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w:t>
            </w:r>
          </w:p>
        </w:tc>
      </w:tr>
      <w:tr>
        <w:trPr/>
        <w:tc>
          <w:tcPr>
            <w:tcW w:w="22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Returns</w:t>
            </w:r>
          </w:p>
        </w:tc>
        <w:tc>
          <w:tcPr>
            <w:tcW w:w="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3.6</w:t>
            </w:r>
          </w:p>
        </w:tc>
      </w:tr>
      <w:tr>
        <w:trPr/>
        <w:tc>
          <w:tcPr>
            <w:tcW w:w="22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w:t>
            </w:r>
          </w:p>
        </w:tc>
        <w:tc>
          <w:tcPr>
            <w:tcW w:w="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4.1</w:t>
            </w:r>
          </w:p>
        </w:tc>
      </w:tr>
      <w:tr>
        <w:trPr/>
        <w:tc>
          <w:tcPr>
            <w:tcW w:w="22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Territory Commitment</w:t>
            </w:r>
          </w:p>
        </w:tc>
        <w:tc>
          <w:tcPr>
            <w:tcW w:w="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2.3</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II</w:t>
      </w:r>
    </w:p>
    <w:p>
      <w:pPr>
        <w:pStyle w:val="TextBody"/>
        <w:bidi w:val="0"/>
        <w:jc w:val="left"/>
        <w:rPr>
          <w:rFonts w:ascii="Times New Roman" w:hAnsi="Times New Roman"/>
          <w:b/>
          <w:color w:val="000000"/>
          <w:sz w:val="24"/>
        </w:rPr>
      </w:pPr>
      <w:r>
        <w:rPr>
          <w:rFonts w:ascii="Times New Roman" w:hAnsi="Times New Roman"/>
          <w:b/>
          <w:color w:val="000000"/>
          <w:sz w:val="24"/>
        </w:rPr>
        <w:t>Distribution of the Product</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2.1</w:t>
      </w:r>
    </w:p>
    <w:p>
      <w:pPr>
        <w:pStyle w:val="TextBody"/>
        <w:bidi w:val="0"/>
        <w:jc w:val="left"/>
        <w:rPr/>
      </w:pPr>
      <w:r>
        <w:rPr>
          <w:rFonts w:ascii="Times New Roman" w:hAnsi="Times New Roman"/>
          <w:color w:val="000000"/>
          <w:sz w:val="24"/>
          <w:u w:val="single"/>
        </w:rPr>
        <w:t>Exclusive Distribution.</w:t>
      </w:r>
      <w:r>
        <w:rPr>
          <w:color w:val="000000"/>
        </w:rPr>
        <w:t xml:space="preserve"> </w:t>
      </w:r>
      <w:r>
        <w:rPr>
          <w:rFonts w:ascii="Times New Roman" w:hAnsi="Times New Roman"/>
          <w:color w:val="000000"/>
          <w:sz w:val="24"/>
        </w:rPr>
        <w:t>Subject to the terms and conditions of this Agreement, Regenity hereby appoints Distributor as the exclusive distributor, and Distributor accepts such exclusive engagement to market, sell and distribute Product(s) to customers within the Territory for use in the Field. While Distributor’s Exclusive Distribution (as defined below) is granted by Regenity as of the Effective Date, Distributor’s right to such Exclusive Distribution shall be automatically triggered upon receipt by Regenity of 510(k) clearance by the FDA for the intended use and indications for use as a Class II medical device as agreed between the Parties (the “</w:t>
      </w:r>
      <w:r>
        <w:rPr>
          <w:rFonts w:ascii="Times New Roman" w:hAnsi="Times New Roman"/>
          <w:color w:val="000000"/>
          <w:sz w:val="24"/>
          <w:u w:val="single"/>
        </w:rPr>
        <w:t>FDA Clearance Date</w:t>
      </w:r>
      <w:r>
        <w:rPr>
          <w:color w:val="000000"/>
        </w:rPr>
        <w:t>”</w:t>
      </w:r>
      <w:r>
        <w:rPr>
          <w:rFonts w:ascii="Times New Roman" w:hAnsi="Times New Roman"/>
          <w:color w:val="000000"/>
          <w:sz w:val="24"/>
        </w:rPr>
        <w:t xml:space="preserve">). Distributor shall purchase the Products supplied by Regenity and resell such Products in its own name, for its own account, and at its own risk except for Products subject to manufacturing defects, or recall, modification or discontinuation events as provided under Sections 2.4(b) and 2.7 (as applicable) whereby any risk related to the marketing, sale and distribution of the Products will be borne by Regenity. Distributor is an independent distributor and is not an agent of Regenity for any purpose. </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2.2</w:t>
      </w:r>
    </w:p>
    <w:p>
      <w:pPr>
        <w:pStyle w:val="TextBody"/>
        <w:bidi w:val="0"/>
        <w:jc w:val="left"/>
        <w:rPr/>
      </w:pPr>
      <w:r>
        <w:rPr>
          <w:rFonts w:ascii="Times New Roman" w:hAnsi="Times New Roman"/>
          <w:color w:val="000000"/>
          <w:sz w:val="24"/>
          <w:u w:val="single"/>
        </w:rPr>
        <w:t>Exclusivity</w:t>
      </w:r>
      <w:r>
        <w:rPr>
          <w:rFonts w:ascii="Times New Roman" w:hAnsi="Times New Roman"/>
          <w:color w:val="000000"/>
          <w:sz w:val="24"/>
        </w:rPr>
        <w:t>.</w:t>
        <w:br/>
        <w:t xml:space="preserve">(a) </w:t>
      </w:r>
      <w:r>
        <w:rPr>
          <w:rFonts w:ascii="Times New Roman" w:hAnsi="Times New Roman"/>
          <w:i/>
          <w:color w:val="000000"/>
          <w:sz w:val="24"/>
        </w:rPr>
        <w:t>Payments by Distributor</w:t>
      </w:r>
      <w:r>
        <w:rPr>
          <w:rFonts w:ascii="Times New Roman" w:hAnsi="Times New Roman"/>
          <w:color w:val="000000"/>
          <w:sz w:val="24"/>
        </w:rPr>
        <w:t>. In consideration of the rights to exclusive distribution of the Products to the Field in the Territory (which will include branding services provided by Regenity for the Distributor Private Brand) (the “Exclusive Distribution”), Distributor will make certain payments totaling up to five million United States Dollars (US$ 5,000,000) to Regenity, as follows: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A payment of two million United States Dollars (US$ 2,000,000) due on, and payable within 10 business days of, the FDA Clearance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(ii) A payment of three million United States Dollars (US$ 3,000,000) on or before January 4, 2026 which shall be utilized by Regenity to prioritize the allocation of additional resources to guarantee the development and manufacturing capacity necessary to meet Distributor’s distribution plans for the Product; </w:t>
      </w:r>
      <w:r>
        <w:rPr>
          <w:rFonts w:ascii="Times New Roman" w:hAnsi="Times New Roman"/>
          <w:i/>
          <w:color w:val="000000"/>
          <w:sz w:val="24"/>
        </w:rPr>
        <w:t>for the avoidance of doubt</w:t>
      </w:r>
      <w:r>
        <w:rPr>
          <w:rFonts w:ascii="Times New Roman" w:hAnsi="Times New Roman"/>
          <w:color w:val="000000"/>
          <w:sz w:val="24"/>
        </w:rPr>
        <w:t>, Distributor will make this third payment in consideration of the Exclusive Distribution. Distributor will make this $3,000,000 payment only in the event that Distributor has made neither the First Termination Payment nor the Second Termination Payment as provided by Section 4.1(a) below.</w:t>
      </w:r>
      <w:r>
        <w:rPr>
          <w:rFonts w:ascii="Arial" w:hAnsi="Arial"/>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Termination of Exclusivity</w:t>
      </w:r>
      <w:r>
        <w:rPr>
          <w:rFonts w:ascii="Times New Roman" w:hAnsi="Times New Roman"/>
          <w:color w:val="000000"/>
          <w:sz w:val="24"/>
        </w:rPr>
        <w:t>. As of January 1, 2027, Regenity may terminate exclusivity rights if Distributor does not meet the target product revenues for each of the applicable years as set forth on Schedule E (the “</w:t>
      </w:r>
      <w:r>
        <w:rPr>
          <w:rFonts w:ascii="Times New Roman" w:hAnsi="Times New Roman"/>
          <w:color w:val="000000"/>
          <w:sz w:val="24"/>
          <w:u w:val="single"/>
        </w:rPr>
        <w:t>Target Product Revenues</w:t>
      </w:r>
      <w:r>
        <w:rPr>
          <w:rFonts w:ascii="Times New Roman" w:hAnsi="Times New Roman"/>
          <w:color w:val="000000"/>
          <w:sz w:val="20"/>
        </w:rPr>
        <w:t>”</w:t>
      </w:r>
      <w:r>
        <w:rPr>
          <w:rFonts w:ascii="Times New Roman" w:hAnsi="Times New Roman"/>
          <w:color w:val="000000"/>
          <w:sz w:val="24"/>
        </w:rPr>
        <w:t>) and does not exercise its options to cure the failure of any such Target Product Revenue as provided by Section 2.2(c) below. In the event Regenity terminates Distributor’s exclusive distribution rights in accordance with this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sub-Section 2.2(b), such termination shall not result in termination of the Agreement nor in any compensation claims of Regenity.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Distributor’s Cure Options</w:t>
      </w:r>
      <w:r>
        <w:rPr>
          <w:rFonts w:ascii="Times New Roman" w:hAnsi="Times New Roman"/>
          <w:color w:val="000000"/>
          <w:sz w:val="24"/>
        </w:rPr>
        <w:t>. If Distributor fails to meet the Revenue Forecast for any of the years as set forth on Schedule E, in order to maintain its exclusive distribution rights under this Agreement, Distributor may, at its sole discretion, within 30 days after the end of such applicable year, either (a) make a lump sum dollar payment to Regenity, with the payment equal to the Guaranteed Regenity Target Product Revenue (as defined on Schedule E) less the amount paid to Regenity for the Product during the applicable year; or (b) purchase an additional amount of the Product so that the Guaranteed Regenity Target Product Revenue (as set forth on Schedule E) for the prior year is satisfied.</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2.3</w:t>
      </w:r>
    </w:p>
    <w:p>
      <w:pPr>
        <w:pStyle w:val="TextBody"/>
        <w:bidi w:val="0"/>
        <w:jc w:val="left"/>
        <w:rPr/>
      </w:pPr>
      <w:r>
        <w:rPr>
          <w:rFonts w:ascii="Times New Roman" w:hAnsi="Times New Roman"/>
          <w:color w:val="000000"/>
          <w:sz w:val="24"/>
          <w:u w:val="single"/>
        </w:rPr>
        <w:t>The Territory</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br/>
        <w:t xml:space="preserve">(a) </w:t>
      </w:r>
      <w:r>
        <w:rPr>
          <w:rFonts w:ascii="Times New Roman" w:hAnsi="Times New Roman"/>
          <w:i/>
          <w:color w:val="000000"/>
          <w:sz w:val="24"/>
        </w:rPr>
        <w:t>No Sales Outside the Territory or the Field</w:t>
      </w:r>
      <w:r>
        <w:rPr>
          <w:rFonts w:ascii="Times New Roman" w:hAnsi="Times New Roman"/>
          <w:color w:val="000000"/>
          <w:sz w:val="24"/>
        </w:rPr>
        <w:t>. Distributor shall not market, sell or distribute the Products to customers located outside the Territory or otherwise solicit or encourage customers located outside the Territory to submit orders for Products to the Distributor. Distributor shall limit its marketing, sales and distribution activities to those designed to attract orders from customers in the Territory who use the Products in the Field. Distributor shall promptly forward to Regenity all inquiries relating to Products or potential purchases of Products from customers or potential customers outside the Territory.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Expansion of the Territory</w:t>
      </w:r>
      <w:r>
        <w:rPr>
          <w:rFonts w:ascii="Times New Roman" w:hAnsi="Times New Roman"/>
          <w:color w:val="000000"/>
          <w:sz w:val="24"/>
        </w:rPr>
        <w:t xml:space="preserve">. Distributor shall have the right, at any time from the Effective Date through December 31, 2025 to request that Regenity submits for regulatory clearance(s) of the Products in the countries of the European Union, as well as Australia and Japan. The submission of these regulatory filings shall be reflected through a Statement of Work to be attached to this Agreement, executed by the Parties, by no later than December 31, 2025. Upon regulatory approval, the expansion of the Territory shall be reflected through an amendment of </w:t>
      </w:r>
      <w:r>
        <w:rPr>
          <w:rFonts w:ascii="Times New Roman" w:hAnsi="Times New Roman"/>
          <w:color w:val="000000"/>
          <w:sz w:val="24"/>
          <w:u w:val="single"/>
        </w:rPr>
        <w:t>Schedule B</w:t>
      </w:r>
      <w:r>
        <w:rPr>
          <w:rFonts w:ascii="Times New Roman" w:hAnsi="Times New Roman"/>
          <w:color w:val="000000"/>
          <w:sz w:val="24"/>
        </w:rPr>
        <w:t>. Distributor’s Exclusive Distribution rights in the Territory as expanded in accordance with this section 2.3(b) shall remain in place for the Term unless its distribution rights are terminated in accordance with the provisions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obligations of, and limitations on, Distributor under this </w:t>
      </w:r>
      <w:r>
        <w:rPr>
          <w:rFonts w:ascii="Times New Roman" w:hAnsi="Times New Roman"/>
          <w:color w:val="000000"/>
          <w:sz w:val="24"/>
          <w:u w:val="single"/>
        </w:rPr>
        <w:t xml:space="preserve">Section 2.3 </w:t>
      </w:r>
      <w:r>
        <w:rPr>
          <w:rFonts w:ascii="Times New Roman" w:hAnsi="Times New Roman"/>
          <w:color w:val="000000"/>
          <w:sz w:val="24"/>
        </w:rPr>
        <w:t>are referred to collectively as Distributor’s “</w:t>
      </w:r>
      <w:r>
        <w:rPr>
          <w:rFonts w:ascii="Times New Roman" w:hAnsi="Times New Roman"/>
          <w:color w:val="000000"/>
          <w:sz w:val="24"/>
          <w:u w:val="single"/>
        </w:rPr>
        <w:t>Territory Commitment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2.4</w:t>
      </w:r>
    </w:p>
    <w:p>
      <w:pPr>
        <w:pStyle w:val="TextBody"/>
        <w:bidi w:val="0"/>
        <w:jc w:val="left"/>
        <w:rPr/>
      </w:pPr>
      <w:r>
        <w:rPr>
          <w:rFonts w:ascii="Times New Roman" w:hAnsi="Times New Roman"/>
          <w:color w:val="000000"/>
          <w:sz w:val="24"/>
          <w:u w:val="single"/>
        </w:rPr>
        <w:t>Product Additions, Modifications and Discontinuation</w:t>
      </w:r>
      <w:r>
        <w:rPr>
          <w:rFonts w:ascii="Times New Roman" w:hAnsi="Times New Roman"/>
          <w:color w:val="000000"/>
          <w:sz w:val="24"/>
        </w:rPr>
        <w: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i/>
          <w:color w:val="000000"/>
          <w:sz w:val="24"/>
        </w:rPr>
        <w:t>New or Additional Products</w:t>
      </w:r>
      <w:r>
        <w:rPr>
          <w:rFonts w:ascii="Times New Roman" w:hAnsi="Times New Roman"/>
          <w:color w:val="000000"/>
          <w:sz w:val="24"/>
        </w:rPr>
        <w:t>. Upon mutual written agreement of the Parties, other</w:t>
      </w:r>
    </w:p>
    <w:p>
      <w:pPr>
        <w:pStyle w:val="TextBody"/>
        <w:bidi w:val="0"/>
        <w:jc w:val="left"/>
        <w:rPr>
          <w:rFonts w:ascii="Times New Roman" w:hAnsi="Times New Roman"/>
          <w:sz w:val="20"/>
        </w:rPr>
      </w:pPr>
      <w:r>
        <w:rPr>
          <w:rFonts w:ascii="Times New Roman" w:hAnsi="Times New Roman"/>
          <w:color w:val="000000"/>
          <w:sz w:val="24"/>
        </w:rPr>
        <w:t xml:space="preserve">Regenity products may be added to </w:t>
      </w:r>
      <w:r>
        <w:rPr>
          <w:rFonts w:ascii="Times New Roman" w:hAnsi="Times New Roman"/>
          <w:color w:val="000000"/>
          <w:sz w:val="24"/>
          <w:u w:val="single"/>
        </w:rPr>
        <w:t>Schedule A</w:t>
      </w:r>
      <w:r>
        <w:rPr>
          <w:rFonts w:ascii="Times New Roman" w:hAnsi="Times New Roman"/>
          <w:color w:val="000000"/>
          <w:sz w:val="24"/>
        </w:rPr>
        <w:t xml:space="preserve">. Upon the effective date of such change to </w:t>
      </w:r>
      <w:r>
        <w:rPr>
          <w:rFonts w:ascii="Times New Roman" w:hAnsi="Times New Roman"/>
          <w:color w:val="000000"/>
          <w:sz w:val="24"/>
          <w:u w:val="single"/>
        </w:rPr>
        <w:t>Schedule A</w:t>
      </w:r>
      <w:r>
        <w:rPr>
          <w:rFonts w:ascii="Times New Roman" w:hAnsi="Times New Roman"/>
          <w:color w:val="000000"/>
          <w:sz w:val="24"/>
        </w:rPr>
        <w:t xml:space="preserve">, such additional products shall be deemed to be “Products” for purposes of this Agreement. Any such change to </w:t>
      </w:r>
      <w:r>
        <w:rPr>
          <w:rFonts w:ascii="Times New Roman" w:hAnsi="Times New Roman"/>
          <w:color w:val="000000"/>
          <w:sz w:val="24"/>
          <w:u w:val="single"/>
        </w:rPr>
        <w:t>Schedule A</w:t>
      </w:r>
      <w:r>
        <w:rPr>
          <w:rFonts w:ascii="Times New Roman" w:hAnsi="Times New Roman"/>
          <w:color w:val="000000"/>
          <w:sz w:val="24"/>
        </w:rPr>
        <w:t>, to be effective, must be in writing, signed by an authorized representative of each Party, and must specify the price at which such Products will be sold to Distributor.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pPr>
      <w:r>
        <w:rPr>
          <w:rFonts w:ascii="Times New Roman" w:hAnsi="Times New Roman"/>
          <w:i/>
          <w:color w:val="000000"/>
          <w:sz w:val="24"/>
        </w:rPr>
        <w:t>Product Modifications and Discontinuation</w:t>
      </w:r>
      <w:r>
        <w:rPr>
          <w:rFonts w:ascii="Times New Roman" w:hAnsi="Times New Roman"/>
          <w:color w:val="000000"/>
          <w:sz w:val="24"/>
        </w:rPr>
        <w:t>. Regenity cannot modify or discontinue any</w:t>
      </w:r>
    </w:p>
    <w:p>
      <w:pPr>
        <w:pStyle w:val="TextBody"/>
        <w:bidi w:val="0"/>
        <w:jc w:val="left"/>
        <w:rPr>
          <w:rFonts w:ascii="Times New Roman" w:hAnsi="Times New Roman"/>
          <w:sz w:val="20"/>
        </w:rPr>
      </w:pPr>
      <w:r>
        <w:rPr>
          <w:rFonts w:ascii="Times New Roman" w:hAnsi="Times New Roman"/>
          <w:color w:val="000000"/>
          <w:sz w:val="24"/>
        </w:rPr>
        <w:t>Product at any time during the Term to the extent such modification impacts either the supply of, or any regulatory status (whether 510(k) or PMA) related to, the Product without developing a mutually agreed transition agreement with Distributor.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Additional Responsibilities of Distributor.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i/>
          <w:color w:val="000000"/>
          <w:sz w:val="24"/>
        </w:rPr>
        <w:t>Sales and Marketing Activity</w:t>
      </w:r>
      <w:r>
        <w:rPr>
          <w:rFonts w:ascii="Times New Roman" w:hAnsi="Times New Roman"/>
          <w:color w:val="000000"/>
          <w:sz w:val="24"/>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Marketing Efforts</w:t>
      </w:r>
      <w:r>
        <w:rPr>
          <w:rFonts w:ascii="Times New Roman" w:hAnsi="Times New Roman"/>
          <w:color w:val="000000"/>
          <w:sz w:val="24"/>
        </w:rPr>
        <w:t>. Consistent with the terms and conditions of this Agreement, Distributor shall use commercially reasonable efforts to promote the sale of Products to customers within the Territory for use in the Field.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Sales Activities and Materials</w:t>
      </w:r>
      <w:r>
        <w:rPr>
          <w:rFonts w:ascii="Times New Roman" w:hAnsi="Times New Roman"/>
          <w:color w:val="000000"/>
          <w:sz w:val="24"/>
        </w:rPr>
        <w:t>. Distributor shall produce promotional materials in commercially reasonable quantities to support the marketing of the Products in the Field within the Territory. Any marketing and sales activities conducted by Distributor shall be at Distributor’s sole cost and expense, unless otherwise agreed to by the Parties in writing. Distributor shall not market or promote any Product in any manner that is inconsistent with the approved labeling of the Product or its use solely within the Field. Distributor shall ensure that all of its brochures, technical data sheets, marketing, product catalogs, website content, white papers and other marketing and sales material that identifies or is used in connection with any Product (collectively, “</w:t>
      </w:r>
      <w:r>
        <w:rPr>
          <w:rFonts w:ascii="Times New Roman" w:hAnsi="Times New Roman"/>
          <w:color w:val="000000"/>
          <w:sz w:val="24"/>
          <w:u w:val="single"/>
        </w:rPr>
        <w:t>Marketing Materials</w:t>
      </w:r>
      <w:r>
        <w:rPr>
          <w:rFonts w:ascii="Times New Roman" w:hAnsi="Times New Roman"/>
          <w:color w:val="000000"/>
          <w:sz w:val="20"/>
        </w:rPr>
        <w:t>”</w:t>
      </w:r>
      <w:r>
        <w:rPr>
          <w:rFonts w:ascii="Times New Roman" w:hAnsi="Times New Roman"/>
          <w:color w:val="000000"/>
          <w:sz w:val="24"/>
        </w:rPr>
        <w:t xml:space="preserve">) complies with all applicable Laws. All Marketing Materials must be approved by Regenity prior to print and/or distribution. Subject to the provisions of </w:t>
      </w:r>
      <w:r>
        <w:rPr>
          <w:rFonts w:ascii="Times New Roman" w:hAnsi="Times New Roman"/>
          <w:color w:val="000000"/>
          <w:sz w:val="24"/>
          <w:u w:val="single"/>
        </w:rPr>
        <w:t>Article VI</w:t>
      </w:r>
      <w:r>
        <w:rPr>
          <w:rFonts w:ascii="Times New Roman" w:hAnsi="Times New Roman"/>
          <w:color w:val="000000"/>
          <w:sz w:val="24"/>
        </w:rPr>
        <w:t xml:space="preserve">, Regenity shall provide Distributor with available technical information that is reasonably necessary for Distributor to produce appropriate Marketing Materials for use during the Term. Distributor may use its web site to promote the Products in the Territory for use in the Field, provided that any links to Regenity’s web site must be approved in advance by Regenity and such usage otherwise complies with the requirements of this </w:t>
      </w:r>
      <w:r>
        <w:rPr>
          <w:rFonts w:ascii="Times New Roman" w:hAnsi="Times New Roman"/>
          <w:color w:val="000000"/>
          <w:sz w:val="24"/>
          <w:u w:val="single"/>
        </w:rPr>
        <w:t>Section 2.45a)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(iii) </w:t>
      </w:r>
      <w:r>
        <w:rPr>
          <w:rFonts w:ascii="Times New Roman" w:hAnsi="Times New Roman"/>
          <w:i/>
          <w:color w:val="000000"/>
          <w:sz w:val="24"/>
        </w:rPr>
        <w:t>Qualified Personnel</w:t>
      </w:r>
      <w:r>
        <w:rPr>
          <w:rFonts w:ascii="Times New Roman" w:hAnsi="Times New Roman"/>
          <w:color w:val="000000"/>
          <w:sz w:val="24"/>
        </w:rPr>
        <w:t>. Distributor, at its sole expense, shall maintain qualified sales and distribution personnel to perform the sales, marketing, and clinical support efforts required to satisfy its obligations under this Agreement. Distributor shall be responsible for the training of its Representatives and its sales representatives, sub-distributors, and end-users of the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(iv) </w:t>
      </w:r>
      <w:r>
        <w:rPr>
          <w:rFonts w:ascii="Times New Roman" w:hAnsi="Times New Roman"/>
          <w:i/>
          <w:color w:val="000000"/>
          <w:sz w:val="24"/>
        </w:rPr>
        <w:t>Authorized Customers</w:t>
      </w:r>
      <w:r>
        <w:rPr>
          <w:rFonts w:ascii="Times New Roman" w:hAnsi="Times New Roman"/>
          <w:color w:val="000000"/>
          <w:sz w:val="24"/>
        </w:rPr>
        <w:t>. Distributor shall sell Products only to licensed physicians, hospitals and other Persons who are permitted by applicable Law to possess and use the Products in the course of providing patient care services. Distributor shall not sell a Product to any Person who resells, or intends to resell, such Product without Regenity’s written authorization to resell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Business Standards</w:t>
      </w:r>
      <w:r>
        <w:rPr>
          <w:rFonts w:ascii="Times New Roman" w:hAnsi="Times New Roman"/>
          <w:color w:val="000000"/>
          <w:sz w:val="24"/>
        </w:rPr>
        <w:t>. As a distributor of the Products, Distributor shall conduct its business to the highest ethical and business standards in a manner that reflects favorably on the Products and on the reputation of Regenity. Further, Distributor shall not, and shall not permit its Representatives to, engage in any activity that may imply or express any false or misleading statements about Regenity or the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Compliance with Applicable Law</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General</w:t>
      </w:r>
      <w:r>
        <w:rPr>
          <w:rFonts w:ascii="Times New Roman" w:hAnsi="Times New Roman"/>
          <w:color w:val="000000"/>
          <w:sz w:val="24"/>
        </w:rPr>
        <w:t>. Distributor shall, and shall cause its Representatives to, comply with all applicable Laws in the performance of its activities under this Agreement, including, without limitation, anti-bribery and anti-corruption laws, accounting and record keeping laws, and laws relating to interactions with healthcare professionals or healthcare providers and government officials.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No Improper Payments or Incentives</w:t>
      </w:r>
      <w:r>
        <w:rPr>
          <w:rFonts w:ascii="Times New Roman" w:hAnsi="Times New Roman"/>
          <w:color w:val="000000"/>
          <w:sz w:val="24"/>
        </w:rPr>
        <w:t xml:space="preserve">. Without limiting Distributor’s other obligations under this </w:t>
      </w:r>
      <w:r>
        <w:rPr>
          <w:rFonts w:ascii="Times New Roman" w:hAnsi="Times New Roman"/>
          <w:color w:val="000000"/>
          <w:sz w:val="24"/>
          <w:u w:val="single"/>
        </w:rPr>
        <w:t>Section 2.5(c)</w:t>
      </w:r>
      <w:r>
        <w:rPr>
          <w:rFonts w:ascii="Times New Roman" w:hAnsi="Times New Roman"/>
          <w:color w:val="000000"/>
          <w:sz w:val="20"/>
        </w:rPr>
        <w:t xml:space="preserve"> </w:t>
      </w:r>
      <w:r>
        <w:rPr>
          <w:rFonts w:ascii="Times New Roman" w:hAnsi="Times New Roman"/>
          <w:color w:val="000000"/>
          <w:sz w:val="24"/>
        </w:rPr>
        <w:t>(A) with respect to any Product, payment, service or activity under this Agreement, Distributor shall not, and shall not permit its Representatives to, take any action directly or indirectly to offer, promise or pay, or authorize the offer or payment of, any money or anything of value in order to improperly or corruptly seek to influence any government official or any other Person in order to gain an improper advantage, and has not accepted, and will not accept in the future such payment and (B) Distributor certifies that in connection with this Agreement, such Distributor’s compensation system for its Representatives that perform any marketing, sales or distribution activities related to the Products is designed to ensure that financial incentives do not inappropriately motivate such Representatives to engage in improper or illegal marketing, sales or distribution of the Products (including off-label promotion), and excludes from employee incentive compensation sales that may be attributable to the off-label use of the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(iii) </w:t>
      </w:r>
      <w:r>
        <w:rPr>
          <w:rFonts w:ascii="Times New Roman" w:hAnsi="Times New Roman"/>
          <w:i/>
          <w:color w:val="000000"/>
          <w:sz w:val="24"/>
        </w:rPr>
        <w:t>Licenses and Permits</w:t>
      </w:r>
      <w:r>
        <w:rPr>
          <w:rFonts w:ascii="Times New Roman" w:hAnsi="Times New Roman"/>
          <w:color w:val="000000"/>
          <w:sz w:val="24"/>
        </w:rPr>
        <w:t>. Except for Regulatory Approvals for the Products themselves (which shall be held by Regenity, except for the PMA which shall be held by Distributor), Distributor shall obtain and maintain at its sole expense all licenses, permits and other authorizations required by each political jurisdiction within the Territory that are required for Distributor (and its Representatives, as applicable) to (x) market, sell and distribute the Products, (y) market, sell and distribute any product requiring a PMA, and (z) otherwise support its customers in accordance with the terms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No Debarment or Exclusion</w:t>
      </w:r>
      <w:r>
        <w:rPr>
          <w:rFonts w:ascii="Times New Roman" w:hAnsi="Times New Roman"/>
          <w:color w:val="000000"/>
          <w:sz w:val="24"/>
        </w:rPr>
        <w:t>. In connection with its activities under this Agreement, Distributor will not use any Representative, either itself or through a subsidiary or affiliate, that has been debarred or excluded by any Regulatory Authority or, to Distributor’s knowledge, is the subject of debarment or exclusion proceedings by any Regulatory Authority. If Distributor learns that any Representative performing on its behalf under this Agreement has been debarred or excluded by any Regulatory Authority, or has become the subject of debarment or exclusion proceedings by any Regulatory Authority, then Distributor shall promptly notify Regenity and shall prohibit such Representative from performing further on Distributor’s behalf under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Regulatory Approvals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Regenity shall be responsible for obtaining FDA 510(k) clearances. All Regulatory Approvals relating to the Products in the Territory, including, without limitation, all Distributor Requested Approvals, shall be (i) filed in the name of Regenity or its authorized designee and (ii) owned exclusively by Regenity or its authorized designee, except for any Regulatory Approval related to a product for which a PMA or a PMA Alternative is being sought (Regenity and RECELL). In the event of expiration or termination of this Agreement, if Distributor is Regenity’s authorized designee in certain Territories, then Distributor shall transfer all Regulatory Approvals in its name in such Territories to Regenity or its new authorized designee.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 xml:space="preserve">Product Handling and Packaging. </w:t>
      </w:r>
      <w:r>
        <w:rPr>
          <w:rFonts w:ascii="Times New Roman" w:hAnsi="Times New Roman"/>
          <w:color w:val="000000"/>
          <w:sz w:val="24"/>
        </w:rPr>
        <w:t>Distributor shall ship all Products to its customers in Regenity’s standard packaging, which will include instructions for use and the Product Warranty, if any,</w:t>
      </w:r>
      <w:r>
        <w:rPr>
          <w:rFonts w:ascii="Times New Roman" w:hAnsi="Times New Roman"/>
          <w:color w:val="000000"/>
          <w:sz w:val="20"/>
        </w:rPr>
        <w:t xml:space="preserve"> </w:t>
      </w:r>
      <w:r>
        <w:rPr>
          <w:rFonts w:ascii="Times New Roman" w:hAnsi="Times New Roman"/>
          <w:color w:val="000000"/>
          <w:sz w:val="24"/>
        </w:rPr>
        <w:t>and feature Distributor Product Branding. Without the express, prior written consent of Regenity, Distributor shall not (i) alter or modify in any manner any Product package or label, including the exterior or interior of any Product package, (ii) repackage any Product and/or (iii) alter, remove, cover, or add to, in any manner whatsoever, any patent notice,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copyright notice, serial number, model number, Mark or legend that Regenity or its designee may attach or affix to any Product. Distributor shall store, transport and distribute the Products in accordance with all instructions in the Product packaging and shall take all necessary steps to prevent the sterility and security of the Products and Product packaging from being compromised. Product supplied from Regenity to Distributor shall be packaged in Regenity’s standard packaging with such packaging featuring Distributor Product Branding. Distributor Product Branding packaging elements (including but not limited to brand names and logos) will be communicated to Regenity by Distributor in writing in formats useful for Regenity to produce such packaging; provided however, Distributor shall give Regenity at least ninety (90) days prior written notice of any changes to Distributor Product Branding packaging elements, and Regenity shall be entitled to recover, and Distributor shall be responsible to pay Regenity, all reasonable out-of-pocket costs that Regenity actually incurs associated with such changes.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Responsibilities of Regenity.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Regenity shall adhere to the requirements of applicable regulatory requirements of ISO 13485 and the United Stated FDA (21 CFR Part 820 FDA Quality System Regulations for Medical Devices).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pPr>
      <w:r>
        <w:rPr>
          <w:rFonts w:ascii="Times New Roman" w:hAnsi="Times New Roman"/>
          <w:color w:val="000000"/>
          <w:sz w:val="24"/>
        </w:rPr>
        <w:t>Regenity shall provide technical support and training as reasonably requested, at the expense of Distributor, by Distributor in providing distribution services related to the Products to those individuals who will be representing the Products on behalf of Distributor.</w:t>
        <w:br/>
      </w: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 xml:space="preserve">Regenity shall scale up its manufacturing operations and production capacity for the Products in order to meet the annual demands of Distributor’s distribution plans. Further, Regenity shall conduct its manufacturing and operations in accordance with the mutual undertaking of the Parties set forth in Section 3.7 below.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2.7 </w:t>
      </w:r>
      <w:r>
        <w:rPr>
          <w:rFonts w:ascii="Times New Roman" w:hAnsi="Times New Roman"/>
          <w:color w:val="000000"/>
          <w:sz w:val="24"/>
          <w:u w:val="single"/>
        </w:rPr>
        <w:t>Adverse Events, Recalls and Corrective 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Traceability</w:t>
      </w:r>
      <w:r>
        <w:rPr>
          <w:rFonts w:ascii="Times New Roman" w:hAnsi="Times New Roman"/>
          <w:color w:val="000000"/>
          <w:sz w:val="24"/>
        </w:rPr>
        <w:t>. During the term of this Agreement and for ten (10) years thereafter, Distributor shall maintain complete and accurate distribution records by customer and by lot number (including, without limitation, date of distribution; description of Product by name, model and ID number; and the name and address of the purchaser) for all sales of Products by Distributor within the Territory for purposes of complying with regulatory requirements. In the event of a Recall Action relating to one or more Products, or otherwise upon Regenity’s reasonable request, such records shall be made accessible by Distributor to Regenity and independent certified public accountants selected by Regenity.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Reporting and Assistance</w:t>
      </w:r>
      <w:r>
        <w:rPr>
          <w:rFonts w:ascii="Times New Roman" w:hAnsi="Times New Roman"/>
          <w:color w:val="000000"/>
          <w:sz w:val="24"/>
        </w:rPr>
        <w:t>. Distributor shall report immediately to Regenity any defects, adverse events, Product failures or faults, and user complaints (collectively, “</w:t>
      </w:r>
      <w:r>
        <w:rPr>
          <w:rFonts w:ascii="Times New Roman" w:hAnsi="Times New Roman"/>
          <w:color w:val="000000"/>
          <w:sz w:val="24"/>
          <w:u w:val="single"/>
        </w:rPr>
        <w:t>Product Issues</w:t>
      </w:r>
      <w:r>
        <w:rPr>
          <w:rFonts w:ascii="Times New Roman" w:hAnsi="Times New Roman"/>
          <w:color w:val="000000"/>
          <w:sz w:val="20"/>
        </w:rPr>
        <w:t>”</w:t>
      </w:r>
      <w:r>
        <w:rPr>
          <w:rFonts w:ascii="Times New Roman" w:hAnsi="Times New Roman"/>
          <w:color w:val="000000"/>
          <w:sz w:val="24"/>
        </w:rPr>
        <w:t>) that have been detected by Distributor or reported to Distributor by a customer. Distributor shall assist Regenity in the investigation and resolution of any Product Issues with respect to Products distributed by Distributor. Further, Distributor shall comply with all applicable Laws relating to documentation and record keeping for vigilance reporting (including, without limitation, the Medical Device Directive, 93/42/EEC: 1993). Distributor shall report to Regenity any events that could require a vigilance report of which Distributor becomes aware.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Recall Actions</w:t>
      </w:r>
      <w:r>
        <w:rPr>
          <w:rFonts w:ascii="Times New Roman" w:hAnsi="Times New Roman"/>
          <w:color w:val="000000"/>
          <w:sz w:val="24"/>
        </w:rPr>
        <w:t>. Any decision to initiate a recall, market withdrawal, replacement or any other corrective action with respect to any Product in the Territory (a “</w:t>
      </w:r>
      <w:r>
        <w:rPr>
          <w:rFonts w:ascii="Times New Roman" w:hAnsi="Times New Roman"/>
          <w:color w:val="000000"/>
          <w:sz w:val="24"/>
          <w:u w:val="single"/>
        </w:rPr>
        <w:t>Recall Action</w:t>
      </w:r>
      <w:r>
        <w:rPr>
          <w:rFonts w:ascii="Times New Roman" w:hAnsi="Times New Roman"/>
          <w:color w:val="000000"/>
          <w:sz w:val="20"/>
        </w:rPr>
        <w:t>”</w:t>
      </w:r>
      <w:r>
        <w:rPr>
          <w:rFonts w:ascii="Times New Roman" w:hAnsi="Times New Roman"/>
          <w:color w:val="000000"/>
          <w:sz w:val="24"/>
        </w:rPr>
        <w:t xml:space="preserve">) shall be made by Regenity in its sole discretion, in compliance with and to the extent permitted by Applicable Law. If Regenity determines that a Recall Action is necessary with respect to a Product in the Territory, then Distributor shall provide Regenity with any and all assistance necessary to effect such Recall Action. Regenity shall reimburse Distributor for all reasonable costs incurred by Distributor as a result of such Recall Action to the extent that such Recall Action results from Regenity’s failure to comply with its obligations under this Agreement. Further, Distributor shall have the right to return the Products that are subject to such Recall Action to the extent that such Recall Action results from Regenity’s failure to comply with its obligations under this Agreement. Regenity shall have no obligation to reimburse or pay Distributor any amounts with respect to any Recall Action to the extent that such Recall Action results from Distributor’s or its Representatives’ failure to comply with any of its obligations under this Agreement. </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III</w:t>
      </w:r>
    </w:p>
    <w:p>
      <w:pPr>
        <w:pStyle w:val="TextBody"/>
        <w:bidi w:val="0"/>
        <w:jc w:val="left"/>
        <w:rPr>
          <w:rFonts w:ascii="Times New Roman" w:hAnsi="Times New Roman"/>
          <w:b/>
          <w:color w:val="000000"/>
          <w:sz w:val="24"/>
        </w:rPr>
      </w:pPr>
      <w:r>
        <w:rPr>
          <w:rFonts w:ascii="Times New Roman" w:hAnsi="Times New Roman"/>
          <w:b/>
          <w:color w:val="000000"/>
          <w:sz w:val="24"/>
        </w:rPr>
        <w:t>Supply of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Order of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Forecasts</w:t>
      </w:r>
      <w:r>
        <w:rPr>
          <w:rFonts w:ascii="Times New Roman" w:hAnsi="Times New Roman"/>
          <w:color w:val="000000"/>
          <w:sz w:val="24"/>
        </w:rPr>
        <w:t>. Distributor shall provide Regenity with a 12-month rolling forecast for each Product in accordance with the information set forth on Schedule E, of which the first three (3) months of each forecast shall be binding. Such forecasts shall be updated by Distributor monthly for production planning purposes.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Submission of Orders</w:t>
      </w:r>
      <w:r>
        <w:rPr>
          <w:rFonts w:ascii="Times New Roman" w:hAnsi="Times New Roman"/>
          <w:color w:val="000000"/>
          <w:sz w:val="24"/>
        </w:rPr>
        <w:t>. Distributor shall order Products by submitting to Regenity written or electronic purchase orders (each, an “</w:t>
      </w:r>
      <w:r>
        <w:rPr>
          <w:rFonts w:ascii="Times New Roman" w:hAnsi="Times New Roman"/>
          <w:color w:val="000000"/>
          <w:sz w:val="24"/>
          <w:u w:val="single"/>
        </w:rPr>
        <w:t>Order</w:t>
      </w:r>
      <w:r>
        <w:rPr>
          <w:rFonts w:ascii="Times New Roman" w:hAnsi="Times New Roman"/>
          <w:color w:val="000000"/>
          <w:sz w:val="20"/>
        </w:rPr>
        <w:t>”</w:t>
      </w:r>
      <w:r>
        <w:rPr>
          <w:rFonts w:ascii="Times New Roman" w:hAnsi="Times New Roman"/>
          <w:color w:val="000000"/>
          <w:sz w:val="24"/>
        </w:rPr>
        <w:t>) signed or otherwise authorized by an authorized representative of Distributor. Each Order must include, at a minimum, (i) Part Number, quantities, requested shipping dates, shipping instructions and then current applicable Unit Purchase Price, (ii) a ship date at least four (4) weeks from the date of placing the Order and (iii) a minimum of ten (10) units per item code. No terms or conditions of any Order shall be binding on Regenity to the extent that such terms and conditions are inconsistent with those contained in this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Confirmation and Acceptance of Orders</w:t>
      </w:r>
      <w:r>
        <w:rPr>
          <w:rFonts w:ascii="Times New Roman" w:hAnsi="Times New Roman"/>
          <w:color w:val="000000"/>
          <w:sz w:val="24"/>
        </w:rPr>
        <w:t>. No Order shall be binding on Regenity until accepted by Regenity in writing. Regenity shall use commercially reasonable efforts to acknowledge and provide written notice of acceptance or rejection of Orders within three (3) days of receiving the Order. Regenity’s written acknowledgement of each Accepted Order shall indicate the expected date(s) that Regenity will deliver the Product quantities covered by such Order. All Orders accepted by Regenity shall be binding on Distributor.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Delivery of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Fulfillment of Accepted Orders</w:t>
      </w:r>
      <w:r>
        <w:rPr>
          <w:rFonts w:ascii="Times New Roman" w:hAnsi="Times New Roman"/>
          <w:color w:val="000000"/>
          <w:sz w:val="24"/>
        </w:rPr>
        <w:t xml:space="preserve">. Regenity shall use commercially reasonable efforts to (i) supply to Distributor the quantity of Products specified in each Order that is accepted by Regenity pursuant to </w:t>
      </w:r>
      <w:r>
        <w:rPr>
          <w:rFonts w:ascii="Times New Roman" w:hAnsi="Times New Roman"/>
          <w:color w:val="000000"/>
          <w:sz w:val="24"/>
          <w:u w:val="single"/>
        </w:rPr>
        <w:t>Section 3.1(c)</w:t>
      </w:r>
      <w:r>
        <w:rPr>
          <w:rFonts w:ascii="Times New Roman" w:hAnsi="Times New Roman"/>
          <w:color w:val="000000"/>
          <w:sz w:val="20"/>
        </w:rPr>
        <w:t xml:space="preserve"> </w:t>
      </w:r>
      <w:r>
        <w:rPr>
          <w:rFonts w:ascii="Times New Roman" w:hAnsi="Times New Roman"/>
          <w:color w:val="000000"/>
          <w:sz w:val="24"/>
        </w:rPr>
        <w:t>and (ii) meet Distributor’s requested shipping dates. All orders will be appropriately individually packaged by Regenity for delivery to Distributor.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Delivery</w:t>
      </w:r>
      <w:r>
        <w:rPr>
          <w:rFonts w:ascii="Times New Roman" w:hAnsi="Times New Roman"/>
          <w:color w:val="000000"/>
          <w:sz w:val="24"/>
        </w:rPr>
        <w:t>. Regenity shall deliver the quantity of Product specified in each Accepted Order to the Carrier (as defined below) for shipment to Distributor. Title and risk for loss or damage shall pass to Distributor upon delivery of the Products to the Carrier for shipment to Distributor and any loss or damage thereafter shall not relieve Distributor of any obligation hereunder. Distributor shall be responsible for selecting a carrier (the “</w:t>
      </w:r>
      <w:r>
        <w:rPr>
          <w:rFonts w:ascii="Times New Roman" w:hAnsi="Times New Roman"/>
          <w:color w:val="000000"/>
          <w:sz w:val="24"/>
          <w:u w:val="single"/>
        </w:rPr>
        <w:t>Carrier</w:t>
      </w:r>
      <w:r>
        <w:rPr>
          <w:rFonts w:ascii="Times New Roman" w:hAnsi="Times New Roman"/>
          <w:color w:val="000000"/>
          <w:sz w:val="20"/>
        </w:rPr>
        <w:t>”</w:t>
      </w:r>
      <w:r>
        <w:rPr>
          <w:rFonts w:ascii="Times New Roman" w:hAnsi="Times New Roman"/>
          <w:color w:val="000000"/>
          <w:sz w:val="24"/>
        </w:rPr>
        <w:t>) to ship the Products from Regenity’s designated warehousing facility(ies) to Distributor. Shipping, handling and insurance charges are at the expense of Distributor, as provided in Section 3.3(d).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Delays in Delivery</w:t>
      </w:r>
      <w:r>
        <w:rPr>
          <w:rFonts w:ascii="Times New Roman" w:hAnsi="Times New Roman"/>
          <w:color w:val="000000"/>
          <w:sz w:val="24"/>
        </w:rPr>
        <w:t>. If Regenity is not able to deliver Products to Distributor on the date specified in the applicable Accepted Order, then Regenity shall use commercially best efforts to so notify Distributor as soon as possible. Regenity shall make commercially best efforts to meet delivery dates confirmed, and in the event that Regenity fails to meet such delivery dates, Regenity shall comply with the provisions of Section 3.2 (d) below.</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br/>
        <w:t xml:space="preserve">(d) </w:t>
      </w:r>
      <w:r>
        <w:rPr>
          <w:rFonts w:ascii="Times New Roman" w:hAnsi="Times New Roman"/>
          <w:i/>
          <w:color w:val="000000"/>
          <w:sz w:val="24"/>
        </w:rPr>
        <w:t>Failure to Supply</w:t>
      </w:r>
      <w:r>
        <w:rPr>
          <w:rFonts w:ascii="Times New Roman" w:hAnsi="Times New Roman"/>
          <w:color w:val="000000"/>
          <w:sz w:val="24"/>
        </w:rPr>
        <w:t>. It shall be considered a “Failure to Supply” if either (i)</w:t>
      </w:r>
    </w:p>
    <w:p>
      <w:pPr>
        <w:pStyle w:val="TextBody"/>
        <w:bidi w:val="0"/>
        <w:jc w:val="left"/>
        <w:rPr>
          <w:rFonts w:ascii="Times New Roman" w:hAnsi="Times New Roman"/>
          <w:color w:val="000000"/>
          <w:sz w:val="24"/>
        </w:rPr>
      </w:pPr>
      <w:r>
        <w:rPr>
          <w:rFonts w:ascii="Times New Roman" w:hAnsi="Times New Roman"/>
          <w:color w:val="000000"/>
          <w:sz w:val="24"/>
        </w:rPr>
        <w:t>Regenity notifies Distributor that it is unable for any reason, except for a Force Majeure Event, to supply the Product in accordance with the quantities and/or delivery dates specified by Distributor for such Product via the Orders which have been accepted by Regenity, or (ii) Regenity delivers less than eighty percent (80%) of the Product quantities specified in an Order more than forty-five (45) days later than the target delivery dates contained in such Order on three (3) consecutive occasions, or on four (4) occasions in any twelve-month period, except for a Force Majeure Event (per Section 8.7). Upon the occurrence of a Failure to Supply, Distributor may, in its sole discretion (a) cancel any outstanding Orders with Regenity and upon notice to Regenity, purchase from a third party of its choosing or self-Manufacture replacement Product, or (b) require Regenity to supply the undelivered Product at a future date agreed upon by the Parties. Product purchased from a third party as a result of a Failure to Supply shall be considered when calculating Distributor’s performance against the Minimum Purchase Requirements. If during the Term, Regenity is able to demonstrate to Distributor reasonable satisfaction that Regenity is capable of re-establishing a satisfactory supply of Product, then Distributor shall have the obligation to resume purchasing Product from Regenity under this Agreement for the remainder of the Term.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Pricing Terms.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i/>
          <w:color w:val="000000"/>
          <w:sz w:val="24"/>
        </w:rPr>
        <w:t xml:space="preserve">Product Pricing. </w:t>
      </w:r>
      <w:r>
        <w:rPr>
          <w:rFonts w:ascii="Times New Roman" w:hAnsi="Times New Roman"/>
          <w:color w:val="000000"/>
          <w:sz w:val="24"/>
        </w:rPr>
        <w:t>Distributor shall purchase, and Regenity shall sell to Distributor,</w:t>
      </w:r>
    </w:p>
    <w:p>
      <w:pPr>
        <w:pStyle w:val="TextBody"/>
        <w:bidi w:val="0"/>
        <w:jc w:val="left"/>
        <w:rPr>
          <w:rFonts w:ascii="Times New Roman" w:hAnsi="Times New Roman"/>
          <w:sz w:val="20"/>
        </w:rPr>
      </w:pPr>
      <w:r>
        <w:rPr>
          <w:rFonts w:ascii="Times New Roman" w:hAnsi="Times New Roman"/>
          <w:color w:val="000000"/>
          <w:sz w:val="24"/>
        </w:rPr>
        <w:t xml:space="preserve">the Products ordered by Distributor pursuant to Accepted Orders at the applicable Unit Purchase Prices set forth in </w:t>
      </w:r>
      <w:r>
        <w:rPr>
          <w:rFonts w:ascii="Times New Roman" w:hAnsi="Times New Roman"/>
          <w:color w:val="000000"/>
          <w:sz w:val="24"/>
          <w:u w:val="single"/>
        </w:rPr>
        <w:t>Schedule A</w:t>
      </w:r>
      <w:r>
        <w:rPr>
          <w:rFonts w:ascii="Times New Roman" w:hAnsi="Times New Roman"/>
          <w:color w:val="000000"/>
          <w:sz w:val="24"/>
        </w:rPr>
        <w:t xml:space="preserve">, as adjusted from time to time in accordance with this </w:t>
      </w:r>
      <w:r>
        <w:rPr>
          <w:rFonts w:ascii="Times New Roman" w:hAnsi="Times New Roman"/>
          <w:color w:val="000000"/>
          <w:sz w:val="24"/>
          <w:u w:val="single"/>
        </w:rPr>
        <w:t>Section 3.3</w:t>
      </w:r>
      <w:r>
        <w:rPr>
          <w:rFonts w:ascii="Times New Roman" w:hAnsi="Times New Roman"/>
          <w:color w:val="000000"/>
          <w:sz w:val="24"/>
        </w:rPr>
        <w:t>. For 2025, it shall be noted that the Unit Purchase Price shall be based on [******]. During the first quarter after December 31, 2025, Distributor shall estimate the quarterly average sales price for the Product (the “ASP”) and the price Distributor pays to Regenity for the Product shall be 50% of the estimated ASP for the applicable quarter, and shall be expressed in United States Dollars. Thereafter, the price Distributor pays to Regenity for the Products shall be 50% of the ASP from the previous quarter. Further, on a quarterly basis, Distributor will make any necessary true-up payments to account for any variance in the actual ASP.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Taxes and Other Fees. </w:t>
      </w:r>
      <w:r>
        <w:rPr>
          <w:rFonts w:ascii="Times New Roman" w:hAnsi="Times New Roman"/>
          <w:color w:val="000000"/>
          <w:sz w:val="24"/>
        </w:rPr>
        <w:t xml:space="preserve">Taxes are not included in the Unit Purchase Prices set forth in </w:t>
      </w:r>
      <w:r>
        <w:rPr>
          <w:rFonts w:ascii="Times New Roman" w:hAnsi="Times New Roman"/>
          <w:color w:val="000000"/>
          <w:sz w:val="24"/>
          <w:u w:val="single"/>
        </w:rPr>
        <w:t>Schedule A</w:t>
      </w:r>
      <w:r>
        <w:rPr>
          <w:rFonts w:ascii="Times New Roman" w:hAnsi="Times New Roman"/>
          <w:color w:val="000000"/>
          <w:sz w:val="24"/>
        </w:rPr>
        <w:t xml:space="preserve">, as the same may be modified pursuant to this </w:t>
      </w:r>
      <w:r>
        <w:rPr>
          <w:rFonts w:ascii="Times New Roman" w:hAnsi="Times New Roman"/>
          <w:color w:val="000000"/>
          <w:sz w:val="24"/>
          <w:u w:val="single"/>
        </w:rPr>
        <w:t>Section 3.3(b)</w:t>
      </w:r>
      <w:r>
        <w:rPr>
          <w:rFonts w:ascii="Times New Roman" w:hAnsi="Times New Roman"/>
          <w:color w:val="000000"/>
          <w:sz w:val="24"/>
        </w:rPr>
        <w:t>. Distributor shall pay all applicable sales, use, excise and any other taxes imposed under the authority of any national, state or local taxing jurisdiction. Distributor shall not reduce any fees or charges owed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Regenity as a result of any such taxes or duties. Distributor shall furnish Regenity with a valid tax exemption certificate issued by each taxing jurisdiction or entity where such certificate is required as a condition for the avoidance of applicable sales or use taxes covering any Product to be sold under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Insurance Costs and Freight Charges. </w:t>
      </w:r>
      <w:r>
        <w:rPr>
          <w:rFonts w:ascii="Times New Roman" w:hAnsi="Times New Roman"/>
          <w:color w:val="000000"/>
          <w:sz w:val="24"/>
        </w:rPr>
        <w:t xml:space="preserve">The Unit Purchase Prices set forth in </w:t>
      </w:r>
      <w:r>
        <w:rPr>
          <w:rFonts w:ascii="Times New Roman" w:hAnsi="Times New Roman"/>
          <w:color w:val="000000"/>
          <w:sz w:val="24"/>
          <w:u w:val="single"/>
        </w:rPr>
        <w:t>Schedule A</w:t>
      </w:r>
      <w:r>
        <w:rPr>
          <w:rFonts w:ascii="Times New Roman" w:hAnsi="Times New Roman"/>
          <w:color w:val="000000"/>
          <w:sz w:val="24"/>
        </w:rPr>
        <w:t xml:space="preserve">, as the same may be modified pursuant to </w:t>
      </w:r>
      <w:r>
        <w:rPr>
          <w:rFonts w:ascii="Times New Roman" w:hAnsi="Times New Roman"/>
          <w:color w:val="000000"/>
          <w:sz w:val="24"/>
          <w:u w:val="single"/>
        </w:rPr>
        <w:t>Section 3.3(b)</w:t>
      </w:r>
      <w:r>
        <w:rPr>
          <w:rFonts w:ascii="Times New Roman" w:hAnsi="Times New Roman"/>
          <w:color w:val="000000"/>
          <w:sz w:val="24"/>
        </w:rPr>
        <w:t>, do not include freight charges and insurance costs. All freight charges and insurance costs associated with the shipment of Products under this Agreement shall be borne solely by Distributor.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Payment Terms.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i/>
          <w:color w:val="000000"/>
          <w:sz w:val="24"/>
        </w:rPr>
        <w:t xml:space="preserve">Timing of Payment. </w:t>
      </w:r>
      <w:r>
        <w:rPr>
          <w:rFonts w:ascii="Times New Roman" w:hAnsi="Times New Roman"/>
          <w:color w:val="000000"/>
          <w:sz w:val="24"/>
        </w:rPr>
        <w:t>Payment in full for Products ordered hereunder is due net</w:t>
      </w:r>
    </w:p>
    <w:p>
      <w:pPr>
        <w:pStyle w:val="TextBody"/>
        <w:bidi w:val="0"/>
        <w:jc w:val="left"/>
        <w:rPr>
          <w:rFonts w:ascii="Times New Roman" w:hAnsi="Times New Roman"/>
          <w:sz w:val="20"/>
        </w:rPr>
      </w:pPr>
      <w:r>
        <w:rPr>
          <w:rFonts w:ascii="Times New Roman" w:hAnsi="Times New Roman"/>
          <w:color w:val="000000"/>
          <w:sz w:val="24"/>
        </w:rPr>
        <w:t>thirty (30) days from the date of shipment.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Late Payments. </w:t>
      </w:r>
      <w:r>
        <w:rPr>
          <w:rFonts w:ascii="Times New Roman" w:hAnsi="Times New Roman"/>
          <w:color w:val="000000"/>
          <w:sz w:val="24"/>
        </w:rPr>
        <w:t>Delinquent amounts shall bear interest at a rate equal to one percent (1%) per month (twelve percent (12%) per year) or, if lower, at the maximum rate allowed by applicable law. Regenity reserves the right to withhold delivery of additional Products during any period in which Distributor has any amounts outstanding and past due.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Currency. </w:t>
      </w:r>
      <w:r>
        <w:rPr>
          <w:rFonts w:ascii="Times New Roman" w:hAnsi="Times New Roman"/>
          <w:color w:val="000000"/>
          <w:sz w:val="24"/>
        </w:rPr>
        <w:t>Distributor shall make all payments required under this Agreement in United States dollars by check or wire transfer to an account specified by Regenity.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Revenue-Sharing. </w:t>
      </w:r>
      <w:r>
        <w:rPr>
          <w:rFonts w:ascii="Times New Roman" w:hAnsi="Times New Roman"/>
          <w:color w:val="000000"/>
          <w:sz w:val="24"/>
        </w:rPr>
        <w:t xml:space="preserve">Distributor agrees to make payments to Regenity from revenue generated from sales of the Products by Distributor in the Territory in accordance with the revenue-sharing percentage set forth in the table on </w:t>
      </w:r>
      <w:r>
        <w:rPr>
          <w:rFonts w:ascii="Times New Roman" w:hAnsi="Times New Roman"/>
          <w:color w:val="000000"/>
          <w:sz w:val="24"/>
          <w:u w:val="single"/>
        </w:rPr>
        <w:t>Schedule E</w:t>
      </w:r>
      <w:r>
        <w:rPr>
          <w:rFonts w:ascii="Times New Roman" w:hAnsi="Times New Roman"/>
          <w:color w:val="000000"/>
          <w:sz w:val="20"/>
        </w:rPr>
        <w:t xml:space="preserve"> </w:t>
      </w:r>
      <w:r>
        <w:rPr>
          <w:rFonts w:ascii="Times New Roman" w:hAnsi="Times New Roman"/>
          <w:color w:val="000000"/>
          <w:sz w:val="24"/>
        </w:rPr>
        <w:t>within 30 days of each year-end during the Term..</w:t>
      </w:r>
      <w:r>
        <w:rPr>
          <w:rFonts w:ascii="Times New Roman" w:hAnsi="Times New Roman"/>
          <w:color w:val="000000"/>
          <w:sz w:val="24"/>
          <w:u w:val="single"/>
        </w:rPr>
        <w:t xml:space="preserve">, </w:t>
      </w:r>
      <w:r>
        <w:rPr>
          <w:rFonts w:ascii="Times New Roman" w:hAnsi="Times New Roman"/>
          <w:color w:val="000000"/>
          <w:sz w:val="24"/>
        </w:rPr>
        <w:t xml:space="preserve">For clarity, the amount to be paid by Distributor to Regenity in accordance with the revenue-sharing percentage for each year of the Term is reduced by the amount of Product purchased in a given year, but not below the Guaranteed Regenity Target Product Revenue (as set forth on </w:t>
      </w:r>
      <w:r>
        <w:rPr>
          <w:rFonts w:ascii="Times New Roman" w:hAnsi="Times New Roman"/>
          <w:color w:val="000000"/>
          <w:sz w:val="24"/>
          <w:u w:val="single"/>
        </w:rPr>
        <w:t>Schedule E</w:t>
      </w:r>
      <w:r>
        <w:rPr>
          <w:rFonts w:ascii="Times New Roman" w:hAnsi="Times New Roman"/>
          <w:color w:val="000000"/>
          <w:sz w:val="24"/>
        </w:rPr>
        <w:t>) for any applicable year. In the event that Distributor fails to meet the Target Product Revenue set forth on Schedule E for any given year, the Parties shall follow the process provided in Section 2.2(c)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Product Warranty</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Warranty Terms</w:t>
      </w:r>
      <w:r>
        <w:rPr>
          <w:rFonts w:ascii="Times New Roman" w:hAnsi="Times New Roman"/>
          <w:color w:val="000000"/>
          <w:sz w:val="24"/>
        </w:rPr>
        <w:t>. Regenity grants to Distributor the limited warranties contained in the warranty terms for the Products, as modified from time to time by Regenity (“</w:t>
      </w:r>
      <w:r>
        <w:rPr>
          <w:rFonts w:ascii="Times New Roman" w:hAnsi="Times New Roman"/>
          <w:color w:val="000000"/>
          <w:sz w:val="24"/>
          <w:u w:val="single"/>
        </w:rPr>
        <w:t>Product Warranty</w:t>
      </w:r>
      <w:r>
        <w:rPr>
          <w:rFonts w:ascii="Times New Roman" w:hAnsi="Times New Roman"/>
          <w:color w:val="000000"/>
          <w:sz w:val="20"/>
        </w:rPr>
        <w:t>”</w:t>
      </w:r>
      <w:r>
        <w:rPr>
          <w:rFonts w:ascii="Times New Roman" w:hAnsi="Times New Roman"/>
          <w:color w:val="000000"/>
          <w:sz w:val="24"/>
        </w:rPr>
        <w:t xml:space="preserve">). The scope of the Product Warranty applicable to each Product is set forth on </w:t>
      </w:r>
      <w:r>
        <w:rPr>
          <w:rFonts w:ascii="Times New Roman" w:hAnsi="Times New Roman"/>
          <w:color w:val="000000"/>
          <w:sz w:val="24"/>
          <w:u w:val="single"/>
        </w:rPr>
        <w:t>Schedule C</w:t>
      </w:r>
      <w:r>
        <w:rPr>
          <w:rFonts w:ascii="Times New Roman" w:hAnsi="Times New Roman"/>
          <w:color w:val="000000"/>
          <w:sz w:val="20"/>
        </w:rPr>
        <w:t xml:space="preserve"> </w:t>
      </w:r>
      <w:r>
        <w:rPr>
          <w:rFonts w:ascii="Times New Roman" w:hAnsi="Times New Roman"/>
          <w:color w:val="000000"/>
          <w:sz w:val="24"/>
        </w:rPr>
        <w:t>hereto. Regenity reserves the right to modify the Product Warranty for each Product from time to time and shall notify Distributor of any changes thereto. In the event that any Product does not conform to its Product Warranty, Distributor’s sole and exclusive remedy shall be to return such Product to Regenity, who shall, in its sole discretion, either replace such defective Product or refund the net purchase price of such defective Product to the customer or Distributor. Regenity’s warranty obligations with respect to each Product shall only endure during the Warranty Period, and Distributor must raise any warranty claims within the Warranty Period. Regenity’s obligations under the limited Product Warranty do not extend to a Product where the sterility or integrity of the Product or its packaging has been compromised by Distributor or a customer, or where the Product is used after the Warranty Period. Regenity is not responsible for breaches of the Product Warranty caused by use, operation or storage not in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accordance with Regenity’s instructions, unauthorized modification of a Product, or Distributor’s or any of its Representative’s failure to comply with Distributor’s obligations under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Warranty Disclaimer</w:t>
      </w:r>
      <w:r>
        <w:rPr>
          <w:rFonts w:ascii="Times New Roman" w:hAnsi="Times New Roman"/>
          <w:color w:val="000000"/>
          <w:sz w:val="24"/>
        </w:rPr>
        <w:t xml:space="preserve">. EXCEPT AS EXPRESSLY SET FORTH IN </w:t>
      </w:r>
      <w:r>
        <w:rPr>
          <w:rFonts w:ascii="Times New Roman" w:hAnsi="Times New Roman"/>
          <w:color w:val="000000"/>
          <w:sz w:val="24"/>
          <w:u w:val="single"/>
        </w:rPr>
        <w:t>SECTION 3.5(a),</w:t>
      </w:r>
      <w:r>
        <w:rPr>
          <w:rFonts w:ascii="Times New Roman" w:hAnsi="Times New Roman"/>
          <w:color w:val="000000"/>
          <w:sz w:val="20"/>
        </w:rPr>
        <w:t xml:space="preserve"> </w:t>
      </w:r>
      <w:r>
        <w:rPr>
          <w:rFonts w:ascii="Times New Roman" w:hAnsi="Times New Roman"/>
          <w:color w:val="000000"/>
          <w:sz w:val="24"/>
        </w:rPr>
        <w:t>(i) REGENITY MAKES NO WARRANTIES TO DISTRIBUTOR, CUSTOMERS OR ANY OTHER PERSON WITH RESPECT TO THE PRODUCTS OR SERVICES PROVIDED HEREUNDER, WHETHER EXPRESS OR IMPLIED, (ii) REGENITY SPECIFICALLY DISCLAIMS ANY IMPLIED WARRANTY OF MERCHANTABILITY AND FITNESS FOR A PARTICULAR PURPOSE, AND (iii) NO REPRESENTATION OR WARRANTY, INCLUDING BUT NOT LIMITED TO STATEMENTS OF QUALITY, SUITABILITY FOR USE OR PERFORMANCE, WHETHER MADE BY REPRESENTATIVES OF REGENITY OR DISTRIBUTOR, SHALL BE CONSIDERED A WARRANTY BY REGENITY FOR ANY PURPOSE OR CREATE ANY LIABILITY OF REGENITY. IN NO EVENT SHALL REGENITY BE LIABLE FOR CONSEQUENTIAL DAMAGES OF ANY TYPE OR NATURE.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No Modification of Product Warranty by Distributor. </w:t>
      </w:r>
      <w:r>
        <w:rPr>
          <w:rFonts w:ascii="Times New Roman" w:hAnsi="Times New Roman"/>
          <w:color w:val="000000"/>
          <w:sz w:val="24"/>
        </w:rPr>
        <w:t xml:space="preserve">Distributor shall not modify or supplement the limited Product Warranty included in Regenity’s standard packaging without the express written consent of an authorized representative of Regenity, and Distributor may not provide any additional warranty to any customer that is binding on Regenity. Distributor shall indemnify and hold Regenity harmless from all liabilities, claims, damages and expenses, including reasonable attorneys’ fees, that may be incurred by Regenity during or after the term of this Agreement that result from or arise out of Distributor’s failure to comply with the terms of this </w:t>
      </w:r>
      <w:r>
        <w:rPr>
          <w:rFonts w:ascii="Times New Roman" w:hAnsi="Times New Roman"/>
          <w:color w:val="000000"/>
          <w:sz w:val="24"/>
          <w:u w:val="single"/>
        </w:rPr>
        <w:t>Section 3.5(c)</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3.6 </w:t>
      </w:r>
      <w:r>
        <w:rPr>
          <w:rFonts w:ascii="Times New Roman" w:hAnsi="Times New Roman"/>
          <w:color w:val="000000"/>
          <w:sz w:val="24"/>
          <w:u w:val="single"/>
        </w:rPr>
        <w:t>Return of Products</w:t>
      </w:r>
      <w:r>
        <w:rPr>
          <w:rFonts w:ascii="Times New Roman" w:hAnsi="Times New Roman"/>
          <w:color w:val="000000"/>
          <w:sz w:val="24"/>
        </w:rPr>
        <w:t xml:space="preserve">. Subject to the provisions of </w:t>
      </w:r>
      <w:r>
        <w:rPr>
          <w:rFonts w:ascii="Times New Roman" w:hAnsi="Times New Roman"/>
          <w:color w:val="000000"/>
          <w:sz w:val="24"/>
          <w:u w:val="single"/>
        </w:rPr>
        <w:t>Section 2.7(c)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3.5(a)</w:t>
      </w:r>
      <w:r>
        <w:rPr>
          <w:rFonts w:ascii="Times New Roman" w:hAnsi="Times New Roman"/>
          <w:color w:val="000000"/>
          <w:sz w:val="24"/>
        </w:rPr>
        <w:t>, return of Products (“</w:t>
      </w:r>
      <w:r>
        <w:rPr>
          <w:rFonts w:ascii="Times New Roman" w:hAnsi="Times New Roman"/>
          <w:color w:val="000000"/>
          <w:sz w:val="24"/>
          <w:u w:val="single"/>
        </w:rPr>
        <w:t>Returns</w:t>
      </w:r>
      <w:r>
        <w:rPr>
          <w:rFonts w:ascii="Times New Roman" w:hAnsi="Times New Roman"/>
          <w:color w:val="000000"/>
          <w:sz w:val="20"/>
        </w:rPr>
        <w:t>”</w:t>
      </w:r>
      <w:r>
        <w:rPr>
          <w:rFonts w:ascii="Times New Roman" w:hAnsi="Times New Roman"/>
          <w:color w:val="000000"/>
          <w:sz w:val="24"/>
        </w:rPr>
        <w:t>) must be authorized by Regenity and otherwise comply with Regenity’s Return Policy. Any authorized Returns shall be shipped by Distributor to Regenity at Distributor’s expense and risk of loss and are subject to a re-stocking fee. Authorized Returns shall be credited upon receipt and verification that the goods are in saleable condition, and such credit shall be netted against the balance due from Distributor. Products damaged or destroyed during shipment or returned after termination or expiration of this Agreement do not constitute Returns for purposes of this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3.7 </w:t>
      </w:r>
      <w:r>
        <w:rPr>
          <w:rFonts w:ascii="Times New Roman" w:hAnsi="Times New Roman"/>
          <w:color w:val="000000"/>
          <w:sz w:val="24"/>
          <w:u w:val="single"/>
        </w:rPr>
        <w:t>Product Supply and Development Meetings</w:t>
      </w:r>
      <w:r>
        <w:rPr>
          <w:rFonts w:ascii="Times New Roman" w:hAnsi="Times New Roman"/>
          <w:color w:val="000000"/>
          <w:sz w:val="24"/>
        </w:rPr>
        <w:t>. Within 30 days from January 1, 2025, the Parties hereby will meet and establish a bi-annual meeting schedule (the “Product Supply and Development Meetings”) whereby Regenity provides status updates on its current and projected production capacity and other key manufacturing operations deliverables to Distributor. The Parties hereby acknowledge and agree that the purpose of the Product Supply and Development Meetings is for Regenity to confirm its ability to satisfy both the quantity and timing of supply of the Product necessary to meet Distributor’s distribution plans through the Term.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IV</w:t>
      </w:r>
    </w:p>
    <w:p>
      <w:pPr>
        <w:pStyle w:val="TextBody"/>
        <w:bidi w:val="0"/>
        <w:jc w:val="left"/>
        <w:rPr>
          <w:rFonts w:ascii="Times New Roman" w:hAnsi="Times New Roman"/>
          <w:b/>
          <w:color w:val="000000"/>
          <w:sz w:val="24"/>
        </w:rPr>
      </w:pPr>
      <w:r>
        <w:rPr>
          <w:rFonts w:ascii="Times New Roman" w:hAnsi="Times New Roman"/>
          <w:b/>
          <w:color w:val="000000"/>
          <w:sz w:val="24"/>
        </w:rPr>
        <w:t>Term and Termination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4.1</w:t>
      </w:r>
    </w:p>
    <w:p>
      <w:pPr>
        <w:pStyle w:val="TextBody"/>
        <w:bidi w:val="0"/>
        <w:jc w:val="left"/>
        <w:rPr/>
      </w:pPr>
      <w:r>
        <w:rPr>
          <w:rFonts w:ascii="Times New Roman" w:hAnsi="Times New Roman"/>
          <w:color w:val="000000"/>
          <w:sz w:val="24"/>
          <w:u w:val="single"/>
        </w:rPr>
        <w:t>Term.</w:t>
      </w:r>
      <w:r>
        <w:rPr>
          <w:color w:val="000000"/>
        </w:rPr>
        <w:t xml:space="preserve"> </w:t>
      </w:r>
      <w:r>
        <w:rPr>
          <w:rFonts w:ascii="Times New Roman" w:hAnsi="Times New Roman"/>
          <w:color w:val="000000"/>
          <w:sz w:val="24"/>
        </w:rPr>
        <w:t>This Agreement shall commence on the Effective Date and shall continue through December 31, 2029 (the “</w:t>
      </w:r>
      <w:r>
        <w:rPr>
          <w:rFonts w:ascii="Times New Roman" w:hAnsi="Times New Roman"/>
          <w:color w:val="000000"/>
          <w:sz w:val="24"/>
          <w:u w:val="single"/>
        </w:rPr>
        <w:t>Initial Term</w:t>
      </w:r>
      <w:r>
        <w:rPr>
          <w:color w:val="000000"/>
        </w:rPr>
        <w:t>”</w:t>
      </w:r>
      <w:r>
        <w:rPr>
          <w:rFonts w:ascii="Times New Roman" w:hAnsi="Times New Roman"/>
          <w:color w:val="000000"/>
          <w:sz w:val="24"/>
        </w:rPr>
        <w:t>, along with any automatic renewal terms, the “</w:t>
      </w:r>
      <w:r>
        <w:rPr>
          <w:rFonts w:ascii="Times New Roman" w:hAnsi="Times New Roman"/>
          <w:color w:val="000000"/>
          <w:sz w:val="24"/>
          <w:u w:val="single"/>
        </w:rPr>
        <w:t>Term</w:t>
      </w:r>
      <w:r>
        <w:rPr>
          <w:color w:val="000000"/>
        </w:rPr>
        <w:t>”</w:t>
      </w:r>
      <w:r>
        <w:rPr>
          <w:rFonts w:ascii="Times New Roman" w:hAnsi="Times New Roman"/>
          <w:color w:val="000000"/>
          <w:sz w:val="24"/>
        </w:rPr>
        <w: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i/>
          <w:color w:val="000000"/>
          <w:sz w:val="24"/>
        </w:rPr>
        <w:t xml:space="preserve">Early Termination and Payments. </w:t>
      </w:r>
      <w:r>
        <w:rPr>
          <w:rFonts w:ascii="Times New Roman" w:hAnsi="Times New Roman"/>
          <w:color w:val="000000"/>
          <w:sz w:val="24"/>
        </w:rPr>
        <w:t>In the event that Distributor determines, between</w:t>
      </w:r>
    </w:p>
    <w:p>
      <w:pPr>
        <w:pStyle w:val="TextBody"/>
        <w:bidi w:val="0"/>
        <w:jc w:val="left"/>
        <w:rPr>
          <w:rFonts w:ascii="Times New Roman" w:hAnsi="Times New Roman"/>
          <w:sz w:val="20"/>
        </w:rPr>
      </w:pPr>
      <w:r>
        <w:rPr>
          <w:rFonts w:ascii="Times New Roman" w:hAnsi="Times New Roman"/>
          <w:color w:val="000000"/>
          <w:sz w:val="24"/>
        </w:rPr>
        <w:t xml:space="preserve">January 1 and June 30, 2025, that the clinical data resulting from the trial conducted pursuant to the PMA Alternative is insufficient to achieve the PMA Alternative purpose (in accordance with its definition in Section 1.10 above), Distributor shall make a payment of[******] to Regenity (the “First Termination Payment”). Upon payment by Distributor of the First Termination Payment, no further payments are required under this Agreement and this Agreement shall automatically terminate. However, if Distributor does not make the First Termination Payment, but determines at some point after June 30, 2025, and by no later than December 31, 2025, that the trial conducted pursuant to the PMA Alternative has failed, Distributor shall then make a payment to Regenity of [******] (the “Second Termination Payment”). Upon payment by Distributor of the Second Termination Payment, this Agreement shall automatically terminate, and Distributor shall no longer be required to make the $3,000,000 payment in accordance with Section 2.2(a)(ii) above. Distributor shall communicate to Regenity, via electronic mail, on or before each of June 30, 2025 and December 31, 2025 (as applicable), its intention to either terminate the Agreement and make either the First Termination Payment or the Second Termination Payment (as applicable) or to continue to market, sell and distribute the Product through its Exclusive Distribution in accordance with this Agreement. </w:t>
      </w:r>
      <w:r>
        <w:rPr>
          <w:rFonts w:ascii="Times New Roman" w:hAnsi="Times New Roman"/>
          <w:i/>
          <w:color w:val="000000"/>
          <w:sz w:val="24"/>
        </w:rPr>
        <w:t>For the avoidance of doubt</w:t>
      </w:r>
      <w:r>
        <w:rPr>
          <w:rFonts w:ascii="Times New Roman" w:hAnsi="Times New Roman"/>
          <w:color w:val="000000"/>
          <w:sz w:val="24"/>
        </w:rPr>
        <w:t>, the maximum amount that Distributor shall be required to pay to Regenity under this Section 4.1(a) is [******].</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pPr>
      <w:r>
        <w:rPr>
          <w:rFonts w:ascii="Times New Roman" w:hAnsi="Times New Roman"/>
          <w:i/>
          <w:color w:val="000000"/>
          <w:sz w:val="24"/>
        </w:rPr>
        <w:t>Extension</w:t>
      </w:r>
      <w:r>
        <w:rPr>
          <w:rFonts w:ascii="Times New Roman" w:hAnsi="Times New Roman"/>
          <w:color w:val="000000"/>
          <w:sz w:val="24"/>
        </w:rPr>
        <w:t>. This Agreement will automatically renew for an additional five-year term</w:t>
      </w:r>
    </w:p>
    <w:p>
      <w:pPr>
        <w:pStyle w:val="TextBody"/>
        <w:bidi w:val="0"/>
        <w:jc w:val="left"/>
        <w:rPr>
          <w:rFonts w:ascii="Times New Roman" w:hAnsi="Times New Roman"/>
          <w:color w:val="000000"/>
          <w:sz w:val="24"/>
        </w:rPr>
      </w:pPr>
      <w:r>
        <w:rPr>
          <w:rFonts w:ascii="Times New Roman" w:hAnsi="Times New Roman"/>
          <w:color w:val="000000"/>
          <w:sz w:val="24"/>
        </w:rPr>
        <w:t>upon the occurrence of any of the following events: (a) Distributor receives approval of its PMA application by December 31, 2027, (b) Distributor meets the Target Product Revenues set forth on Schedule E, (c) Distributor follows the process set forth in Section 2.2(b); or (d) Distributor makes the payment in accordance with Section 2.2(a)(ii) of this Agreement. Such automatic renewals shall not restrict in any way a Party’s right to terminate this Agreement pursuant to Section 4.2.</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4.2</w:t>
      </w:r>
    </w:p>
    <w:p>
      <w:pPr>
        <w:pStyle w:val="TextBody"/>
        <w:bidi w:val="0"/>
        <w:jc w:val="left"/>
        <w:rPr/>
      </w:pPr>
      <w:r>
        <w:rPr>
          <w:rFonts w:ascii="Times New Roman" w:hAnsi="Times New Roman"/>
          <w:color w:val="000000"/>
          <w:sz w:val="24"/>
          <w:u w:val="single"/>
        </w:rPr>
        <w:t>Termination.</w:t>
      </w:r>
      <w:r>
        <w:rPr>
          <w:color w:val="00000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 xml:space="preserve">For Cause. </w:t>
      </w:r>
      <w:r>
        <w:rPr>
          <w:rFonts w:ascii="Times New Roman" w:hAnsi="Times New Roman"/>
          <w:color w:val="000000"/>
          <w:sz w:val="24"/>
        </w:rPr>
        <w:t>Either Party may terminate this Agreement for cause: (i) upon the material breach of any obligation or responsibility by the other Party which breach remains uncured for thirty (30) days after written notice thereof; (ii) immediately and without the necessity for notice, upon the bankruptcy, insolvency or similar filing by or against the other Party; and/or (ii) immediately and without the necessity for notice, upon a material breach of applicable Law by the other Party. A material breach by Distributor under this Agreement includes but is not limited to the following: (A) uncured failure of Distributor to make any payment when due; (B) Distributor’s breach of its Territory Commitment; (C) Distributor’s uncured use of Regenity’s Marks or other intellectual property rights in a manner not in accordance with this Agreement; and (D) any action by Distributor that implies or expresses any false or misleading statements about Regenity or the Products. A material breach by Regenity under this Agreement includes but is not limited to the following: (A) failure of Regenity to satisfy its Product modification and discontinuation obligations in accordance with Sections 2.4 (b), (B) failure of Regenity to timely supply the Product to Distributor in accordance with Section 3.2(c); (C) Regenity’s use of Distributor’s intellectual property in a manner not in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accordance with this Agreement; and (D) any action by Regenity that implies or expresses any false or misleading statements about Distributor, its obligations under this Agreement or its intellectual property.</w:t>
      </w:r>
    </w:p>
    <w:p>
      <w:pPr>
        <w:pStyle w:val="TextBody"/>
        <w:bidi w:val="0"/>
        <w:jc w:val="left"/>
        <w:rPr/>
      </w:pPr>
      <w:r>
        <w:rPr/>
        <w:t> </w:t>
      </w:r>
    </w:p>
    <w:p>
      <w:pPr>
        <w:pStyle w:val="TextBody"/>
        <w:bidi w:val="0"/>
        <w:jc w:val="left"/>
        <w:rPr>
          <w:rFonts w:ascii="Times New Roman" w:hAnsi="Times New Roman"/>
          <w:sz w:val="20"/>
        </w:rPr>
      </w:pPr>
      <w:bookmarkStart w:id="25" w:name="saveserver"/>
      <w:bookmarkEnd w:id="25"/>
      <w:r>
        <w:rPr>
          <w:rFonts w:ascii="Times New Roman" w:hAnsi="Times New Roman"/>
          <w:color w:val="000000"/>
          <w:sz w:val="24"/>
        </w:rPr>
        <w:t xml:space="preserve">4.3 </w:t>
      </w:r>
      <w:r>
        <w:rPr>
          <w:rFonts w:ascii="Times New Roman" w:hAnsi="Times New Roman"/>
          <w:color w:val="000000"/>
          <w:sz w:val="24"/>
          <w:u w:val="single"/>
        </w:rPr>
        <w:t>Effects of Termination</w:t>
      </w:r>
      <w:r>
        <w:rPr>
          <w:rFonts w:ascii="Times New Roman" w:hAnsi="Times New Roman"/>
          <w:color w:val="000000"/>
          <w:sz w:val="24"/>
        </w:rPr>
        <w:t xml:space="preserve">. Expiration or termination of this Agreement for any reason shall be without prejudice to any right which shall have accrued to the benefit of either Party prior to such termination, including damages arising from any breach under this Agreement. Expiration or termination of this Agreement shall not relieve either Party from any obligation which is expressly indicated to survive such expiration or termination. Expiration or termination of this Agreement for any reason shall not prevent or excuse either Party from settling accounts, collecting funds, or engaging in any activity necessary to successfully bring to completion any transaction outstanding at the time of the termination or expiration of this Agreement. Notwithstanding any provision of this Agreement to the contrary, immediately upon expiration or termination of this Agreement, Distributor shall, at its sole expense (a) remove from any catalogs, price lists or other media employed or used by Distributor any and all references to Regenity and the Products, (b) cease use of all Regenity trademarks and trade names, including, without limitation, the Product trademarks and (c) return all unsold Products to Regenity in accordance with Regenity’s Return Policy. In the event that Distributor has contractual obligations to deliver the Product, Regenity shall supply an adequate amount of Product to Distributor, per Distributor’s indications, to ensure that Distributor meets such distribution obligations. If the Agreement expired or was terminated by Regenity for Distributor’s breach, Distributor shall not be entitled to any refund from Regenity for unsold Products returned under this Section. However, if the Agreement was terminated by Regenity for convenience under Section 4.2(b) or by Distributor for Regenity’s breach, Distributor shall receive a refund for all unsold Products returned to Regenity in accordance with Regenity’s Return Policy for such post-Term returns. The provisions of </w:t>
      </w:r>
      <w:r>
        <w:rPr>
          <w:rFonts w:ascii="Times New Roman" w:hAnsi="Times New Roman"/>
          <w:color w:val="000000"/>
          <w:sz w:val="24"/>
          <w:u w:val="single"/>
        </w:rPr>
        <w:t>Article I</w:t>
      </w:r>
      <w:r>
        <w:rPr>
          <w:rFonts w:ascii="Times New Roman" w:hAnsi="Times New Roman"/>
          <w:color w:val="000000"/>
          <w:sz w:val="24"/>
        </w:rPr>
        <w:t xml:space="preserve">, </w:t>
      </w:r>
      <w:r>
        <w:rPr>
          <w:rFonts w:ascii="Times New Roman" w:hAnsi="Times New Roman"/>
          <w:color w:val="000000"/>
          <w:sz w:val="24"/>
          <w:u w:val="single"/>
        </w:rPr>
        <w:t>Section 2.5(c)</w:t>
      </w:r>
      <w:r>
        <w:rPr>
          <w:rFonts w:ascii="Times New Roman" w:hAnsi="Times New Roman"/>
          <w:color w:val="000000"/>
          <w:sz w:val="24"/>
        </w:rPr>
        <w:t xml:space="preserve">, </w:t>
      </w:r>
      <w:r>
        <w:rPr>
          <w:rFonts w:ascii="Times New Roman" w:hAnsi="Times New Roman"/>
          <w:color w:val="000000"/>
          <w:sz w:val="24"/>
          <w:u w:val="single"/>
        </w:rPr>
        <w:t>Section 3.5</w:t>
      </w:r>
      <w:r>
        <w:rPr>
          <w:rFonts w:ascii="Times New Roman" w:hAnsi="Times New Roman"/>
          <w:color w:val="000000"/>
          <w:sz w:val="24"/>
        </w:rPr>
        <w:t xml:space="preserve">, </w:t>
      </w:r>
      <w:r>
        <w:rPr>
          <w:rFonts w:ascii="Times New Roman" w:hAnsi="Times New Roman"/>
          <w:color w:val="000000"/>
          <w:sz w:val="24"/>
          <w:u w:val="single"/>
        </w:rPr>
        <w:t>Section 4.3</w:t>
      </w:r>
      <w:r>
        <w:rPr>
          <w:rFonts w:ascii="Times New Roman" w:hAnsi="Times New Roman"/>
          <w:color w:val="000000"/>
          <w:sz w:val="24"/>
        </w:rPr>
        <w:t xml:space="preserve">, </w:t>
      </w:r>
      <w:r>
        <w:rPr>
          <w:rFonts w:ascii="Times New Roman" w:hAnsi="Times New Roman"/>
          <w:color w:val="000000"/>
          <w:sz w:val="24"/>
          <w:u w:val="single"/>
        </w:rPr>
        <w:t>Article V</w:t>
      </w:r>
      <w:r>
        <w:rPr>
          <w:rFonts w:ascii="Times New Roman" w:hAnsi="Times New Roman"/>
          <w:color w:val="000000"/>
          <w:sz w:val="24"/>
        </w:rPr>
        <w:t xml:space="preserve">, </w:t>
      </w:r>
      <w:r>
        <w:rPr>
          <w:rFonts w:ascii="Times New Roman" w:hAnsi="Times New Roman"/>
          <w:color w:val="000000"/>
          <w:sz w:val="24"/>
          <w:u w:val="single"/>
        </w:rPr>
        <w:t>Article VI</w:t>
      </w:r>
      <w:r>
        <w:rPr>
          <w:rFonts w:ascii="Times New Roman" w:hAnsi="Times New Roman"/>
          <w:color w:val="000000"/>
          <w:sz w:val="24"/>
        </w:rPr>
        <w:t xml:space="preserve">, </w:t>
      </w:r>
      <w:r>
        <w:rPr>
          <w:rFonts w:ascii="Times New Roman" w:hAnsi="Times New Roman"/>
          <w:color w:val="000000"/>
          <w:sz w:val="24"/>
          <w:u w:val="single"/>
        </w:rPr>
        <w:t>Section 7.1</w:t>
      </w:r>
      <w:r>
        <w:rPr>
          <w:rFonts w:ascii="Times New Roman" w:hAnsi="Times New Roman"/>
          <w:color w:val="000000"/>
          <w:sz w:val="24"/>
        </w:rPr>
        <w:t xml:space="preserve">, </w:t>
      </w:r>
      <w:r>
        <w:rPr>
          <w:rFonts w:ascii="Times New Roman" w:hAnsi="Times New Roman"/>
          <w:color w:val="000000"/>
          <w:sz w:val="24"/>
          <w:u w:val="single"/>
        </w:rPr>
        <w:t>Section 7.3</w:t>
      </w:r>
      <w:r>
        <w:rPr>
          <w:rFonts w:ascii="Times New Roman" w:hAnsi="Times New Roman"/>
          <w:color w:val="000000"/>
          <w:sz w:val="24"/>
        </w:rPr>
        <w:t xml:space="preserve">, </w:t>
      </w:r>
      <w:r>
        <w:rPr>
          <w:rFonts w:ascii="Times New Roman" w:hAnsi="Times New Roman"/>
          <w:color w:val="000000"/>
          <w:sz w:val="24"/>
          <w:u w:val="single"/>
        </w:rPr>
        <w:t>Section 7.4</w:t>
      </w:r>
      <w:r>
        <w:rPr>
          <w:rFonts w:ascii="Times New Roman" w:hAnsi="Times New Roman"/>
          <w:color w:val="000000"/>
          <w:sz w:val="24"/>
        </w:rPr>
        <w:t xml:space="preserve">, </w:t>
      </w:r>
      <w:r>
        <w:rPr>
          <w:rFonts w:ascii="Times New Roman" w:hAnsi="Times New Roman"/>
          <w:color w:val="000000"/>
          <w:sz w:val="24"/>
          <w:u w:val="single"/>
        </w:rPr>
        <w:t>Section 7.5</w:t>
      </w:r>
      <w:r>
        <w:rPr>
          <w:rFonts w:ascii="Times New Roman" w:hAnsi="Times New Roman"/>
          <w:color w:val="000000"/>
          <w:sz w:val="24"/>
        </w:rPr>
        <w:t xml:space="preserve">, and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shall survive expiration or termination of this Agreement for any reason.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V</w:t>
      </w:r>
    </w:p>
    <w:p>
      <w:pPr>
        <w:pStyle w:val="TextBody"/>
        <w:bidi w:val="0"/>
        <w:jc w:val="left"/>
        <w:rPr>
          <w:rFonts w:ascii="Times New Roman" w:hAnsi="Times New Roman"/>
          <w:b/>
          <w:color w:val="000000"/>
          <w:sz w:val="24"/>
        </w:rPr>
      </w:pPr>
      <w:r>
        <w:rPr>
          <w:rFonts w:ascii="Times New Roman" w:hAnsi="Times New Roman"/>
          <w:b/>
          <w:color w:val="000000"/>
          <w:sz w:val="24"/>
        </w:rPr>
        <w:t>Indemnification; Limitation of Liability</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5.1</w:t>
      </w:r>
    </w:p>
    <w:p>
      <w:pPr>
        <w:pStyle w:val="TextBody"/>
        <w:bidi w:val="0"/>
        <w:jc w:val="left"/>
        <w:rPr/>
      </w:pPr>
      <w:r>
        <w:rPr>
          <w:rFonts w:ascii="Times New Roman" w:hAnsi="Times New Roman"/>
          <w:color w:val="000000"/>
          <w:sz w:val="24"/>
          <w:u w:val="single"/>
        </w:rPr>
        <w:t>Intellectual Property Indemnification by Regenity.</w:t>
      </w:r>
      <w:r>
        <w:rPr>
          <w:color w:val="000000"/>
        </w:rPr>
        <w:t xml:space="preserve"> </w:t>
      </w:r>
      <w:r>
        <w:rPr>
          <w:rFonts w:ascii="Times New Roman" w:hAnsi="Times New Roman"/>
          <w:color w:val="000000"/>
          <w:sz w:val="24"/>
        </w:rPr>
        <w:t xml:space="preserve">Regenity shall indemnify and hold Distributor harmless from and against any damages awarded in actions against Distributor based upon a finding that the Products infringe any patent rights or other intellectual property rights of a Third Party in the Territory, provided that Distributor gives Regenity timely notice of the claim and the opportunity to assume sole control of the defense and settlement and provided further that Distributor does not settle such a claim without Regenity’s prior written consent; </w:t>
      </w:r>
      <w:r>
        <w:rPr>
          <w:rFonts w:ascii="Times New Roman" w:hAnsi="Times New Roman"/>
          <w:i/>
          <w:color w:val="000000"/>
          <w:sz w:val="24"/>
        </w:rPr>
        <w:t>provided however that</w:t>
      </w:r>
      <w:r>
        <w:rPr>
          <w:rFonts w:ascii="Times New Roman" w:hAnsi="Times New Roman"/>
          <w:color w:val="000000"/>
          <w:sz w:val="24"/>
        </w:rPr>
        <w:t xml:space="preserve">, if Distributor incurs any costs or expenses in managing any such potential Third-Party infringement, Regenity shall reimburse Distributor in full (including any reasonable attorney’s fees) within 30 days of final determination or settlement of the Third-Party infringement matter. The foregoing provision does not apply to infringements caused by Distributor’s unauthorized use or modification of the Product or its use in combination with other products, except, in the latter case, any mutually agreed combination of the Parties’ products. If a court of competent jurisdiction determines, or Regenity concludes in its discretion, that a risk exists for a determination that a Product infringes the rights of a Third Party, then Regenity shall have, at its option, the right to either: (a) procure for Distributor and its customers the right to continue using and selling the Product; (b) replace the Product with a non-infringing product; (c) modify the Product so that it becomes non-infringing; or (d) require the return of the Product to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4"/>
        </w:rPr>
        <w:t xml:space="preserve">Regenity against a </w:t>
      </w:r>
      <w:r>
        <w:rPr>
          <w:rFonts w:ascii="Times New Roman" w:hAnsi="Times New Roman"/>
          <w:color w:val="000000"/>
          <w:sz w:val="22"/>
        </w:rPr>
        <w:t>refund</w:t>
      </w:r>
      <w:r>
        <w:rPr>
          <w:color w:val="000000"/>
        </w:rPr>
        <w:t xml:space="preserve"> </w:t>
      </w:r>
      <w:r>
        <w:rPr>
          <w:rFonts w:ascii="Times New Roman" w:hAnsi="Times New Roman"/>
          <w:color w:val="000000"/>
          <w:sz w:val="24"/>
        </w:rPr>
        <w:t>of payments made by Distributor to Regenity. The foregoing sets forth the entire liability of Regenity for Third-Party intellectual property infringement.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5.2</w:t>
      </w:r>
    </w:p>
    <w:p>
      <w:pPr>
        <w:pStyle w:val="TextBody"/>
        <w:bidi w:val="0"/>
        <w:jc w:val="left"/>
        <w:rPr/>
      </w:pPr>
      <w:r>
        <w:rPr>
          <w:rFonts w:ascii="Times New Roman" w:hAnsi="Times New Roman"/>
          <w:color w:val="000000"/>
          <w:sz w:val="24"/>
          <w:u w:val="single"/>
        </w:rPr>
        <w:t>Mutual Indemnification</w:t>
      </w:r>
      <w:r>
        <w:rPr>
          <w:rFonts w:ascii="Times New Roman" w:hAnsi="Times New Roman"/>
          <w:color w:val="000000"/>
          <w:sz w:val="24"/>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 xml:space="preserve">General. </w:t>
      </w:r>
      <w:r>
        <w:rPr>
          <w:rFonts w:ascii="Times New Roman" w:hAnsi="Times New Roman"/>
          <w:color w:val="000000"/>
          <w:sz w:val="24"/>
        </w:rPr>
        <w:t xml:space="preserve">Except for Damages arising from a claim that the Products infringe patent rights or other intellectual property rights of a Third Party, and subject to the requirements of </w:t>
      </w:r>
      <w:r>
        <w:rPr>
          <w:rFonts w:ascii="Times New Roman" w:hAnsi="Times New Roman"/>
          <w:color w:val="000000"/>
          <w:sz w:val="24"/>
          <w:u w:val="single"/>
        </w:rPr>
        <w:t>Section 5.2(b)</w:t>
      </w:r>
      <w:r>
        <w:rPr>
          <w:rFonts w:ascii="Times New Roman" w:hAnsi="Times New Roman"/>
          <w:color w:val="000000"/>
          <w:sz w:val="20"/>
        </w:rPr>
        <w:t xml:space="preserve"> </w:t>
      </w:r>
      <w:r>
        <w:rPr>
          <w:rFonts w:ascii="Times New Roman" w:hAnsi="Times New Roman"/>
          <w:color w:val="000000"/>
          <w:sz w:val="24"/>
        </w:rPr>
        <w:t>below, each Party (the “</w:t>
      </w:r>
      <w:r>
        <w:rPr>
          <w:rFonts w:ascii="Times New Roman" w:hAnsi="Times New Roman"/>
          <w:color w:val="000000"/>
          <w:sz w:val="24"/>
          <w:u w:val="single"/>
        </w:rPr>
        <w:t>Indemnitor</w:t>
      </w:r>
      <w:r>
        <w:rPr>
          <w:rFonts w:ascii="Times New Roman" w:hAnsi="Times New Roman"/>
          <w:color w:val="000000"/>
          <w:sz w:val="20"/>
        </w:rPr>
        <w:t>”</w:t>
      </w:r>
      <w:r>
        <w:rPr>
          <w:rFonts w:ascii="Times New Roman" w:hAnsi="Times New Roman"/>
          <w:color w:val="000000"/>
          <w:sz w:val="24"/>
        </w:rPr>
        <w:t>) hereby agrees to indemnify and hold the other Party and its Representatives (the “</w:t>
      </w:r>
      <w:r>
        <w:rPr>
          <w:rFonts w:ascii="Times New Roman" w:hAnsi="Times New Roman"/>
          <w:color w:val="000000"/>
          <w:sz w:val="24"/>
          <w:u w:val="single"/>
        </w:rPr>
        <w:t>Indemnities</w:t>
      </w:r>
      <w:r>
        <w:rPr>
          <w:rFonts w:ascii="Times New Roman" w:hAnsi="Times New Roman"/>
          <w:color w:val="000000"/>
          <w:sz w:val="20"/>
        </w:rPr>
        <w:t>”</w:t>
      </w:r>
      <w:r>
        <w:rPr>
          <w:rFonts w:ascii="Times New Roman" w:hAnsi="Times New Roman"/>
          <w:color w:val="000000"/>
          <w:sz w:val="24"/>
        </w:rPr>
        <w:t>) harmless for any loss, claim, damage, cost, expense (including reasonable attorney’s fees), or liability by or to a Third Party (collectively, “</w:t>
      </w:r>
      <w:r>
        <w:rPr>
          <w:rFonts w:ascii="Times New Roman" w:hAnsi="Times New Roman"/>
          <w:color w:val="000000"/>
          <w:sz w:val="24"/>
          <w:u w:val="single"/>
        </w:rPr>
        <w:t>Damages</w:t>
      </w:r>
      <w:r>
        <w:rPr>
          <w:rFonts w:ascii="Times New Roman" w:hAnsi="Times New Roman"/>
          <w:color w:val="000000"/>
          <w:sz w:val="20"/>
        </w:rPr>
        <w:t>”</w:t>
      </w:r>
      <w:r>
        <w:rPr>
          <w:rFonts w:ascii="Times New Roman" w:hAnsi="Times New Roman"/>
          <w:color w:val="000000"/>
          <w:sz w:val="24"/>
        </w:rPr>
        <w:t>) arising out of (a) the negligence or willful misconduct of the Indemnitor or any of its Representatives or (b) a breach by the Indemnitor of any of its obligations under this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Conditions and Process. </w:t>
      </w:r>
      <w:r>
        <w:rPr>
          <w:rFonts w:ascii="Times New Roman" w:hAnsi="Times New Roman"/>
          <w:color w:val="000000"/>
          <w:sz w:val="24"/>
        </w:rPr>
        <w:t xml:space="preserve">If any claim is asserted against an Indemnitee by any Third Party, which claim is subject to indemnity under this </w:t>
      </w:r>
      <w:r>
        <w:rPr>
          <w:rFonts w:ascii="Times New Roman" w:hAnsi="Times New Roman"/>
          <w:color w:val="000000"/>
          <w:sz w:val="24"/>
          <w:u w:val="single"/>
        </w:rPr>
        <w:t>Section 5.2</w:t>
      </w:r>
      <w:r>
        <w:rPr>
          <w:rFonts w:ascii="Times New Roman" w:hAnsi="Times New Roman"/>
          <w:color w:val="000000"/>
          <w:sz w:val="24"/>
        </w:rPr>
        <w:t xml:space="preserve">, then the Indemnitee shall notify the Indemnitor thereof promptly after its receipt of a writing making the claim, but any delay in giving such notice shall not affect the Indemnitee’s rights under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except to the extent the Indemnitor is actually prejudiced thereby. The Indemnitor shall have the right to take charge of the defense of such claim by giving notice to the Indemnitee within ten (10) days after Indemnitee’s notice. If the Indemnitor so assumes the defense, (i) the defending counsel shall be selected by the Indemnitor and shall be free of material conflicts with the Indemnitee’s interests and otherwise reasonably satisfactory to the Indemnitee, (ii) all costs and expenses of defense, including without limitation all attorney, witness, investigation, and court fees and expenses, (collectively, “</w:t>
      </w:r>
      <w:r>
        <w:rPr>
          <w:rFonts w:ascii="Times New Roman" w:hAnsi="Times New Roman"/>
          <w:color w:val="000000"/>
          <w:sz w:val="24"/>
          <w:u w:val="single"/>
        </w:rPr>
        <w:t>Defense Costs</w:t>
      </w:r>
      <w:r>
        <w:rPr>
          <w:rFonts w:ascii="Times New Roman" w:hAnsi="Times New Roman"/>
          <w:color w:val="000000"/>
          <w:sz w:val="20"/>
        </w:rPr>
        <w:t>”</w:t>
      </w:r>
      <w:r>
        <w:rPr>
          <w:rFonts w:ascii="Times New Roman" w:hAnsi="Times New Roman"/>
          <w:color w:val="000000"/>
          <w:sz w:val="24"/>
        </w:rPr>
        <w:t xml:space="preserve">) shall be borne and promptly paid by the Indemnitor, and (iii) any engagement of separate counsel by Indemnitee shall be solely at the Indemnitee’s expense. If the Indemnitor does not so assume the defense, or if the Indemnitor fails to diligently pursue such defense or timely pay any Defense Costs, then the Indemnitee may take charge of the defense of such claim, including the designation of defense counsel, and all Defense Costs, including without limitation the reasonable fees and expenses of counsel designated by the Indemnitee, shall be borne and promptly paid by the Indemnitor. No settlement of a claim for which indemnification will be sought under this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shall be made without the consent of the Indemnitor, which shall not unreasonably be withheld. No settlement of a claim shall be entered into without the consent of the Indemnitee unless it fully and finally releases the Indemnitee from all obligations and liability relating to or arising out of the subject matter of the claim and imposes no restrictions or burdens on the Indemnitee</w:t>
      </w:r>
      <w:r>
        <w:rPr>
          <w:rFonts w:ascii="Times New Roman" w:hAnsi="Times New Roman"/>
          <w:b/>
          <w:color w:val="000000"/>
          <w:sz w:val="24"/>
        </w:rPr>
        <w:t>.</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5.3</w:t>
      </w:r>
    </w:p>
    <w:p>
      <w:pPr>
        <w:pStyle w:val="TextBody"/>
        <w:bidi w:val="0"/>
        <w:jc w:val="left"/>
        <w:rPr/>
      </w:pPr>
      <w:r>
        <w:rPr>
          <w:rFonts w:ascii="Times New Roman" w:hAnsi="Times New Roman"/>
          <w:color w:val="000000"/>
          <w:sz w:val="24"/>
          <w:u w:val="single"/>
        </w:rPr>
        <w:t>Insurance</w:t>
      </w:r>
      <w:r>
        <w:rPr>
          <w:rFonts w:ascii="Times New Roman" w:hAnsi="Times New Roman"/>
          <w:color w:val="000000"/>
          <w:sz w:val="24"/>
        </w:rPr>
        <w:t>. Regenity shall maintain general liability insurance, including product liability coverage, in a minimum amount of Ten Million Dollars ($10,000,000) per occurrence and Ten Million Dollars ($10,000,000) in the aggregate annually.</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5.4</w:t>
      </w:r>
    </w:p>
    <w:p>
      <w:pPr>
        <w:pStyle w:val="TextBody"/>
        <w:bidi w:val="0"/>
        <w:jc w:val="left"/>
        <w:rPr/>
      </w:pPr>
      <w:r>
        <w:rPr>
          <w:rFonts w:ascii="Times New Roman" w:hAnsi="Times New Roman"/>
          <w:color w:val="000000"/>
          <w:sz w:val="24"/>
          <w:u w:val="single"/>
        </w:rPr>
        <w:t>Limitation of Liability.</w:t>
      </w:r>
      <w:r>
        <w:rPr>
          <w:color w:val="000000"/>
        </w:rPr>
        <w:t xml:space="preserve"> </w:t>
      </w:r>
      <w:r>
        <w:rPr>
          <w:rFonts w:ascii="Times New Roman" w:hAnsi="Times New Roman"/>
          <w:color w:val="000000"/>
          <w:sz w:val="24"/>
        </w:rPr>
        <w:t xml:space="preserve">Notwithstanding any provision of this Agreement to the contrary, except with respect to liability arising from (a) a breach of </w:t>
      </w:r>
      <w:r>
        <w:rPr>
          <w:rFonts w:ascii="Times New Roman" w:hAnsi="Times New Roman"/>
          <w:color w:val="000000"/>
          <w:sz w:val="24"/>
          <w:u w:val="single"/>
        </w:rPr>
        <w:t>Article VI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Article VII</w:t>
      </w:r>
      <w:r>
        <w:rPr>
          <w:rFonts w:ascii="Times New Roman" w:hAnsi="Times New Roman"/>
          <w:color w:val="000000"/>
          <w:sz w:val="24"/>
        </w:rPr>
        <w:t xml:space="preserve">, (b) willful misconduct or intentionally wrongful act of a Party, or (c) a Party’s indemnification obligations under this </w:t>
      </w:r>
      <w:r>
        <w:rPr>
          <w:rFonts w:ascii="Times New Roman" w:hAnsi="Times New Roman"/>
          <w:color w:val="000000"/>
          <w:sz w:val="24"/>
          <w:u w:val="single"/>
        </w:rPr>
        <w:t>Article V</w:t>
      </w:r>
      <w:r>
        <w:rPr>
          <w:rFonts w:ascii="Times New Roman" w:hAnsi="Times New Roman"/>
          <w:color w:val="000000"/>
          <w:sz w:val="24"/>
        </w:rPr>
        <w:t>,</w:t>
      </w:r>
      <w:r>
        <w:rPr>
          <w:color w:val="000000"/>
        </w:rPr>
        <w:t xml:space="preserve"> </w:t>
      </w:r>
      <w:r>
        <w:rPr>
          <w:rFonts w:ascii="Times New Roman" w:hAnsi="Times New Roman"/>
          <w:color w:val="000000"/>
          <w:sz w:val="24"/>
        </w:rPr>
        <w:t xml:space="preserve">in no event will either Party or its Representatives be liable under this Agreement for any special, indirect, incidental, consequential or punitive damages, whether in contract, warranty, tort, negligence, strict liability or otherwise, including loss of profits or revenue suffered by either Party or any of its Representatives. Without limiting the preceding sentence and notwithstanding any provision of this Agreement to the contrary but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4"/>
        </w:rPr>
        <w:t>subject to Section 3.4, except with respect to liability arising from (i) a breach of A</w:t>
      </w:r>
      <w:r>
        <w:rPr>
          <w:rFonts w:ascii="Times New Roman" w:hAnsi="Times New Roman"/>
          <w:color w:val="000000"/>
          <w:sz w:val="24"/>
          <w:u w:val="single"/>
        </w:rPr>
        <w:t>rticle VI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Article VII</w:t>
      </w:r>
      <w:r>
        <w:rPr>
          <w:rFonts w:ascii="Times New Roman" w:hAnsi="Times New Roman"/>
          <w:color w:val="000000"/>
          <w:sz w:val="24"/>
        </w:rPr>
        <w:t xml:space="preserve">, (ii) willful misconduct or intentionally wrongful act of a Party, or (iii) a Party’s indemnification obligations under this </w:t>
      </w:r>
      <w:r>
        <w:rPr>
          <w:rFonts w:ascii="Times New Roman" w:hAnsi="Times New Roman"/>
          <w:color w:val="000000"/>
          <w:sz w:val="24"/>
          <w:u w:val="single"/>
        </w:rPr>
        <w:t>Article V,</w:t>
      </w:r>
      <w:r>
        <w:rPr>
          <w:color w:val="000000"/>
        </w:rPr>
        <w:t xml:space="preserve"> </w:t>
      </w:r>
      <w:r>
        <w:rPr>
          <w:rFonts w:ascii="Times New Roman" w:hAnsi="Times New Roman"/>
          <w:color w:val="000000"/>
          <w:sz w:val="24"/>
        </w:rPr>
        <w:t>in no event shall either Party’s aggregate liability arising out of or related to this Agreement, whether in contract, tort or under any other theory of liability, exceed the payments made or payable by Distributor to Regenity under this Agreement in the six (6) months preceding the incident giving rise to such liability.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VI</w:t>
      </w:r>
    </w:p>
    <w:p>
      <w:pPr>
        <w:pStyle w:val="TextBody"/>
        <w:bidi w:val="0"/>
        <w:jc w:val="left"/>
        <w:rPr>
          <w:rFonts w:ascii="Times New Roman" w:hAnsi="Times New Roman"/>
          <w:b/>
          <w:color w:val="000000"/>
          <w:sz w:val="24"/>
        </w:rPr>
      </w:pPr>
      <w:r>
        <w:rPr>
          <w:rFonts w:ascii="Times New Roman" w:hAnsi="Times New Roman"/>
          <w:b/>
          <w:color w:val="000000"/>
          <w:sz w:val="24"/>
        </w:rPr>
        <w:t>Confidential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shall mean all information disclosed by a Party (the “</w:t>
      </w:r>
      <w:r>
        <w:rPr>
          <w:rFonts w:ascii="Times New Roman" w:hAnsi="Times New Roman"/>
          <w:color w:val="000000"/>
          <w:sz w:val="24"/>
          <w:u w:val="single"/>
        </w:rPr>
        <w:t>Disclosing Party</w:t>
      </w:r>
      <w:r>
        <w:rPr>
          <w:rFonts w:ascii="Times New Roman" w:hAnsi="Times New Roman"/>
          <w:color w:val="000000"/>
          <w:sz w:val="20"/>
        </w:rPr>
        <w:t>”</w:t>
      </w:r>
      <w:r>
        <w:rPr>
          <w:rFonts w:ascii="Times New Roman" w:hAnsi="Times New Roman"/>
          <w:color w:val="000000"/>
          <w:sz w:val="24"/>
        </w:rPr>
        <w:t>) to the other Party or its Representatives (the “</w:t>
      </w:r>
      <w:r>
        <w:rPr>
          <w:rFonts w:ascii="Times New Roman" w:hAnsi="Times New Roman"/>
          <w:color w:val="000000"/>
          <w:sz w:val="24"/>
          <w:u w:val="single"/>
        </w:rPr>
        <w:t>Recipient</w:t>
      </w:r>
      <w:r>
        <w:rPr>
          <w:rFonts w:ascii="Times New Roman" w:hAnsi="Times New Roman"/>
          <w:color w:val="000000"/>
          <w:sz w:val="20"/>
        </w:rPr>
        <w:t>”</w:t>
      </w:r>
      <w:r>
        <w:rPr>
          <w:rFonts w:ascii="Times New Roman" w:hAnsi="Times New Roman"/>
          <w:color w:val="000000"/>
          <w:sz w:val="24"/>
        </w:rPr>
        <w:t>) in any manner, whether orally, visually, or in tangible form (including documents, devices, and computer readable media) and all copies thereof, whether or not created by the Disclosing Party, in each case to the extent that such information is identified by the Disclosing Party as being confidential or proprietary at the time of disclosure. Notwithstanding the foregoing, Confidential Information shall not include any information that Recipient can demonstrate: (i) was in Recipient’s possession prior to disclosure by the Disclosing Party; (ii) was known to the public at the time of disclosure to Recipient under this Agreement, or becomes publicly known after such disclosure, through no act of Recipient or its employees, agents, or independent contractors; (iii) comes into the possession of Recipient from any Person who is not under any obligation to the Disclosing Party to maintain the confidentiality of such information; or (iv) is independently developed by the Recipient without the aid, use or application of Confidential Information of the Disclosing Party. Further, the terms and conditions of this Agreement shall be deemed the Confidential Information of both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Disclosure of Confidential Information</w:t>
      </w:r>
      <w:r>
        <w:rPr>
          <w:rFonts w:ascii="Times New Roman" w:hAnsi="Times New Roman"/>
          <w:color w:val="000000"/>
          <w:sz w:val="24"/>
        </w:rPr>
        <w:t xml:space="preserve">. Except as expressly permitted by this Agreement or as necessary to satisfy its obligations under this Agreement, Recipient shall not disclose Confidential Information of the Disclosing Party and shall prevent the disclosure of such Confidential Information by Recipient’s Representatives. Recipient shall disclose Confidential Information of the Disclosing Party only to those of its Representatives who have a need to know such Confidential Information for the purpose of satisfying its obligations under this Agreement. Recipient shall use Confidential Information of the Disclosing Party solely for the purpose of satisfying its obligations under this Agreement. Each Party agrees that the restrictions under this </w:t>
      </w:r>
      <w:r>
        <w:rPr>
          <w:rFonts w:ascii="Times New Roman" w:hAnsi="Times New Roman"/>
          <w:color w:val="000000"/>
          <w:sz w:val="24"/>
          <w:u w:val="single"/>
        </w:rPr>
        <w:t>Section 6</w:t>
      </w:r>
      <w:r>
        <w:rPr>
          <w:rFonts w:ascii="Times New Roman" w:hAnsi="Times New Roman"/>
          <w:color w:val="000000"/>
          <w:sz w:val="20"/>
        </w:rPr>
        <w:t xml:space="preserve"> </w:t>
      </w:r>
      <w:r>
        <w:rPr>
          <w:rFonts w:ascii="Times New Roman" w:hAnsi="Times New Roman"/>
          <w:color w:val="000000"/>
          <w:sz w:val="24"/>
        </w:rPr>
        <w:t>will continue to apply after this Agreement terminates or expires, regardless of the reason for such termination or expiration.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Disclosure Required by Law</w:t>
      </w:r>
      <w:r>
        <w:rPr>
          <w:rFonts w:ascii="Times New Roman" w:hAnsi="Times New Roman"/>
          <w:color w:val="000000"/>
          <w:sz w:val="24"/>
        </w:rPr>
        <w:t xml:space="preserve">. In the event that Recipient is ordered to disclose Confidential Information of the Disclosing Party pursuant to a judicial or governmental request, requirement, or order, Recipient shall immediately notify the Disclosing Party and take reasonable steps to assist the Disclosing Party in contesting such request, requirement, or order or otherwise protecting the Disclosing Party’s rights. If the Recipient is ultimately compelled to disclose Confidential Information of the Disclosing Party, it shall only disclose such Confidential Information to the extent required to comply with applicable Law.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Return or Destruction of Confidential Information</w:t>
      </w:r>
      <w:r>
        <w:rPr>
          <w:rFonts w:ascii="Times New Roman" w:hAnsi="Times New Roman"/>
          <w:color w:val="000000"/>
          <w:sz w:val="24"/>
        </w:rPr>
        <w:t>. Upon termination or expiration of this Agreement (or upon demand by the Disclosing Party), Recipient shall return promptly to the Disclosing Party or destroy, at the Disclosing Party’s option, all tangible materials that disclose or embody the Disclosing Party’s Confidential Information.</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6.5 </w:t>
      </w:r>
      <w:r>
        <w:rPr>
          <w:rFonts w:ascii="Times New Roman" w:hAnsi="Times New Roman"/>
          <w:color w:val="000000"/>
          <w:sz w:val="24"/>
          <w:u w:val="single"/>
        </w:rPr>
        <w:t>Remedies of Disclosing Party</w:t>
      </w:r>
      <w:r>
        <w:rPr>
          <w:rFonts w:ascii="Times New Roman" w:hAnsi="Times New Roman"/>
          <w:color w:val="000000"/>
          <w:sz w:val="24"/>
        </w:rPr>
        <w:t xml:space="preserve">. The Parties acknowledge that it will be impossible to measure the damages that would be suffered by Disclosing Party if Recipient fails to comply with its obligations under this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and that, in the event of any such failure, the Disclosing Party will not have an adequate remedy at law. The Disclosing Party shall, therefore, be entitled in addition to any other rights and remedies to seek specific performance of Recipient’s obligations under this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and to seek immediate injunctive relief without having to post a bond. Recipient shall not urge, as a defense to any proceeding for such specific performance or injunctive relief, that the Disclosing Party has an adequate remedy at law.</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VII</w:t>
      </w:r>
    </w:p>
    <w:p>
      <w:pPr>
        <w:pStyle w:val="TextBody"/>
        <w:bidi w:val="0"/>
        <w:jc w:val="left"/>
        <w:rPr>
          <w:rFonts w:ascii="Times New Roman" w:hAnsi="Times New Roman"/>
          <w:b/>
          <w:color w:val="000000"/>
          <w:sz w:val="24"/>
        </w:rPr>
      </w:pPr>
      <w:r>
        <w:rPr>
          <w:rFonts w:ascii="Times New Roman" w:hAnsi="Times New Roman"/>
          <w:b/>
          <w:color w:val="000000"/>
          <w:sz w:val="24"/>
        </w:rPr>
        <w:t>Intellectual Property Rights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7.1 </w:t>
      </w:r>
      <w:r>
        <w:rPr>
          <w:rFonts w:ascii="Times New Roman" w:hAnsi="Times New Roman"/>
          <w:color w:val="000000"/>
          <w:sz w:val="24"/>
          <w:u w:val="single"/>
        </w:rPr>
        <w:t>Trademarks and Trade Names</w:t>
      </w:r>
      <w:r>
        <w:rPr>
          <w:rFonts w:ascii="Times New Roman" w:hAnsi="Times New Roman"/>
          <w:color w:val="000000"/>
          <w:sz w:val="24"/>
        </w:rPr>
        <w:t>. Each Party recognizes that the other Party owns certain trademarks, trade names, service marks, and Internet domain names that identifies them and their products (including, without limitation, the Products) and each Party acknowledges that it has no ownership right or interest in any of the trademarks, trade names, service marks, and Internet domain names of the other Party or relating to any of the other Party’s products (including, without limitation, the Products). Regenity expressly acknowledges that it has no ownership right or interest in any of the proprietary designations for use in connection with the Products that are elements of Distributor Product Branding.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7.2 </w:t>
      </w:r>
      <w:r>
        <w:rPr>
          <w:rFonts w:ascii="Times New Roman" w:hAnsi="Times New Roman"/>
          <w:color w:val="000000"/>
          <w:sz w:val="24"/>
          <w:u w:val="single"/>
        </w:rPr>
        <w:t>Use of Marks</w:t>
      </w:r>
      <w:r>
        <w:rPr>
          <w:rFonts w:ascii="Times New Roman" w:hAnsi="Times New Roman"/>
          <w:color w:val="000000"/>
          <w:sz w:val="24"/>
        </w:rPr>
        <w:t>. As used herein, “</w:t>
      </w:r>
      <w:r>
        <w:rPr>
          <w:rFonts w:ascii="Times New Roman" w:hAnsi="Times New Roman"/>
          <w:color w:val="000000"/>
          <w:sz w:val="24"/>
          <w:u w:val="single"/>
        </w:rPr>
        <w:t>Regenity Marks</w:t>
      </w:r>
      <w:r>
        <w:rPr>
          <w:rFonts w:ascii="Times New Roman" w:hAnsi="Times New Roman"/>
          <w:color w:val="000000"/>
          <w:sz w:val="20"/>
        </w:rPr>
        <w:t xml:space="preserve">” </w:t>
      </w:r>
      <w:r>
        <w:rPr>
          <w:rFonts w:ascii="Times New Roman" w:hAnsi="Times New Roman"/>
          <w:color w:val="000000"/>
          <w:sz w:val="24"/>
        </w:rPr>
        <w:t xml:space="preserve">means the trademarks, trade names, names, brands, logos, symbols, and other proprietary designations of Regenity approved by Regenity for use in connection with the Products, other than those that are elements of Distributor Product Branding. During the Term, and subject to the terms and conditions of this Agreement, Distributor may use the Regenity Marks solely (i) in connection with its marketing and distribution of the Products in the Territory for use in the Field, and (ii) in compliance with the trademark guidelines communicated by Regenity to Distributor from time to time. Distributor shall use the Regenity Marks, and except for marks that are elements of Distributor Product Branding, no other trademarks, trade names, names, brands, logos, symbols, and other proprietary designations, to identify the Products in connection with the marketing, distribution, and sale of the Products by Distributor under this Agreement. Distributor is not authorized to use any of the Regenity Marks, or any derivative or partial use thereof, or any other trade names, trademarks, service marks, Internet domain names, logos, symbols, or indicia of proprietary designations of Regenity or any of its affiliates. Distributor shall not merge, co-join, or use any Regenity Mark in conjunction with any other trade names, trademarks, service marks, logos, symbols, or indicia, including but not limited to Distributor’s trade names or trademarks. Without limiting Distributor’s obligations under </w:t>
      </w:r>
      <w:r>
        <w:rPr>
          <w:rFonts w:ascii="Times New Roman" w:hAnsi="Times New Roman"/>
          <w:color w:val="000000"/>
          <w:sz w:val="24"/>
          <w:u w:val="single"/>
        </w:rPr>
        <w:t>Section 2.4(a)(ii)</w:t>
      </w:r>
      <w:r>
        <w:rPr>
          <w:rFonts w:ascii="Times New Roman" w:hAnsi="Times New Roman"/>
          <w:color w:val="000000"/>
          <w:sz w:val="24"/>
        </w:rPr>
        <w:t>, prior to any use or distribution of any Marketing Materials bearing any Regenity Marks, Distributor shall submit to Regenity copies of such Marketing Materials for Regenity’s review to assure compliance with Regenity’s then-current trademark usage standards, applicable Laws, and the terms and conditions of this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7.3 </w:t>
      </w:r>
      <w:r>
        <w:rPr>
          <w:rFonts w:ascii="Times New Roman" w:hAnsi="Times New Roman"/>
          <w:color w:val="000000"/>
          <w:sz w:val="24"/>
          <w:u w:val="single"/>
        </w:rPr>
        <w:t>Regenity Marks are the Property of Regenity.</w:t>
      </w:r>
      <w:r>
        <w:rPr>
          <w:rFonts w:ascii="Times New Roman" w:hAnsi="Times New Roman"/>
          <w:color w:val="000000"/>
          <w:sz w:val="20"/>
        </w:rPr>
        <w:t xml:space="preserve"> </w:t>
      </w:r>
      <w:r>
        <w:rPr>
          <w:rFonts w:ascii="Times New Roman" w:hAnsi="Times New Roman"/>
          <w:color w:val="000000"/>
          <w:sz w:val="24"/>
        </w:rPr>
        <w:t>The Regenity Marks, and any reputation and goodwill in them, are, and will remain, the exclusive property of Regenity, and Distributor does not have and will not in the future have, any right to use such Regenity Marks other than through this Agreement. All use of the Regenity Marks shall inure solely to the benefit of Regenity. Distributor shall not: (i) use the Regenity Marks, or any word, symbol, or design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confusingly similar to the Regenity Marks or other Regenity trademarks or service marks, as part of its corporate or legal name or in connection with any product sold by Distributor; (ii) do or suffer to be done any act or thing which will in any way impair the rights of Regenity in and to any Regenity Mark; (iii) apply for any registration of any trademark or other designation which includes in whole or in part any Regenity Mark or which otherwise would affect the ownership of any Regenity Mark, nor file any document with any Governmental Authority to take any action that would affect the ownership of any Regenity Mark or assist any other Person or entity to undertake any such action; or (iv) acquire or claim any title to any Regenity Mark adverse to Regenity by virtue of this Agreement or through Distributor’s use of any Regenity Mark pursuant to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7.4 </w:t>
      </w:r>
      <w:r>
        <w:rPr>
          <w:rFonts w:ascii="Times New Roman" w:hAnsi="Times New Roman"/>
          <w:color w:val="000000"/>
          <w:sz w:val="24"/>
          <w:u w:val="single"/>
        </w:rPr>
        <w:t>Distributor Marks.</w:t>
      </w:r>
      <w:r>
        <w:rPr>
          <w:rFonts w:ascii="Times New Roman" w:hAnsi="Times New Roman"/>
          <w:color w:val="000000"/>
          <w:sz w:val="20"/>
        </w:rPr>
        <w:t xml:space="preserve"> </w:t>
      </w:r>
      <w:r>
        <w:rPr>
          <w:rFonts w:ascii="Times New Roman" w:hAnsi="Times New Roman"/>
          <w:color w:val="000000"/>
          <w:sz w:val="24"/>
        </w:rPr>
        <w:t>As used herein, “</w:t>
      </w:r>
      <w:r>
        <w:rPr>
          <w:rFonts w:ascii="Times New Roman" w:hAnsi="Times New Roman"/>
          <w:color w:val="000000"/>
          <w:sz w:val="24"/>
          <w:u w:val="single"/>
        </w:rPr>
        <w:t>Distributor Marks</w:t>
      </w:r>
      <w:r>
        <w:rPr>
          <w:rFonts w:ascii="Times New Roman" w:hAnsi="Times New Roman"/>
          <w:color w:val="000000"/>
          <w:sz w:val="20"/>
        </w:rPr>
        <w:t xml:space="preserve">” </w:t>
      </w:r>
      <w:r>
        <w:rPr>
          <w:rFonts w:ascii="Times New Roman" w:hAnsi="Times New Roman"/>
          <w:color w:val="000000"/>
          <w:sz w:val="24"/>
        </w:rPr>
        <w:t>means the trademarks, trade names, names, brands, logos, symbols, and other proprietary designations of Distributor including all the elements of Distributor Product Branding. The Distributor Marks, and any reputation and goodwill in them, are, and will remain, the exclusive and solely-owned property of Distributor, and Regenity does not have and will not in the future have, any right to use such Distributor Marks other than through this Agreement. All use of the Distributor Marks shall inure solely to the benefit of Distributor. Regenity shall not: (i) use the Distributor Marks, or any word, symbol, or design confusingly similar to the Distributor Marks or other Distributor trademarks or service marks, as part of its corporate or legal name or in connection with any product sold by Regenity; (ii) do or suffer to be done any act or thing which will in any way impair the rights of Distributor in and to any Distributor Mark; (iii) apply for any registration of any trademark or other designation which includes in whole or in part any Distributor Mark or which otherwise would affect the ownership of any Distributor Mark, nor file any document with any Governmental Authority to take any action that would affect the ownership of any Distributor Mark or assist any other Person or entity to undertake any such action; or (iv) acquire or claim any title to any Distributor Mark adverse to Distributor by virtue of this Agreement or through Regenity’s use of any Distributor Mark pursuant to this Agreement. Regenity shall not (i) use any of the Distributor Marks, or any derivative or partial use thereof, or any other trade names, trademarks, service marks, Internet domain names, logos, symbols, or indicia of proprietary designations of Distributor or any of its affiliates, or (ii) merge, co-join, or use any Distributor Mark in conjunction with any other trade names, trademarks, service marks, logos, symbols, or indicia, including but not limited to Regenity’s trade names or trademarks, without prior written permission from Distributor.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7.5 </w:t>
      </w:r>
      <w:r>
        <w:rPr>
          <w:rFonts w:ascii="Times New Roman" w:hAnsi="Times New Roman"/>
          <w:color w:val="000000"/>
          <w:sz w:val="24"/>
          <w:u w:val="single"/>
        </w:rPr>
        <w:t>Intellectual Property</w:t>
      </w:r>
      <w:r>
        <w:rPr>
          <w:rFonts w:ascii="Times New Roman" w:hAnsi="Times New Roman"/>
          <w:color w:val="000000"/>
          <w:sz w:val="24"/>
        </w:rPr>
        <w:t>. Distributor acknowledges that all patents, copyrights, design rights, trade secrets, and other intellectual property rights in or related to the Products (collectively, “</w:t>
      </w:r>
      <w:r>
        <w:rPr>
          <w:rFonts w:ascii="Times New Roman" w:hAnsi="Times New Roman"/>
          <w:color w:val="000000"/>
          <w:sz w:val="24"/>
          <w:u w:val="single"/>
        </w:rPr>
        <w:t>Product IP</w:t>
      </w:r>
      <w:r>
        <w:rPr>
          <w:rFonts w:ascii="Times New Roman" w:hAnsi="Times New Roman"/>
          <w:color w:val="000000"/>
          <w:sz w:val="20"/>
        </w:rPr>
        <w:t>”</w:t>
      </w:r>
      <w:r>
        <w:rPr>
          <w:rFonts w:ascii="Times New Roman" w:hAnsi="Times New Roman"/>
          <w:color w:val="000000"/>
          <w:sz w:val="24"/>
        </w:rPr>
        <w:t>) shall be and remain the exclusive property of Regenity. Except as expressly provided under this Agreement, Distributor has no right to, and shall not, make, use, modify, reproduce, disassemble, reverse engineer, translate, reconstruct, or improve the Products, or practice any of Regenity’s intellectual property rights, except upon the prior written consent of Regenity. Distributor agrees to and hereby does assign to Regenity, without payment of royalty or other consideration, all of Distributor’s rights in any Product IP, whether now existing or that hereafter arises.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7.6 </w:t>
      </w:r>
      <w:r>
        <w:rPr>
          <w:rFonts w:ascii="Times New Roman" w:hAnsi="Times New Roman"/>
          <w:color w:val="000000"/>
          <w:sz w:val="24"/>
          <w:u w:val="single"/>
        </w:rPr>
        <w:t>Notification of Adverse Use</w:t>
      </w:r>
      <w:r>
        <w:rPr>
          <w:rFonts w:ascii="Times New Roman" w:hAnsi="Times New Roman"/>
          <w:color w:val="000000"/>
          <w:sz w:val="24"/>
        </w:rPr>
        <w:t>. Each Party shall promptly notify the other Party of any action undertaken by any Person that may constitute an infringement of any Product IP or that Party’s marks (including, without limitation, any adverse use of marks by any Person that is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confusingly similar to any of either Party’s marks), in each case to the extent that the same comes to such Party’s attention.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VIII</w:t>
      </w:r>
    </w:p>
    <w:p>
      <w:pPr>
        <w:pStyle w:val="TextBody"/>
        <w:bidi w:val="0"/>
        <w:jc w:val="left"/>
        <w:rPr>
          <w:rFonts w:ascii="Times New Roman" w:hAnsi="Times New Roman"/>
          <w:b/>
          <w:color w:val="000000"/>
          <w:sz w:val="24"/>
        </w:rPr>
      </w:pPr>
      <w:r>
        <w:rPr>
          <w:rFonts w:ascii="Times New Roman" w:hAnsi="Times New Roman"/>
          <w:b/>
          <w:color w:val="000000"/>
          <w:sz w:val="24"/>
        </w:rPr>
        <w:t>Miscellaneous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8.1 </w:t>
      </w:r>
      <w:r>
        <w:rPr>
          <w:rFonts w:ascii="Times New Roman" w:hAnsi="Times New Roman"/>
          <w:color w:val="000000"/>
          <w:sz w:val="24"/>
          <w:u w:val="single"/>
        </w:rPr>
        <w:t>Relationship of the Parties.</w:t>
      </w:r>
      <w:r>
        <w:rPr>
          <w:rFonts w:ascii="Times New Roman" w:hAnsi="Times New Roman"/>
          <w:color w:val="000000"/>
          <w:sz w:val="20"/>
        </w:rPr>
        <w:t xml:space="preserve"> </w:t>
      </w:r>
      <w:r>
        <w:rPr>
          <w:rFonts w:ascii="Times New Roman" w:hAnsi="Times New Roman"/>
          <w:color w:val="000000"/>
          <w:sz w:val="24"/>
        </w:rPr>
        <w:t>The relationship of Regenity and Distributor as the result of this Agreement is that of principal and independent contractor. Nothing herein contained shall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8.2 </w:t>
      </w:r>
      <w:r>
        <w:rPr>
          <w:rFonts w:ascii="Times New Roman" w:hAnsi="Times New Roman"/>
          <w:color w:val="000000"/>
          <w:sz w:val="24"/>
          <w:u w:val="single"/>
        </w:rPr>
        <w:t>Warranty and Representation.</w:t>
      </w:r>
      <w:r>
        <w:rPr>
          <w:rFonts w:ascii="Times New Roman" w:hAnsi="Times New Roman"/>
          <w:color w:val="000000"/>
          <w:sz w:val="20"/>
        </w:rPr>
        <w:t xml:space="preserve"> </w:t>
      </w:r>
      <w:r>
        <w:rPr>
          <w:rFonts w:ascii="Times New Roman" w:hAnsi="Times New Roman"/>
          <w:color w:val="000000"/>
          <w:sz w:val="24"/>
        </w:rPr>
        <w:t>Each Party warrants and represents to the other that it is legally free to enter into this Agreement in accordance with its terms and conditions, and that this Agreement does not interfere with any legal or contractual obligations it may have with any Third Party.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8.3 </w:t>
      </w:r>
      <w:r>
        <w:rPr>
          <w:rFonts w:ascii="Times New Roman" w:hAnsi="Times New Roman"/>
          <w:color w:val="000000"/>
          <w:sz w:val="24"/>
          <w:u w:val="single"/>
        </w:rPr>
        <w:t>Non-Assignment and Change of Control.</w:t>
      </w:r>
      <w:r>
        <w:rPr>
          <w:rFonts w:ascii="Times New Roman" w:hAnsi="Times New Roman"/>
          <w:color w:val="000000"/>
          <w:sz w:val="20"/>
        </w:rPr>
        <w:t xml:space="preserve"> </w:t>
      </w:r>
      <w:r>
        <w:rPr>
          <w:rFonts w:ascii="Times New Roman" w:hAnsi="Times New Roman"/>
          <w:color w:val="000000"/>
          <w:sz w:val="24"/>
        </w:rPr>
        <w:t>Neither party may assign any of its rights or obligations hereunder without the prior written consent of the other, which consent shall not be unreasonably withheld or delayed. In the event of a transfer by either Party of its rights or obligations under this Agreement incident to a merger, consolidation, reorganization or acquisition of substantially all the assets, or other form of transaction effecting a change of control, of such Party, this Agreement shall automatically transfer in its entirety to, and be binding upon, the party that acquires or assumes the transferring Party’s assets and obligations. Notwithstanding any provision of this Agreement to the contrary, any of Regenity’s obligations to be performed under this Agreement may be performed by any subsidiary, affiliate or qualified third-party subcontractor of Regenity, subject to Distributor’s prior approval.</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8.4 </w:t>
      </w:r>
      <w:r>
        <w:rPr>
          <w:rFonts w:ascii="Times New Roman" w:hAnsi="Times New Roman"/>
          <w:color w:val="000000"/>
          <w:sz w:val="24"/>
          <w:u w:val="single"/>
        </w:rPr>
        <w:t>Notices.</w:t>
      </w:r>
      <w:r>
        <w:rPr>
          <w:rFonts w:ascii="Times New Roman" w:hAnsi="Times New Roman"/>
          <w:color w:val="000000"/>
          <w:sz w:val="20"/>
        </w:rPr>
        <w:t xml:space="preserve"> </w:t>
      </w:r>
      <w:r>
        <w:rPr>
          <w:rFonts w:ascii="Times New Roman" w:hAnsi="Times New Roman"/>
          <w:color w:val="000000"/>
          <w:sz w:val="24"/>
        </w:rPr>
        <w:t xml:space="preserve">Any notice or notification required or permitted to be provided pursuant to the terms and conditions of this Agreement (including any notice of force majeure, breach, termination, change of address, etc.) shall be in writing and shall be deemed given upon receipt if delivered personally or by facsimile transmission (receipt verified), five days after deposited in the mail if mailed by registered or certified mail (return receipt requested) postage prepaid, or on the next business day if sent by overnight delivery using a nationally recognized express courier service and specifying next business day delivery (receipt verified), to the Parties at the following addresses or facsimile numbers (or at such other address or facsimile number for a Party as shall be specified by like notice, </w:t>
      </w:r>
      <w:r>
        <w:rPr>
          <w:rFonts w:ascii="Times New Roman" w:hAnsi="Times New Roman"/>
          <w:i/>
          <w:color w:val="000000"/>
          <w:sz w:val="24"/>
        </w:rPr>
        <w:t>provided, however</w:t>
      </w:r>
      <w:r>
        <w:rPr>
          <w:rFonts w:ascii="Times New Roman" w:hAnsi="Times New Roman"/>
          <w:color w:val="000000"/>
          <w:sz w:val="24"/>
        </w:rPr>
        <w:t>, that notices of a change of address shall be effective only upon receipt thereof):</w:t>
      </w:r>
    </w:p>
    <w:p>
      <w:pPr>
        <w:pStyle w:val="TextBody"/>
        <w:bidi w:val="0"/>
        <w:jc w:val="left"/>
        <w:rPr>
          <w:rFonts w:ascii="Times New Roman" w:hAnsi="Times New Roman"/>
          <w:sz w:val="20"/>
        </w:rPr>
      </w:pPr>
      <w:r>
        <w:rPr>
          <w:rFonts w:ascii="Times New Roman" w:hAnsi="Times New Roman"/>
          <w:color w:val="000000"/>
          <w:sz w:val="24"/>
        </w:rPr>
        <w:t>All correspondence to Regenity shall be addressed as follows: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Collagen Matrix, Inc.</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Attn: Chief Executive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All correspondence to Distributor shall be addressed as follows: </w:t>
      </w:r>
    </w:p>
    <w:p>
      <w:pPr>
        <w:pStyle w:val="TextBody"/>
        <w:bidi w:val="0"/>
        <w:jc w:val="left"/>
        <w:rPr>
          <w:rFonts w:ascii="Times New Roman" w:hAnsi="Times New Roman"/>
          <w:color w:val="000000"/>
          <w:sz w:val="24"/>
        </w:rPr>
      </w:pPr>
      <w:r>
        <w:rPr>
          <w:rFonts w:ascii="Times New Roman" w:hAnsi="Times New Roman"/>
          <w:color w:val="000000"/>
          <w:sz w:val="24"/>
        </w:rPr>
        <w:t>AVITA Medical, Inc.</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28159 Avenue Stanford, Suite 220</w:t>
      </w:r>
    </w:p>
    <w:p>
      <w:pPr>
        <w:pStyle w:val="TextBody"/>
        <w:bidi w:val="0"/>
        <w:jc w:val="left"/>
        <w:rPr>
          <w:rFonts w:ascii="Times New Roman" w:hAnsi="Times New Roman"/>
          <w:color w:val="000000"/>
          <w:sz w:val="24"/>
        </w:rPr>
      </w:pPr>
      <w:r>
        <w:rPr>
          <w:rFonts w:ascii="Times New Roman" w:hAnsi="Times New Roman"/>
          <w:color w:val="000000"/>
          <w:sz w:val="24"/>
        </w:rPr>
        <w:t>Valencia, CA 91355</w:t>
      </w:r>
    </w:p>
    <w:p>
      <w:pPr>
        <w:pStyle w:val="TextBody"/>
        <w:bidi w:val="0"/>
        <w:jc w:val="left"/>
        <w:rPr>
          <w:rFonts w:ascii="Times New Roman" w:hAnsi="Times New Roman"/>
          <w:sz w:val="20"/>
        </w:rPr>
      </w:pPr>
      <w:r>
        <w:rPr>
          <w:rFonts w:ascii="Times New Roman" w:hAnsi="Times New Roman"/>
          <w:color w:val="000000"/>
          <w:sz w:val="24"/>
        </w:rPr>
        <w:t>Attn:</w:t>
      </w:r>
      <w:r>
        <w:rPr>
          <w:rFonts w:ascii="Times New Roman" w:hAnsi="Times New Roman"/>
          <w:color w:val="000000"/>
          <w:sz w:val="20"/>
        </w:rPr>
        <w:t xml:space="preserve"> </w:t>
      </w:r>
      <w:r>
        <w:rPr>
          <w:rFonts w:ascii="Times New Roman" w:hAnsi="Times New Roman"/>
          <w:color w:val="000000"/>
          <w:sz w:val="24"/>
        </w:rPr>
        <w:t>Chief Legal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8.5 </w:t>
      </w:r>
      <w:r>
        <w:rPr>
          <w:rFonts w:ascii="Times New Roman" w:hAnsi="Times New Roman"/>
          <w:color w:val="000000"/>
          <w:sz w:val="24"/>
          <w:u w:val="single"/>
        </w:rPr>
        <w:t>Severability.</w:t>
      </w:r>
      <w:r>
        <w:rPr>
          <w:rFonts w:ascii="Times New Roman" w:hAnsi="Times New Roman"/>
          <w:color w:val="000000"/>
          <w:sz w:val="20"/>
        </w:rPr>
        <w:t xml:space="preserve"> </w:t>
      </w:r>
      <w:r>
        <w:rPr>
          <w:rFonts w:ascii="Times New Roman" w:hAnsi="Times New Roman"/>
          <w:color w:val="000000"/>
          <w:sz w:val="24"/>
        </w:rPr>
        <w:t>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or portion thereof had never been contained in this Agreement, and there shall be deemed substituted therefor such provision as will most nearly carry out the intent of the Parties as expressed in this Agreement to the fullest extent permitted by applicable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8.6 </w:t>
      </w:r>
      <w:r>
        <w:rPr>
          <w:rFonts w:ascii="Times New Roman" w:hAnsi="Times New Roman"/>
          <w:color w:val="000000"/>
          <w:sz w:val="24"/>
          <w:u w:val="single"/>
        </w:rPr>
        <w:t>Waiver of Breach.</w:t>
      </w:r>
      <w:r>
        <w:rPr>
          <w:rFonts w:ascii="Times New Roman" w:hAnsi="Times New Roman"/>
          <w:color w:val="000000"/>
          <w:sz w:val="20"/>
        </w:rPr>
        <w:t xml:space="preserve"> </w:t>
      </w:r>
      <w:r>
        <w:rPr>
          <w:rFonts w:ascii="Times New Roman" w:hAnsi="Times New Roman"/>
          <w:color w:val="000000"/>
          <w:sz w:val="24"/>
        </w:rPr>
        <w:t>No provision of this Agreement shall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8.7 </w:t>
      </w:r>
      <w:r>
        <w:rPr>
          <w:rFonts w:ascii="Times New Roman" w:hAnsi="Times New Roman"/>
          <w:color w:val="000000"/>
          <w:sz w:val="24"/>
          <w:u w:val="single"/>
        </w:rPr>
        <w:t>Force Majeure.</w:t>
      </w:r>
      <w:r>
        <w:rPr>
          <w:rFonts w:ascii="Times New Roman" w:hAnsi="Times New Roman"/>
          <w:color w:val="000000"/>
          <w:sz w:val="20"/>
        </w:rPr>
        <w:t xml:space="preserve"> </w:t>
      </w:r>
      <w:r>
        <w:rPr>
          <w:rFonts w:ascii="Times New Roman" w:hAnsi="Times New Roman"/>
          <w:color w:val="000000"/>
          <w:sz w:val="24"/>
        </w:rPr>
        <w:t>Nonperformance by either Party shall be excused to the extent that performance is rendered impossible by acts of God, civil or military authority, war, riots, fire, earthquakes, floods, embargo, explosion, prohibition of import or export of the Products, governmental orders, regulations, restrictions, or by strike, lockout, or other labor troubles or any other reason where failure to perform is beyond the reasonable control of and is not caused by the negligence of the non-performing Party.</w:t>
      </w:r>
    </w:p>
    <w:p>
      <w:pPr>
        <w:pStyle w:val="TextBody"/>
        <w:bidi w:val="0"/>
        <w:jc w:val="left"/>
        <w:rPr>
          <w:rFonts w:ascii="Times New Roman" w:hAnsi="Times New Roman"/>
          <w:sz w:val="20"/>
        </w:rPr>
      </w:pPr>
      <w:r>
        <w:rPr>
          <w:rFonts w:ascii="Times New Roman" w:hAnsi="Times New Roman"/>
          <w:color w:val="000000"/>
          <w:sz w:val="24"/>
        </w:rPr>
        <w:t xml:space="preserve">8.8 </w:t>
      </w:r>
      <w:r>
        <w:rPr>
          <w:rFonts w:ascii="Times New Roman" w:hAnsi="Times New Roman"/>
          <w:color w:val="000000"/>
          <w:sz w:val="24"/>
          <w:u w:val="single"/>
        </w:rPr>
        <w:t>Governing Law and Jurisdiction.</w:t>
      </w:r>
      <w:r>
        <w:rPr>
          <w:rFonts w:ascii="Times New Roman" w:hAnsi="Times New Roman"/>
          <w:color w:val="000000"/>
          <w:sz w:val="20"/>
        </w:rPr>
        <w:t xml:space="preserve"> </w:t>
      </w:r>
      <w:r>
        <w:rPr>
          <w:rFonts w:ascii="Times New Roman" w:hAnsi="Times New Roman"/>
          <w:color w:val="000000"/>
          <w:sz w:val="24"/>
        </w:rPr>
        <w:t>This Agreement shall be governed by and construed in accordance with the laws in the state of New York, U.S.A., including the United States Federal Court located in the state of New Jersey shall have exclusive jurisdiction to hear and determine all disputes and claims whether for injunction, declaration, damage or otherwise, and shall have exclusive jurisdiction to hear and determine all questions as to the validity, existence or enforceability of this Agreement, all without regard to choice or conflict of law rules.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8.9 </w:t>
      </w:r>
      <w:r>
        <w:rPr>
          <w:rFonts w:ascii="Times New Roman" w:hAnsi="Times New Roman"/>
          <w:color w:val="000000"/>
          <w:sz w:val="24"/>
          <w:u w:val="single"/>
        </w:rPr>
        <w:t>Modification.</w:t>
      </w:r>
      <w:r>
        <w:rPr>
          <w:rFonts w:ascii="Times New Roman" w:hAnsi="Times New Roman"/>
          <w:color w:val="000000"/>
          <w:sz w:val="20"/>
        </w:rPr>
        <w:t xml:space="preserve"> </w:t>
      </w:r>
      <w:r>
        <w:rPr>
          <w:rFonts w:ascii="Times New Roman" w:hAnsi="Times New Roman"/>
          <w:color w:val="000000"/>
          <w:sz w:val="24"/>
        </w:rPr>
        <w:t>No amendment, modification or supplement of any provision of this Agreement shall be valid or effective unless made in writing and signed by a duly authorized officer of each Party.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8.10 </w:t>
      </w:r>
      <w:r>
        <w:rPr>
          <w:rFonts w:ascii="Times New Roman" w:hAnsi="Times New Roman"/>
          <w:color w:val="000000"/>
          <w:sz w:val="24"/>
          <w:u w:val="single"/>
        </w:rPr>
        <w:t>Entire Agreement.</w:t>
      </w:r>
      <w:r>
        <w:rPr>
          <w:rFonts w:ascii="Times New Roman" w:hAnsi="Times New Roman"/>
          <w:color w:val="000000"/>
          <w:sz w:val="20"/>
        </w:rPr>
        <w:t xml:space="preserve"> </w:t>
      </w:r>
      <w:r>
        <w:rPr>
          <w:rFonts w:ascii="Times New Roman" w:hAnsi="Times New Roman"/>
          <w:color w:val="000000"/>
          <w:sz w:val="24"/>
        </w:rPr>
        <w:t>This Agreement contains the entire agreement of the Parties hereto with respect to the subject matter hereof and shall be deemed to supersede all prior agreements concerning such subject matter, whether written or oral, and the terms and provisions of any such prior agreement are hereby terminated, are null and void, and shall be without further force or effect. Notwithstanding the foregoing, any agreements with respect to the confidentiality and/or non-disclosure of confidential or proprietary information disclosed by one Party to the other Party prior to the Effective Date shall remain in full force and effect and govern the receiving Party’s obligations with respect to such confidential or proprietary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8.11 </w:t>
      </w:r>
      <w:r>
        <w:rPr>
          <w:rFonts w:ascii="Times New Roman" w:hAnsi="Times New Roman"/>
          <w:color w:val="000000"/>
          <w:sz w:val="24"/>
          <w:u w:val="single"/>
        </w:rPr>
        <w:t>Counterparts.</w:t>
      </w:r>
      <w:r>
        <w:rPr>
          <w:rFonts w:ascii="Times New Roman" w:hAnsi="Times New Roman"/>
          <w:color w:val="000000"/>
          <w:sz w:val="20"/>
        </w:rPr>
        <w:t xml:space="preserve"> </w:t>
      </w:r>
      <w:r>
        <w:rPr>
          <w:rFonts w:ascii="Times New Roman" w:hAnsi="Times New Roman"/>
          <w:color w:val="000000"/>
          <w:sz w:val="24"/>
        </w:rPr>
        <w:t>This Agreement may be executed in two or more counterparts,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each of which shall be deemed an original and all of which together shall constitute one instrument.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8.12 </w:t>
      </w:r>
      <w:r>
        <w:rPr>
          <w:rFonts w:ascii="Times New Roman" w:hAnsi="Times New Roman"/>
          <w:color w:val="000000"/>
          <w:sz w:val="24"/>
          <w:u w:val="single"/>
        </w:rPr>
        <w:t>Binding Effect.</w:t>
      </w:r>
      <w:r>
        <w:rPr>
          <w:rFonts w:ascii="Times New Roman" w:hAnsi="Times New Roman"/>
          <w:color w:val="000000"/>
          <w:sz w:val="20"/>
        </w:rPr>
        <w:t xml:space="preserve"> </w:t>
      </w:r>
      <w:r>
        <w:rPr>
          <w:rFonts w:ascii="Times New Roman" w:hAnsi="Times New Roman"/>
          <w:color w:val="000000"/>
          <w:sz w:val="24"/>
        </w:rPr>
        <w:t>This Agreement shall be binding upon and inure to the benefit of the parties hereto and their respective successors and assigns.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8.13 </w:t>
      </w:r>
      <w:r>
        <w:rPr>
          <w:rFonts w:ascii="Times New Roman" w:hAnsi="Times New Roman"/>
          <w:color w:val="000000"/>
          <w:sz w:val="24"/>
          <w:u w:val="single"/>
        </w:rPr>
        <w:t>Descriptive Headings</w:t>
      </w:r>
      <w:r>
        <w:rPr>
          <w:rFonts w:ascii="Times New Roman" w:hAnsi="Times New Roman"/>
          <w:color w:val="000000"/>
          <w:sz w:val="24"/>
        </w:rPr>
        <w:t>. The descriptive headings of this Agreement are for convenience only and shall be of no force or effect in construing or interpreting any of the provisions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8.14 </w:t>
      </w:r>
      <w:r>
        <w:rPr>
          <w:rFonts w:ascii="Times New Roman" w:hAnsi="Times New Roman"/>
          <w:color w:val="000000"/>
          <w:sz w:val="24"/>
          <w:u w:val="single"/>
        </w:rPr>
        <w:t>No Third-Party Rights.</w:t>
      </w:r>
      <w:r>
        <w:rPr>
          <w:rFonts w:ascii="Times New Roman" w:hAnsi="Times New Roman"/>
          <w:color w:val="000000"/>
          <w:sz w:val="20"/>
        </w:rPr>
        <w:t xml:space="preserve"> </w:t>
      </w:r>
      <w:r>
        <w:rPr>
          <w:rFonts w:ascii="Times New Roman" w:hAnsi="Times New Roman"/>
          <w:color w:val="000000"/>
          <w:sz w:val="24"/>
        </w:rPr>
        <w:t>No provision of this Agreement shall be deemed or construed in any way to result in the creation of any rights or obligation in any Person not a Party to this Agreement.</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executed this Agreement as of the Effective Date.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COLLAGEN MATRIX, INC. AVITA MEDICAL,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Signature: ___________________________ Signature: ___________________________ </w:t>
      </w:r>
    </w:p>
    <w:p>
      <w:pPr>
        <w:pStyle w:val="TextBody"/>
        <w:bidi w:val="0"/>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u w:val="single"/>
        </w:rPr>
        <w:t xml:space="preserve"> </w:t>
      </w:r>
      <w:r>
        <w:rPr>
          <w:rFonts w:ascii="Times New Roman" w:hAnsi="Times New Roman"/>
          <w:color w:val="000000"/>
          <w:sz w:val="24"/>
          <w:u w:val="single"/>
        </w:rPr>
        <w:t xml:space="preserve">Peggy Hansen </w:t>
      </w:r>
      <w:r>
        <w:rPr>
          <w:rFonts w:ascii="Times New Roman" w:hAnsi="Times New Roman"/>
          <w:color w:val="000000"/>
          <w:sz w:val="24"/>
        </w:rPr>
        <w:t>Print:</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GM CDM / SVP RA/CA/QA______</w:t>
      </w:r>
      <w:r>
        <w:rPr>
          <w:rFonts w:ascii="Times New Roman" w:hAnsi="Times New Roman"/>
          <w:color w:val="000000"/>
          <w:sz w:val="20"/>
        </w:rPr>
        <w:t xml:space="preserve"> </w:t>
      </w: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SCHEDULE A</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PRODUCTS AND PRICES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318" w:type="dxa"/>
        <w:jc w:val="left"/>
        <w:tblInd w:w="0" w:type="dxa"/>
        <w:tblLayout w:type="fixed"/>
        <w:tblCellMar>
          <w:top w:w="28" w:type="dxa"/>
          <w:left w:w="28" w:type="dxa"/>
          <w:bottom w:w="28" w:type="dxa"/>
          <w:right w:w="28" w:type="dxa"/>
        </w:tblCellMar>
      </w:tblPr>
      <w:tblGrid>
        <w:gridCol w:w="2071"/>
        <w:gridCol w:w="2806"/>
        <w:gridCol w:w="1441"/>
      </w:tblGrid>
      <w:tr>
        <w:trPr/>
        <w:tc>
          <w:tcPr>
            <w:tcW w:w="207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7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Regenity Item Code</w:t>
            </w:r>
          </w:p>
        </w:tc>
        <w:tc>
          <w:tcPr>
            <w:tcW w:w="280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Distributor Item Code TBD</w:t>
            </w:r>
          </w:p>
        </w:tc>
        <w:tc>
          <w:tcPr>
            <w:tcW w:w="144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SIZE</w:t>
            </w:r>
          </w:p>
        </w:tc>
      </w:tr>
      <w:tr>
        <w:trPr/>
        <w:tc>
          <w:tcPr>
            <w:tcW w:w="20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BDTWD22</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2cm x 2cm</w:t>
            </w:r>
          </w:p>
        </w:tc>
      </w:tr>
      <w:tr>
        <w:trPr/>
        <w:tc>
          <w:tcPr>
            <w:tcW w:w="20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BDTWD55</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5cm x 5cm</w:t>
            </w:r>
          </w:p>
        </w:tc>
      </w:tr>
      <w:tr>
        <w:trPr/>
        <w:tc>
          <w:tcPr>
            <w:tcW w:w="20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BDTWD1010</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10cm x 10cm</w:t>
            </w:r>
          </w:p>
        </w:tc>
      </w:tr>
      <w:tr>
        <w:trPr/>
        <w:tc>
          <w:tcPr>
            <w:tcW w:w="20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BDTWD1020</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10cm x 20cm</w:t>
            </w:r>
          </w:p>
        </w:tc>
      </w:tr>
      <w:tr>
        <w:trPr/>
        <w:tc>
          <w:tcPr>
            <w:tcW w:w="20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BDTWD2035</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20cm x 35cm</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*Product Handling Demos: Non-Sterile, Bulk Packed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SCHEDULE B</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TERRITORY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United States of America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SCHEDULE C</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LIMITED PRODUCT WARRANTY</w:t>
      </w:r>
    </w:p>
    <w:p>
      <w:pPr>
        <w:pStyle w:val="TextBody"/>
        <w:bidi w:val="0"/>
        <w:jc w:val="left"/>
        <w:rPr>
          <w:rFonts w:ascii="Times New Roman" w:hAnsi="Times New Roman"/>
          <w:b/>
          <w:color w:val="000000"/>
          <w:sz w:val="24"/>
        </w:rPr>
      </w:pPr>
      <w:r>
        <w:rPr>
          <w:rFonts w:ascii="Times New Roman" w:hAnsi="Times New Roman"/>
          <w:b/>
          <w:color w:val="000000"/>
          <w:sz w:val="24"/>
        </w:rPr>
        <w:t>(IN EFFECT AS OF THE EFFECTIVE DATE)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Regenity warrants that, at the time Regenity delivers the Product to the Carrier, the Product (a) will conform with applicable Specifications, (b) will be packaged in accordance with the final packaging and labeling agreed upon between Regenity and Distributor with respect to such Product, (c) will have been manufactured in compliance with US FDA Quality System Regulations 21 CFR 820 and ISO 13485, and (d) will have at least fifty percent (50%) of the maximum shelf-life for such Product (as specified in the applicable Specifications) remaining.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color w:val="000000"/>
        </w:rPr>
      </w:pPr>
      <w:r>
        <w:rPr>
          <w:color w:val="000000"/>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SCHEDULE 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PRODUCT SPECIFICATIONS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All Products shall: (1) meet applicable FDA acceptance specifications, (2) conform to applicable sizing as shown in Schedule A, (3) be sterile and non-pyrogenic, and (4) be packaged and labeled in final box for distribution to end users in accordance with Trademark and Private Brand specifications supplied by Distributor.</w:t>
      </w:r>
      <w:r>
        <w:rPr>
          <w:rFonts w:ascii="Times New Roman" w:hAnsi="Times New Roman"/>
          <w:color w:val="000000"/>
          <w:sz w:val="20"/>
        </w:rPr>
        <w:t xml:space="preserve"> </w:t>
      </w:r>
    </w:p>
    <w:p>
      <w:pPr>
        <w:pStyle w:val="TextBody"/>
        <w:bidi w:val="0"/>
        <w:jc w:val="left"/>
        <w:rPr/>
      </w:pPr>
      <w:r>
        <w:rPr/>
        <w:t> </w:t>
      </w:r>
    </w:p>
    <w:tbl>
      <w:tblPr>
        <w:tblW w:w="9197" w:type="dxa"/>
        <w:jc w:val="left"/>
        <w:tblInd w:w="0" w:type="dxa"/>
        <w:tblLayout w:type="fixed"/>
        <w:tblCellMar>
          <w:top w:w="28" w:type="dxa"/>
          <w:left w:w="28" w:type="dxa"/>
          <w:bottom w:w="28" w:type="dxa"/>
          <w:right w:w="28" w:type="dxa"/>
        </w:tblCellMar>
      </w:tblPr>
      <w:tblGrid>
        <w:gridCol w:w="2176"/>
        <w:gridCol w:w="7021"/>
      </w:tblGrid>
      <w:tr>
        <w:trPr/>
        <w:tc>
          <w:tcPr>
            <w:tcW w:w="217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217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Material Composition</w:t>
            </w:r>
          </w:p>
        </w:tc>
        <w:tc>
          <w:tcPr>
            <w:tcW w:w="70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Collagen derived from bovine dermis</w:t>
            </w:r>
          </w:p>
          <w:p>
            <w:pPr>
              <w:pStyle w:val="TableContents"/>
              <w:bidi w:val="0"/>
              <w:spacing w:before="0" w:after="283"/>
              <w:jc w:val="left"/>
              <w:rPr/>
            </w:pPr>
            <w:r>
              <w:rPr/>
              <w:t> </w:t>
            </w:r>
          </w:p>
        </w:tc>
      </w:tr>
      <w:tr>
        <w:trPr/>
        <w:tc>
          <w:tcPr>
            <w:tcW w:w="21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Sizes and shapes</w:t>
            </w:r>
          </w:p>
        </w:tc>
        <w:tc>
          <w:tcPr>
            <w:tcW w:w="702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Square and rectangular shapes</w:t>
            </w:r>
          </w:p>
          <w:p>
            <w:pPr>
              <w:pStyle w:val="TableContents"/>
              <w:bidi w:val="0"/>
              <w:jc w:val="left"/>
              <w:rPr>
                <w:rFonts w:ascii="Times New Roman" w:hAnsi="Times New Roman"/>
                <w:color w:val="000000"/>
                <w:sz w:val="24"/>
              </w:rPr>
            </w:pPr>
            <w:r>
              <w:rPr>
                <w:rFonts w:ascii="Times New Roman" w:hAnsi="Times New Roman"/>
                <w:color w:val="000000"/>
                <w:sz w:val="24"/>
              </w:rPr>
              <w:t>2cm x 2 cm</w:t>
            </w:r>
          </w:p>
          <w:p>
            <w:pPr>
              <w:pStyle w:val="TableContents"/>
              <w:bidi w:val="0"/>
              <w:jc w:val="left"/>
              <w:rPr>
                <w:rFonts w:ascii="Times New Roman" w:hAnsi="Times New Roman"/>
                <w:color w:val="000000"/>
                <w:sz w:val="24"/>
              </w:rPr>
            </w:pPr>
            <w:r>
              <w:rPr>
                <w:rFonts w:ascii="Times New Roman" w:hAnsi="Times New Roman"/>
                <w:color w:val="000000"/>
                <w:sz w:val="24"/>
              </w:rPr>
              <w:t>5cm x 5 cm</w:t>
            </w:r>
          </w:p>
          <w:p>
            <w:pPr>
              <w:pStyle w:val="TableContents"/>
              <w:bidi w:val="0"/>
              <w:jc w:val="left"/>
              <w:rPr>
                <w:rFonts w:ascii="Times New Roman" w:hAnsi="Times New Roman"/>
                <w:color w:val="000000"/>
                <w:sz w:val="24"/>
              </w:rPr>
            </w:pPr>
            <w:r>
              <w:rPr>
                <w:rFonts w:ascii="Times New Roman" w:hAnsi="Times New Roman"/>
                <w:color w:val="000000"/>
                <w:sz w:val="24"/>
              </w:rPr>
              <w:t>10cm x 10cm</w:t>
            </w:r>
          </w:p>
          <w:p>
            <w:pPr>
              <w:pStyle w:val="TableContents"/>
              <w:bidi w:val="0"/>
              <w:jc w:val="left"/>
              <w:rPr>
                <w:rFonts w:ascii="Times New Roman" w:hAnsi="Times New Roman"/>
                <w:color w:val="000000"/>
                <w:sz w:val="24"/>
              </w:rPr>
            </w:pPr>
            <w:r>
              <w:rPr>
                <w:rFonts w:ascii="Times New Roman" w:hAnsi="Times New Roman"/>
                <w:color w:val="000000"/>
                <w:sz w:val="24"/>
              </w:rPr>
              <w:t>10cm x 20cm</w:t>
            </w:r>
          </w:p>
          <w:p>
            <w:pPr>
              <w:pStyle w:val="TableContents"/>
              <w:bidi w:val="0"/>
              <w:jc w:val="left"/>
              <w:rPr>
                <w:rFonts w:ascii="Times New Roman" w:hAnsi="Times New Roman"/>
                <w:color w:val="000000"/>
                <w:sz w:val="24"/>
              </w:rPr>
            </w:pPr>
            <w:r>
              <w:rPr>
                <w:rFonts w:ascii="Times New Roman" w:hAnsi="Times New Roman"/>
                <w:color w:val="000000"/>
                <w:sz w:val="24"/>
              </w:rPr>
              <w:t>20cm x 35cm</w:t>
            </w:r>
          </w:p>
          <w:p>
            <w:pPr>
              <w:pStyle w:val="TableContents"/>
              <w:bidi w:val="0"/>
              <w:spacing w:before="0" w:after="283"/>
              <w:jc w:val="left"/>
              <w:rPr/>
            </w:pPr>
            <w:r>
              <w:rPr/>
              <w:t> </w:t>
            </w:r>
          </w:p>
        </w:tc>
      </w:tr>
      <w:tr>
        <w:trPr/>
        <w:tc>
          <w:tcPr>
            <w:tcW w:w="21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Packaging</w:t>
            </w:r>
          </w:p>
        </w:tc>
        <w:tc>
          <w:tcPr>
            <w:tcW w:w="702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Single blister tray with Tyvek lid or</w:t>
            </w:r>
          </w:p>
          <w:p>
            <w:pPr>
              <w:pStyle w:val="TableContents"/>
              <w:bidi w:val="0"/>
              <w:jc w:val="left"/>
              <w:rPr>
                <w:rFonts w:ascii="Times New Roman" w:hAnsi="Times New Roman"/>
                <w:color w:val="000000"/>
                <w:sz w:val="24"/>
              </w:rPr>
            </w:pPr>
            <w:r>
              <w:rPr>
                <w:rFonts w:ascii="Times New Roman" w:hAnsi="Times New Roman"/>
                <w:color w:val="000000"/>
                <w:sz w:val="24"/>
              </w:rPr>
              <w:t>Single Tyvek/film pouch</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Single unit to be labeled and packaged in a box with Instructions for Use</w:t>
            </w:r>
          </w:p>
          <w:p>
            <w:pPr>
              <w:pStyle w:val="TableContents"/>
              <w:bidi w:val="0"/>
              <w:spacing w:before="0" w:after="283"/>
              <w:jc w:val="left"/>
              <w:rPr/>
            </w:pPr>
            <w:r>
              <w:rPr/>
              <w:t> </w:t>
            </w:r>
          </w:p>
        </w:tc>
      </w:tr>
      <w:tr>
        <w:trPr/>
        <w:tc>
          <w:tcPr>
            <w:tcW w:w="21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Sterility</w:t>
            </w:r>
          </w:p>
        </w:tc>
        <w:tc>
          <w:tcPr>
            <w:tcW w:w="702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4"/>
              </w:rPr>
            </w:pPr>
            <w:r>
              <w:rPr>
                <w:rFonts w:ascii="Times New Roman" w:hAnsi="Times New Roman"/>
                <w:color w:val="000000"/>
                <w:sz w:val="24"/>
              </w:rPr>
              <w:t>Terminally sterilized, SAL 10</w:t>
            </w:r>
            <w:r>
              <w:rPr>
                <w:rFonts w:ascii="Times New Roman" w:hAnsi="Times New Roman"/>
                <w:color w:val="000000"/>
                <w:sz w:val="16"/>
              </w:rPr>
              <w:t>-6</w:t>
            </w:r>
            <w:r>
              <w:rPr>
                <w:rFonts w:ascii="Times New Roman" w:hAnsi="Times New Roman"/>
                <w:color w:val="000000"/>
                <w:sz w:val="24"/>
              </w:rPr>
              <w:t xml:space="preserve"> </w:t>
            </w:r>
          </w:p>
          <w:p>
            <w:pPr>
              <w:pStyle w:val="TableContents"/>
              <w:bidi w:val="0"/>
              <w:spacing w:before="0" w:after="283"/>
              <w:jc w:val="left"/>
              <w:rPr/>
            </w:pPr>
            <w:r>
              <w:rPr/>
              <w:t> </w:t>
            </w:r>
          </w:p>
        </w:tc>
      </w:tr>
      <w:tr>
        <w:trPr/>
        <w:tc>
          <w:tcPr>
            <w:tcW w:w="21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Non-pyrogenic</w:t>
            </w:r>
          </w:p>
        </w:tc>
        <w:tc>
          <w:tcPr>
            <w:tcW w:w="702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Non-pyrogenic</w:t>
            </w:r>
          </w:p>
          <w:p>
            <w:pPr>
              <w:pStyle w:val="TableContents"/>
              <w:bidi w:val="0"/>
              <w:spacing w:before="0" w:after="283"/>
              <w:jc w:val="left"/>
              <w:rPr/>
            </w:pPr>
            <w:r>
              <w:rPr/>
              <w:t> </w:t>
            </w:r>
          </w:p>
        </w:tc>
      </w:tr>
      <w:tr>
        <w:trPr/>
        <w:tc>
          <w:tcPr>
            <w:tcW w:w="21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*Maximum Shelf Life</w:t>
            </w:r>
          </w:p>
        </w:tc>
        <w:tc>
          <w:tcPr>
            <w:tcW w:w="7021"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3 years</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SCHEDULE E</w:t>
      </w:r>
    </w:p>
    <w:p>
      <w:pPr>
        <w:pStyle w:val="TextBody"/>
        <w:bidi w:val="0"/>
        <w:jc w:val="left"/>
        <w:rPr>
          <w:rFonts w:ascii="Times New Roman" w:hAnsi="Times New Roman"/>
          <w:sz w:val="20"/>
        </w:rPr>
      </w:pPr>
      <w:r>
        <w:rPr>
          <w:rFonts w:ascii="Arial" w:hAnsi="Arial"/>
          <w:color w:val="000000"/>
          <w:sz w:val="24"/>
        </w:rPr>
        <w:br/>
      </w:r>
      <w:r>
        <w:rPr>
          <w:rFonts w:ascii="Times New Roman" w:hAnsi="Times New Roman"/>
          <w:b/>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For successive periods subsequent to the Initial Term, Guaranteed Regenity Target Product Revenues shall be 105% of the previous year. For example, the Guaranteed Regenity Target Product Revenues for Year 6 of this agreement shall be 105% of the [******] shown above for Year 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26" w:name="rcel-ex10_2.htm"/>
      <w:bookmarkStart w:id="27" w:name="ksrcelex10_2"/>
      <w:bookmarkEnd w:id="26"/>
      <w:bookmarkEnd w:id="27"/>
      <w:r>
        <w:rPr>
          <w:rFonts w:ascii="Aptos;sans-serif" w:hAnsi="Aptos;sans-serif"/>
          <w:b/>
          <w:color w:val="000000"/>
          <w:sz w:val="22"/>
        </w:rPr>
        <w:t>Exhibit 10.2</w:t>
      </w:r>
      <w:r>
        <w:br w:type="page"/>
      </w:r>
    </w:p>
    <w:p>
      <w:pPr>
        <w:pStyle w:val="TextBody"/>
        <w:bidi w:val="0"/>
        <w:spacing w:before="80" w:after="283"/>
        <w:jc w:val="left"/>
        <w:rPr>
          <w:rFonts w:ascii="Calibri;sans-serif" w:hAnsi="Calibri;sans-serif"/>
          <w:b/>
          <w:color w:val="000000"/>
          <w:sz w:val="24"/>
        </w:rPr>
      </w:pPr>
      <w:r>
        <w:rPr>
          <w:rFonts w:ascii="Calibri;sans-serif" w:hAnsi="Calibri;sans-serif"/>
          <w:b/>
          <w:color w:val="000000"/>
          <w:sz w:val="24"/>
        </w:rPr>
        <w:t>CERTAIN IDENTIFIED INFORMATION HAS BEEN EXCLUDED FROM THE EXHIBIT BECAUSE IT BOTH (I) IS NOT MATERIAL AND (II) WOULD BE COMPETITIVELY HARMFUL IF PUBLICLY DISCLOSED</w:t>
      </w:r>
    </w:p>
    <w:p>
      <w:pPr>
        <w:pStyle w:val="TextBody"/>
        <w:bidi w:val="0"/>
        <w:spacing w:before="39" w:after="283"/>
        <w:jc w:val="center"/>
        <w:rPr/>
      </w:pPr>
      <w:r>
        <w:rPr/>
        <w:t> </w:t>
      </w:r>
    </w:p>
    <w:p>
      <w:pPr>
        <w:pStyle w:val="TextBody"/>
        <w:bidi w:val="0"/>
        <w:spacing w:before="39" w:after="283"/>
        <w:jc w:val="center"/>
        <w:rPr>
          <w:rFonts w:ascii="Times New Roman" w:hAnsi="Times New Roman"/>
          <w:b/>
          <w:color w:val="000000"/>
          <w:sz w:val="24"/>
        </w:rPr>
      </w:pPr>
      <w:r>
        <w:rPr>
          <w:rFonts w:ascii="Times New Roman" w:hAnsi="Times New Roman"/>
          <w:b/>
          <w:color w:val="000000"/>
          <w:sz w:val="24"/>
        </w:rPr>
        <w:t>EXECUTIVE EMPLOYMENT AGREEMENT</w:t>
      </w:r>
    </w:p>
    <w:p>
      <w:pPr>
        <w:pStyle w:val="TextBody"/>
        <w:bidi w:val="0"/>
        <w:spacing w:before="84"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EXECUTIVE EMPLOYMENT AGREEMENT (the “Agreement”) is made and entered into by and between AVITA Medical, Inc. and AVITA Medical Americas, LLC. (collectively, the “Company”) and Nicole Kelsey, an individual (the “Executive”) with reference to the following:</w:t>
      </w:r>
    </w:p>
    <w:p>
      <w:pPr>
        <w:pStyle w:val="TextBody"/>
        <w:bidi w:val="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84"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WHEREAS, the Company desires to employ Executive to serve as the Chief Legal and Compliance Officer and Corporate Secretary (CLO)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WHEREAS, the Executive is willing to serve in the role of Chief Legal and Compliance Officer and Corporate Secretary of the Company and provide services to the Company and its subsidiaries and affiliates under the terms and conditions stated herein,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WHEREAS, the Executive would serve as Chief Legal and Compliance Officer and Corporate Secretary of the Company, effective as of July 1, 2024 (the “Effective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covenants and promises contained herein, and intending to be legally bound, it is hereby agreed by and between the parties hereto as follows: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Employment and Duties</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240" w:after="283"/>
        <w:jc w:val="left"/>
        <w:rPr/>
      </w:pPr>
      <w:r>
        <w:rPr>
          <w:rFonts w:ascii="Times New Roman" w:hAnsi="Times New Roman"/>
          <w:color w:val="000000"/>
          <w:sz w:val="24"/>
          <w:u w:val="single"/>
        </w:rPr>
        <w:t>Employment</w:t>
      </w:r>
      <w:r>
        <w:rPr>
          <w:rFonts w:ascii="Times New Roman" w:hAnsi="Times New Roman"/>
          <w:color w:val="000000"/>
          <w:sz w:val="24"/>
        </w:rPr>
        <w:t>. The Company hereby employs the Executive as the CLO of the Company and the Executive hereby accepts such employment as of the Effective Date pursuant to the terms and conditions set forth herein. The Executive will perform policy- making functions in her role and will be deemed to be an officer under Section 16 of the Securities Exchange Act of 1934. The Executive shall report directly to the Chief Executive Officer (“CEO”).</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241" w:after="283"/>
        <w:jc w:val="left"/>
        <w:rPr/>
      </w:pPr>
      <w:r>
        <w:rPr>
          <w:rFonts w:ascii="Times New Roman" w:hAnsi="Times New Roman"/>
          <w:color w:val="000000"/>
          <w:sz w:val="24"/>
          <w:u w:val="single"/>
        </w:rPr>
        <w:t>Duties</w:t>
      </w:r>
      <w:r>
        <w:rPr>
          <w:rFonts w:ascii="Times New Roman" w:hAnsi="Times New Roman"/>
          <w:color w:val="000000"/>
          <w:sz w:val="24"/>
        </w:rPr>
        <w:t>. The Executive shall perform, to the best of her ability and in a manner satisfactory to the CEO, all such duties that are consistent with Executive’s title and position, and such other duties as may reasonably be assigned to her by the CEO. The Executive’s duties will be conducted principally from the Company’s North America office, currently located in Valencia, California, or at such other location as determined by the CEO (but subject to the terms of this Agreement), with travel to such other locations from time to time as reasonably required.</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241" w:after="283"/>
        <w:jc w:val="left"/>
        <w:rPr/>
      </w:pPr>
      <w:r>
        <w:rPr>
          <w:rFonts w:ascii="Times New Roman" w:hAnsi="Times New Roman"/>
          <w:color w:val="000000"/>
          <w:sz w:val="24"/>
          <w:u w:val="single"/>
        </w:rPr>
        <w:t>Time and Efforts</w:t>
      </w:r>
      <w:r>
        <w:rPr>
          <w:rFonts w:ascii="Times New Roman" w:hAnsi="Times New Roman"/>
          <w:color w:val="000000"/>
          <w:sz w:val="24"/>
        </w:rPr>
        <w:t>. The Executive shall devote her full business time and provide her best efforts, 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of Directors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left"/>
        <w:rPr>
          <w:rFonts w:ascii="Times New Roman" w:hAnsi="Times New Roman"/>
          <w:sz w:val="20"/>
        </w:rPr>
      </w:pPr>
      <w:r>
        <w:rPr>
          <w:rFonts w:ascii="Times New Roman" w:hAnsi="Times New Roman"/>
          <w:color w:val="000000"/>
          <w:sz w:val="24"/>
        </w:rPr>
        <w:t>Company, and its subsidiaries and affiliates hereunder and such service is disclosed in advance by Executive to the Board. Executive has disclosed that she is a board member of the following non-profit organizations and Company agrees for her continuance:</w:t>
      </w:r>
      <w:r>
        <w:rPr>
          <w:rFonts w:ascii="Times New Roman" w:hAnsi="Times New Roman"/>
          <w:color w:val="000000"/>
          <w:sz w:val="20"/>
        </w:rPr>
        <w:t xml:space="preserve"> </w:t>
      </w:r>
    </w:p>
    <w:p>
      <w:pPr>
        <w:pStyle w:val="TextBody"/>
        <w:bidi w:val="0"/>
        <w:spacing w:before="39"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Executive further acknowledges that she owes the Company both a fiduciary duty and a duty of loyalty while employed during the employment period to act at all times in the best interests of the Company, and its subsidiaries and affiliates.</w:t>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Compensation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As the total consideration for the Executive’s services rendered hereunder, Executive</w:t>
      </w:r>
    </w:p>
    <w:p>
      <w:pPr>
        <w:pStyle w:val="TextBody"/>
        <w:bidi w:val="0"/>
        <w:jc w:val="left"/>
        <w:rPr>
          <w:rFonts w:ascii="Times New Roman" w:hAnsi="Times New Roman"/>
          <w:color w:val="000000"/>
          <w:sz w:val="24"/>
        </w:rPr>
      </w:pPr>
      <w:r>
        <w:rPr>
          <w:rFonts w:ascii="Times New Roman" w:hAnsi="Times New Roman"/>
          <w:color w:val="000000"/>
          <w:sz w:val="24"/>
        </w:rPr>
        <w:t>shall be entitled to the following:</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240" w:after="283"/>
        <w:jc w:val="left"/>
        <w:rPr/>
      </w:pPr>
      <w:r>
        <w:rPr>
          <w:rFonts w:ascii="Times New Roman" w:hAnsi="Times New Roman"/>
          <w:color w:val="000000"/>
          <w:sz w:val="24"/>
          <w:u w:val="single"/>
        </w:rPr>
        <w:t>Base Salary</w:t>
      </w:r>
      <w:r>
        <w:rPr>
          <w:rFonts w:ascii="Times New Roman" w:hAnsi="Times New Roman"/>
          <w:color w:val="000000"/>
          <w:sz w:val="24"/>
        </w:rPr>
        <w:t>. The Executive shall be paid an annual base salary of Four Hundred Fifty Thousand Dollars ($450,000.00)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pStyle w:val="TextBody"/>
        <w:bidi w:val="0"/>
        <w:spacing w:before="241" w:after="283"/>
        <w:jc w:val="right"/>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241" w:after="283"/>
        <w:jc w:val="right"/>
        <w:rPr/>
      </w:pPr>
      <w:r>
        <w:rPr>
          <w:rFonts w:ascii="Times New Roman" w:hAnsi="Times New Roman"/>
          <w:color w:val="000000"/>
          <w:sz w:val="24"/>
          <w:u w:val="single"/>
        </w:rPr>
        <w:t>Bonus</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Annual Performance Bonus</w:t>
      </w:r>
      <w:r>
        <w:rPr>
          <w:rFonts w:ascii="Times New Roman" w:hAnsi="Times New Roman"/>
          <w:color w:val="000000"/>
          <w:sz w:val="24"/>
        </w:rPr>
        <w:t>. In addition to Base Salary, the Executive shall be eligible to receive an annual performance bonus (“Annual Bonus”) based upon the Company’s performance and Executive’s performance for the preceding year as measured against certain performance targets as mutually established by the parties to this Agreement as determined by the Board and CEO. The Annual Bonus, if earned, shall be paid on or around the March timeframe of the following year. The amount of the Annual Bonus shall be fifty percent (50%) of Executive’s Base Salary (“Target Bonus”). For 2024, Executive will be eligible to receive an Annual Bonus of up to fifty percent (50%) of the pro-rata share of the Base Salary (excluding any other bonus or compensation) Executive earned in 2024. Executive may be entitled to an additional amount of up to fifty percent (50%) of the Target Bonus based upon performance. For the Annual Bonus to be deemed earned, and in order to be eligible and entitled to receive any Annual Bonus payment, the Executive must be employed by, and not have given notice of resignation to the Company, or have been given notice of termination by the Company at the time the Annual Bonus is determined and paid to Executive.</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2.3</w:t>
      </w:r>
    </w:p>
    <w:p>
      <w:pPr>
        <w:pStyle w:val="TextBody"/>
        <w:bidi w:val="0"/>
        <w:spacing w:before="241" w:after="283"/>
        <w:jc w:val="left"/>
        <w:rPr/>
      </w:pPr>
      <w:r>
        <w:rPr>
          <w:rFonts w:ascii="Times New Roman" w:hAnsi="Times New Roman"/>
          <w:color w:val="000000"/>
          <w:sz w:val="24"/>
          <w:u w:val="single"/>
        </w:rPr>
        <w:t>Equity</w:t>
      </w:r>
      <w:r>
        <w:rPr>
          <w:rFonts w:ascii="Times New Roman" w:hAnsi="Times New Roman"/>
          <w:color w:val="000000"/>
          <w:sz w:val="24"/>
        </w:rPr>
        <w:t>. Subject to approval of the Company’s Board, Executive shall be eligible for 150,000 options which will vest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150,000 options will vest based on Executive’s continued employment with the Company at a rate of 50,000 per year for three (3) years, commencing with the first 50,000 option installment, which will vest upon the completion of Executive’s first year of service.</w:t>
      </w:r>
    </w:p>
    <w:p>
      <w:pPr>
        <w:pStyle w:val="TextBody"/>
        <w:bidi w:val="0"/>
        <w:spacing w:before="239" w:after="283"/>
        <w:jc w:val="left"/>
        <w:rPr>
          <w:rFonts w:ascii="Times New Roman" w:hAnsi="Times New Roman"/>
          <w:sz w:val="20"/>
        </w:rPr>
      </w:pPr>
      <w:r>
        <w:rPr>
          <w:rFonts w:ascii="Times New Roman" w:hAnsi="Times New Roman"/>
          <w:color w:val="000000"/>
          <w:sz w:val="24"/>
        </w:rPr>
        <w:t>Any such equity grants shall be subject to the terms of a Share Option Agreement and the governing equity plan which will be provided to the Executive within thirty (30) days of her Effective Date. In addition, Executive shall be eligible for the annual equity grants under the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Amendment to the 2020 Omnibus Incentive Plan. For avoidance of doubt, such option terms shall provide that Executive is entitled to immediate acceleration of Executive’s stock options so that 100% of any then unvested stock options shall immediately vest and become exercisable upon a Change in Control.</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2.4</w:t>
      </w:r>
    </w:p>
    <w:p>
      <w:pPr>
        <w:pStyle w:val="TextBody"/>
        <w:bidi w:val="0"/>
        <w:jc w:val="left"/>
        <w:rPr/>
      </w:pPr>
      <w:r>
        <w:rPr>
          <w:rFonts w:ascii="Times New Roman" w:hAnsi="Times New Roman"/>
          <w:color w:val="000000"/>
          <w:sz w:val="24"/>
          <w:u w:val="single"/>
        </w:rPr>
        <w:t>Relocation Expenses</w:t>
      </w:r>
      <w:r>
        <w:rPr>
          <w:rFonts w:ascii="Times New Roman" w:hAnsi="Times New Roman"/>
          <w:color w:val="000000"/>
          <w:sz w:val="24"/>
        </w:rPr>
        <w:t>. The company recognized that the Executive will need to relocate to the Southern California area. To offset some of these expenses the Company will provide a one time relocation bonus of [******] upon proof of moving.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bonus will be paid in one payment on AVITA Medical’s first normal pay period following the receipt of proof of move. You must be actively employed at the time of the Bonus payment to receive any such payment. You understand that the Bonus is paid at AVITA Medical’s discretion and is not tied to your job performance or any other metric. You understand and agree that if your employment with AVITA Medical ends before the 12-month anniversary of your first date of employment, you must re-pay the Bonus in its entirety to AVITA Medical within five business days of your last date of employment. You understand and agree that you are not entitled to any pro-rata share or credit of any portion of the Bonus for an incomplete year of service.</w:t>
      </w:r>
    </w:p>
    <w:p>
      <w:pPr>
        <w:pStyle w:val="TextBody"/>
        <w:bidi w:val="0"/>
        <w:jc w:val="righ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2.5</w:t>
      </w:r>
    </w:p>
    <w:p>
      <w:pPr>
        <w:pStyle w:val="TextBody"/>
        <w:bidi w:val="0"/>
        <w:spacing w:before="0" w:after="0"/>
        <w:jc w:val="left"/>
        <w:rPr/>
      </w:pPr>
      <w:r>
        <w:rPr>
          <w:rFonts w:ascii="Times New Roman" w:hAnsi="Times New Roman"/>
          <w:color w:val="000000"/>
          <w:sz w:val="24"/>
          <w:u w:val="single"/>
        </w:rPr>
        <w:t>Business Expenses</w:t>
      </w:r>
      <w:r>
        <w:rPr>
          <w:rFonts w:ascii="Times New Roman" w:hAnsi="Times New Roman"/>
          <w:color w:val="000000"/>
          <w:sz w:val="24"/>
        </w:rPr>
        <w:t>. During employment, the Executive is entitled to reimbursement for reasonable and necessary business expenses incurred by Executive in connection with the performance of Executive’s duties, subject to proper documentation and approval as required pursuant to the applicable Company expense reimbursement policies.</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2.6</w:t>
      </w:r>
    </w:p>
    <w:p>
      <w:pPr>
        <w:pStyle w:val="TextBody"/>
        <w:bidi w:val="0"/>
        <w:spacing w:before="240" w:after="283"/>
        <w:jc w:val="left"/>
        <w:rPr/>
      </w:pPr>
      <w:r>
        <w:rPr>
          <w:rFonts w:ascii="Times New Roman" w:hAnsi="Times New Roman"/>
          <w:color w:val="000000"/>
          <w:sz w:val="24"/>
          <w:u w:val="single"/>
        </w:rPr>
        <w:t>Fringe Benefits</w:t>
      </w:r>
      <w:r>
        <w:rPr>
          <w:rFonts w:ascii="Times New Roman" w:hAnsi="Times New Roman"/>
          <w:color w:val="000000"/>
          <w:sz w:val="24"/>
        </w:rPr>
        <w:t>. The Executive shall be entitled to fringe benefits in accordance with the plans, practices, programs and policies applicable to other peer executives of the Company.</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2.7</w:t>
      </w:r>
    </w:p>
    <w:p>
      <w:pPr>
        <w:pStyle w:val="TextBody"/>
        <w:bidi w:val="0"/>
        <w:spacing w:before="241" w:after="283"/>
        <w:jc w:val="left"/>
        <w:rPr/>
      </w:pPr>
      <w:r>
        <w:rPr>
          <w:rFonts w:ascii="Times New Roman" w:hAnsi="Times New Roman"/>
          <w:color w:val="000000"/>
          <w:sz w:val="24"/>
          <w:u w:val="single"/>
        </w:rPr>
        <w:t>Vacation</w:t>
      </w:r>
      <w:r>
        <w:rPr>
          <w:rFonts w:ascii="Times New Roman" w:hAnsi="Times New Roman"/>
          <w:color w:val="000000"/>
          <w:sz w:val="24"/>
        </w:rPr>
        <w:t>. The Executive shall be entitled each year to a vacation, during which time her 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2.8</w:t>
      </w:r>
    </w:p>
    <w:p>
      <w:pPr>
        <w:pStyle w:val="TextBody"/>
        <w:bidi w:val="0"/>
        <w:spacing w:before="240" w:after="283"/>
        <w:jc w:val="left"/>
        <w:rPr/>
      </w:pPr>
      <w:r>
        <w:rPr>
          <w:rFonts w:ascii="Times New Roman" w:hAnsi="Times New Roman"/>
          <w:color w:val="000000"/>
          <w:sz w:val="24"/>
          <w:u w:val="single"/>
        </w:rPr>
        <w:t>Health Insurance and Benefits</w:t>
      </w:r>
      <w:r>
        <w:rPr>
          <w:rFonts w:ascii="Times New Roman" w:hAnsi="Times New Roman"/>
          <w:color w:val="000000"/>
          <w:sz w:val="24"/>
        </w:rPr>
        <w:t>. The Executive shall be eligible to participate in the Company’s health, dental and vision plans, as well as the Company’s 401k program and non- qualified deferred compensation plan, pursuant to the terms of these plans and programs.</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Term and Termination of Employment</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3.1</w:t>
      </w:r>
    </w:p>
    <w:p>
      <w:pPr>
        <w:pStyle w:val="TextBody"/>
        <w:bidi w:val="0"/>
        <w:spacing w:before="240" w:after="283"/>
        <w:jc w:val="left"/>
        <w:rPr/>
      </w:pPr>
      <w:r>
        <w:rPr>
          <w:rFonts w:ascii="Times New Roman" w:hAnsi="Times New Roman"/>
          <w:color w:val="000000"/>
          <w:sz w:val="24"/>
          <w:u w:val="single"/>
        </w:rPr>
        <w:t>At-Will Employment</w:t>
      </w:r>
      <w:r>
        <w:rPr>
          <w:rFonts w:ascii="Times New Roman" w:hAnsi="Times New Roman"/>
          <w:color w:val="000000"/>
          <w:sz w:val="24"/>
        </w:rPr>
        <w:t>. The Company and the Executive hereby agree that the Executive’s 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3.2</w:t>
      </w:r>
    </w:p>
    <w:p>
      <w:pPr>
        <w:pStyle w:val="TextBody"/>
        <w:bidi w:val="0"/>
        <w:spacing w:before="240" w:after="283"/>
        <w:jc w:val="left"/>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b/>
          <w:color w:val="000000"/>
          <w:sz w:val="24"/>
        </w:rPr>
        <w:t>Cause</w:t>
      </w:r>
      <w:r>
        <w:rPr>
          <w:rFonts w:ascii="Times New Roman" w:hAnsi="Times New Roman"/>
          <w:color w:val="000000"/>
          <w:sz w:val="24"/>
        </w:rPr>
        <w:t>. For purposes of this Agreement, “Cause” shall mean the occurrence of one or more of the following: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pPr>
      <w:r>
        <w:rPr>
          <w:rFonts w:ascii="Times New Roman" w:hAnsi="Times New Roman"/>
          <w:b/>
          <w:color w:val="000000"/>
          <w:sz w:val="24"/>
        </w:rPr>
        <w:t>Good Reason</w:t>
      </w:r>
      <w:r>
        <w:rPr>
          <w:rFonts w:ascii="Times New Roman" w:hAnsi="Times New Roman"/>
          <w:color w:val="000000"/>
          <w:sz w:val="24"/>
        </w:rPr>
        <w:t>. For purposes of this Agreement, “Good Reason” shall mean: (i) a material diminution in Executive’s authority, duties, or responsibilities in effect at</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or (v) the occurrence of a Change in Control of the Company as defined in Section 3.2(c) below,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and such notice shall be given within thirty (30) days of the occurrence of such event or conduct.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b/>
          <w:color w:val="000000"/>
          <w:sz w:val="24"/>
        </w:rPr>
        <w:t>Change in Control</w:t>
      </w:r>
      <w:r>
        <w:rPr>
          <w:rFonts w:ascii="Times New Roman" w:hAnsi="Times New Roman"/>
          <w:color w:val="000000"/>
          <w:sz w:val="24"/>
        </w:rPr>
        <w:t>. For purposes of this Agreement, “Change in Control” shall mean any of the following 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 one or more related transactions such as a buy out or exit of the Company (but excluding any change in stock listing).</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3.3</w:t>
      </w:r>
    </w:p>
    <w:p>
      <w:pPr>
        <w:pStyle w:val="TextBody"/>
        <w:bidi w:val="0"/>
        <w:spacing w:before="241" w:after="283"/>
        <w:jc w:val="left"/>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b/>
          <w:color w:val="000000"/>
          <w:sz w:val="24"/>
        </w:rPr>
        <w:t>Termination for Cause or Resignation without Good Reason</w:t>
      </w:r>
      <w:r>
        <w:rPr>
          <w:rFonts w:ascii="Times New Roman" w:hAnsi="Times New Roman"/>
          <w:color w:val="000000"/>
          <w:sz w:val="24"/>
        </w:rPr>
        <w:t>. In the event that the Company terminates the Executive’s employment for Cause or the Executive resigns her employment without Good Reason, this Agreement will terminate without further obligations to Executive other than the following: Executive shall be entitled to receive her unpaid base salary earned through her last day of employment, accrued but unused vacation pay, and vested benefits through and including Executive’s last day of employment.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pPr>
      <w:r>
        <w:rPr>
          <w:rFonts w:ascii="Times New Roman" w:hAnsi="Times New Roman"/>
          <w:b/>
          <w:color w:val="000000"/>
          <w:sz w:val="24"/>
        </w:rPr>
        <w:t>Involuntary Termination Without Cause or Resignation With Good Reason</w:t>
      </w:r>
      <w:r>
        <w:rPr>
          <w:rFonts w:ascii="Times New Roman" w:hAnsi="Times New Roman"/>
          <w:color w:val="000000"/>
          <w:sz w:val="24"/>
        </w:rPr>
        <w:t>. In the event of either an involuntary termination of the Executive’s employment Without Cause or a voluntary resignation by the Executive for Good Reason, in exchange for the Executive signing a separation and release of all claims agreement in a form acceptable to the Company, the Company shall provide the Executive with the following severance benefits in accordance with the timing set forth in Section 3.3(b)(v) below: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240" w:after="283"/>
        <w:jc w:val="left"/>
        <w:rPr/>
      </w:pPr>
      <w:r>
        <w:rPr>
          <w:rFonts w:ascii="Times New Roman" w:hAnsi="Times New Roman"/>
          <w:color w:val="000000"/>
          <w:sz w:val="24"/>
          <w:u w:val="single"/>
        </w:rPr>
        <w:t>Base Salary</w:t>
      </w:r>
      <w:r>
        <w:rPr>
          <w:rFonts w:ascii="Times New Roman" w:hAnsi="Times New Roman"/>
          <w:color w:val="000000"/>
          <w:sz w:val="24"/>
        </w:rPr>
        <w:t>: The Company shall pay the Executive the equivalent of twelve (12) months of the Executive’s annual base salary in effect at the time of the termination Without Cause or resignation with Good Reason in one lump sum payment, less standard deductions and withholdings.</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241" w:after="283"/>
        <w:jc w:val="left"/>
        <w:rPr/>
      </w:pPr>
      <w:r>
        <w:rPr>
          <w:rFonts w:ascii="Times New Roman" w:hAnsi="Times New Roman"/>
          <w:color w:val="000000"/>
          <w:sz w:val="24"/>
          <w:u w:val="single"/>
        </w:rPr>
        <w:t>Benefits Coverage</w:t>
      </w:r>
      <w:r>
        <w:rPr>
          <w:rFonts w:ascii="Times New Roman" w:hAnsi="Times New Roman"/>
          <w:color w:val="000000"/>
          <w:sz w:val="24"/>
        </w:rPr>
        <w:t>. The Company shall continue to provide group health, vision, and dental plan benefits to the Executive for a period of twelve (12) months from and after the date of termination, with the cost of all regular premiums for such benefits paid by the Company (or its successor). The Executive will pay</w:t>
      </w:r>
    </w:p>
    <w:p>
      <w:pPr>
        <w:pStyle w:val="TextBody"/>
        <w:bidi w:val="0"/>
        <w:spacing w:before="39" w:after="283"/>
        <w:jc w:val="left"/>
        <w:rPr>
          <w:rFonts w:ascii="Times New Roman" w:hAnsi="Times New Roman"/>
          <w:color w:val="000000"/>
          <w:sz w:val="24"/>
        </w:rPr>
      </w:pPr>
      <w:r>
        <w:rPr>
          <w:rFonts w:ascii="Times New Roman" w:hAnsi="Times New Roman"/>
          <w:color w:val="000000"/>
          <w:sz w:val="24"/>
        </w:rPr>
        <w:t>the monthly cost of the premium and submit to the Company (or its successor) for reimbursement of such monthly expense.</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240" w:after="283"/>
        <w:jc w:val="left"/>
        <w:rPr/>
      </w:pPr>
      <w:r>
        <w:rPr>
          <w:rFonts w:ascii="Times New Roman" w:hAnsi="Times New Roman"/>
          <w:color w:val="000000"/>
          <w:sz w:val="24"/>
          <w:u w:val="single"/>
        </w:rPr>
        <w:t>Equity</w:t>
      </w:r>
      <w:r>
        <w:rPr>
          <w:rFonts w:ascii="Times New Roman" w:hAnsi="Times New Roman"/>
          <w:color w:val="000000"/>
          <w:sz w:val="24"/>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three (3) months.</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(iv)</w:t>
      </w:r>
    </w:p>
    <w:p>
      <w:pPr>
        <w:pStyle w:val="TextBody"/>
        <w:bidi w:val="0"/>
        <w:spacing w:before="240" w:after="283"/>
        <w:jc w:val="left"/>
        <w:rPr/>
      </w:pPr>
      <w:r>
        <w:rPr>
          <w:rFonts w:ascii="Times New Roman" w:hAnsi="Times New Roman"/>
          <w:color w:val="000000"/>
          <w:sz w:val="24"/>
          <w:u w:val="single"/>
        </w:rPr>
        <w:t>Timing of Payments</w:t>
      </w:r>
      <w:r>
        <w:rPr>
          <w:rFonts w:ascii="Times New Roman" w:hAnsi="Times New Roman"/>
          <w:color w:val="000000"/>
          <w:sz w:val="24"/>
        </w:rPr>
        <w:t>. The severance benefits in the above subsection 3.3(b)(i) shall be paid to Executive no later than fifteen</w:t>
      </w:r>
    </w:p>
    <w:p>
      <w:pPr>
        <w:pStyle w:val="TextBody"/>
        <w:bidi w:val="0"/>
        <w:jc w:val="left"/>
        <w:rPr>
          <w:rFonts w:ascii="Times New Roman" w:hAnsi="Times New Roman"/>
          <w:color w:val="000000"/>
          <w:sz w:val="24"/>
        </w:rPr>
      </w:pPr>
      <w:r>
        <w:rPr>
          <w:rFonts w:ascii="Times New Roman" w:hAnsi="Times New Roman"/>
          <w:color w:val="000000"/>
          <w:sz w:val="24"/>
        </w:rPr>
        <w:t>(15) days from the date the Executive signs the severance and release agreement and the revocation period, if any, has expired.</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Proprietary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pStyle w:val="TextBody"/>
        <w:bidi w:val="0"/>
        <w:spacing w:before="1" w:after="283"/>
        <w:jc w:val="left"/>
        <w:rPr>
          <w:rFonts w:ascii="Times New Roman" w:hAnsi="Times New Roman"/>
          <w:color w:val="000000"/>
          <w:sz w:val="24"/>
          <w:u w:val="single"/>
        </w:rPr>
      </w:pPr>
      <w:r>
        <w:rPr>
          <w:rFonts w:ascii="Times New Roman" w:hAnsi="Times New Roman"/>
          <w:color w:val="000000"/>
          <w:sz w:val="24"/>
          <w:u w:val="single"/>
        </w:rPr>
        <w:t>4.1</w:t>
      </w:r>
    </w:p>
    <w:p>
      <w:pPr>
        <w:pStyle w:val="TextBody"/>
        <w:bidi w:val="0"/>
        <w:spacing w:before="1" w:after="283"/>
        <w:jc w:val="left"/>
        <w:rPr/>
      </w:pPr>
      <w:r>
        <w:rPr>
          <w:rFonts w:ascii="Times New Roman" w:hAnsi="Times New Roman"/>
          <w:color w:val="000000"/>
          <w:sz w:val="24"/>
          <w:u w:val="single"/>
        </w:rPr>
        <w:t>Confidential Information</w:t>
      </w:r>
      <w:r>
        <w:rPr>
          <w:rFonts w:ascii="Times New Roman" w:hAnsi="Times New Roman"/>
          <w:color w:val="000000"/>
          <w:sz w:val="24"/>
        </w:rPr>
        <w:t xml:space="preserve">. Both during the term of the Executive’s employment under this Agreement and indefinitely after the Executive is no longer employed as </w:t>
      </w:r>
      <w:r>
        <w:rPr>
          <w:rFonts w:ascii="Times New Roman" w:hAnsi="Times New Roman"/>
          <w:color w:val="000000"/>
          <w:sz w:val="22"/>
        </w:rPr>
        <w:t xml:space="preserve">CLO </w:t>
      </w:r>
      <w:r>
        <w:rPr>
          <w:rFonts w:ascii="Times New Roman" w:hAnsi="Times New Roman"/>
          <w:color w:val="000000"/>
          <w:sz w:val="24"/>
        </w:rPr>
        <w:t xml:space="preserve">of the Company, the Executive shall not, directly or indirectly, (i) knowingly use for an improper personal benefit any “Confidential Information” that was acquired by, learned by or disclosed to Executive by reason of the Executive’s employment as </w:t>
      </w:r>
      <w:r>
        <w:rPr>
          <w:rFonts w:ascii="Times New Roman" w:hAnsi="Times New Roman"/>
          <w:color w:val="000000"/>
          <w:sz w:val="22"/>
        </w:rPr>
        <w:t xml:space="preserve">CLO </w:t>
      </w:r>
      <w:r>
        <w:rPr>
          <w:rFonts w:ascii="Times New Roman" w:hAnsi="Times New Roman"/>
          <w:color w:val="000000"/>
          <w:sz w:val="24"/>
        </w:rPr>
        <w:t xml:space="preserve">of the Company (before or after the date of this Agreement), or (ii) disclose any such Confidential Information to any person, business or entity, except in the proper course of the Executive’s duties as </w:t>
      </w:r>
      <w:r>
        <w:rPr>
          <w:rFonts w:ascii="Times New Roman" w:hAnsi="Times New Roman"/>
          <w:color w:val="000000"/>
          <w:sz w:val="22"/>
        </w:rPr>
        <w:t>CLO</w:t>
      </w:r>
      <w:r>
        <w:rPr>
          <w:rFonts w:ascii="Times New Roman" w:hAnsi="Times New Roman"/>
          <w:color w:val="000000"/>
          <w:sz w:val="24"/>
        </w:rPr>
        <w:t xml:space="preserve">,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 developmental, operating, performance, know-how, and process information, drawings and designs, customer information (including contact information, pricing and buying trends and needs), employee information (including the skills, abilities and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pPr>
      <w:r>
        <w:rPr>
          <w:rFonts w:ascii="Times New Roman" w:hAnsi="Times New Roman"/>
          <w:color w:val="000000"/>
          <w:sz w:val="24"/>
        </w:rPr>
        <w:t xml:space="preserve">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w:t>
      </w:r>
      <w:r>
        <w:rPr>
          <w:rFonts w:ascii="Times New Roman" w:hAnsi="Times New Roman"/>
          <w:color w:val="000000"/>
          <w:sz w:val="22"/>
        </w:rPr>
        <w:t xml:space="preserve">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 </w:t>
      </w:r>
      <w:r>
        <w:rPr>
          <w:rFonts w:ascii="Times New Roman" w:hAnsi="Times New Roman"/>
          <w:b/>
          <w:i/>
          <w:color w:val="323232"/>
          <w:sz w:val="22"/>
        </w:rPr>
        <w:t>Defend Trade Secrets Act Notice</w:t>
      </w:r>
      <w:r>
        <w:rPr>
          <w:rFonts w:ascii="Times New Roman" w:hAnsi="Times New Roman"/>
          <w:color w:val="323232"/>
          <w:sz w:val="22"/>
        </w:rPr>
        <w:t>. Executive is hereby notified in accordance with the Defend Trade Secrets Act of 2016 that she will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(i) files any document containing the trade secret under seal; and (ii) does not disclose the trade secret, except pursuant to court order.</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4.2</w:t>
      </w:r>
    </w:p>
    <w:p>
      <w:pPr>
        <w:pStyle w:val="TextBody"/>
        <w:bidi w:val="0"/>
        <w:spacing w:before="241" w:after="283"/>
        <w:jc w:val="left"/>
        <w:rPr/>
      </w:pPr>
      <w:r>
        <w:rPr>
          <w:rFonts w:ascii="Times New Roman" w:hAnsi="Times New Roman"/>
          <w:color w:val="000000"/>
          <w:sz w:val="24"/>
          <w:u w:val="single"/>
        </w:rPr>
        <w:t>Duty of Loyalty and Non-Competition</w:t>
      </w:r>
      <w:r>
        <w:rPr>
          <w:rFonts w:ascii="Times New Roman" w:hAnsi="Times New Roman"/>
          <w:color w:val="000000"/>
          <w:sz w:val="24"/>
        </w:rPr>
        <w:t xml:space="preserve">.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w:t>
      </w:r>
      <w:r>
        <w:rPr>
          <w:rFonts w:ascii="Times New Roman" w:hAnsi="Times New Roman"/>
          <w:color w:val="000000"/>
          <w:sz w:val="22"/>
        </w:rPr>
        <w:t xml:space="preserve">CLO </w:t>
      </w:r>
      <w:r>
        <w:rPr>
          <w:rFonts w:ascii="Times New Roman" w:hAnsi="Times New Roman"/>
          <w:color w:val="000000"/>
          <w:sz w:val="24"/>
        </w:rPr>
        <w:t>of the Company for any reason, Executive shall not, either directly or indirectly, engage in any unlawful competitive activities or use confidential trade secret information for any purpose.</w:t>
      </w:r>
    </w:p>
    <w:p>
      <w:pPr>
        <w:pStyle w:val="TextBody"/>
        <w:bidi w:val="0"/>
        <w:spacing w:before="39" w:after="283"/>
        <w:jc w:val="left"/>
        <w:rPr>
          <w:rFonts w:ascii="Times New Roman" w:hAnsi="Times New Roman"/>
          <w:color w:val="000000"/>
          <w:sz w:val="24"/>
          <w:u w:val="single"/>
        </w:rPr>
      </w:pPr>
      <w:r>
        <w:rPr>
          <w:rFonts w:ascii="Times New Roman" w:hAnsi="Times New Roman"/>
          <w:color w:val="000000"/>
          <w:sz w:val="24"/>
          <w:u w:val="single"/>
        </w:rPr>
        <w:t>4.3</w:t>
      </w:r>
    </w:p>
    <w:p>
      <w:pPr>
        <w:pStyle w:val="TextBody"/>
        <w:bidi w:val="0"/>
        <w:spacing w:before="39" w:after="283"/>
        <w:jc w:val="left"/>
        <w:rPr/>
      </w:pPr>
      <w:r>
        <w:rPr>
          <w:rFonts w:ascii="Times New Roman" w:hAnsi="Times New Roman"/>
          <w:color w:val="000000"/>
          <w:sz w:val="24"/>
          <w:u w:val="single"/>
        </w:rPr>
        <w:t>Non-Solicitation</w:t>
      </w:r>
      <w:r>
        <w:rPr>
          <w:rFonts w:ascii="Times New Roman" w:hAnsi="Times New Roman"/>
          <w:color w:val="000000"/>
          <w:sz w:val="24"/>
        </w:rPr>
        <w:t>. For a period beginning on the Effective Date and ending two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years after the date on which the Executive is no longer employed CLO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 (6)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4.4</w:t>
      </w:r>
    </w:p>
    <w:p>
      <w:pPr>
        <w:pStyle w:val="TextBody"/>
        <w:bidi w:val="0"/>
        <w:spacing w:before="241" w:after="283"/>
        <w:jc w:val="left"/>
        <w:rPr/>
      </w:pPr>
      <w:r>
        <w:rPr>
          <w:rFonts w:ascii="Times New Roman" w:hAnsi="Times New Roman"/>
          <w:color w:val="000000"/>
          <w:sz w:val="24"/>
          <w:u w:val="single"/>
        </w:rPr>
        <w:t>Non-disparagement</w:t>
      </w:r>
      <w:r>
        <w:rPr>
          <w:rFonts w:ascii="Times New Roman" w:hAnsi="Times New Roman"/>
          <w:color w:val="000000"/>
          <w:sz w:val="24"/>
        </w:rPr>
        <w:t xml:space="preserve">. The Executive agrees (whether during or after Executive’s employment as </w:t>
      </w:r>
      <w:r>
        <w:rPr>
          <w:rFonts w:ascii="Times New Roman" w:hAnsi="Times New Roman"/>
          <w:color w:val="000000"/>
          <w:sz w:val="22"/>
        </w:rPr>
        <w:t xml:space="preserve">CLO </w:t>
      </w:r>
      <w:r>
        <w:rPr>
          <w:rFonts w:ascii="Times New Roman" w:hAnsi="Times New Roman"/>
          <w:color w:val="000000"/>
          <w:sz w:val="24"/>
        </w:rPr>
        <w:t>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4.5</w:t>
      </w:r>
    </w:p>
    <w:p>
      <w:pPr>
        <w:pStyle w:val="TextBody"/>
        <w:bidi w:val="0"/>
        <w:spacing w:before="241" w:after="283"/>
        <w:jc w:val="left"/>
        <w:rPr/>
      </w:pPr>
      <w:r>
        <w:rPr>
          <w:rFonts w:ascii="Times New Roman" w:hAnsi="Times New Roman"/>
          <w:color w:val="000000"/>
          <w:sz w:val="24"/>
          <w:u w:val="single"/>
        </w:rPr>
        <w:t>Return of Property</w:t>
      </w:r>
      <w:r>
        <w:rPr>
          <w:rFonts w:ascii="Times New Roman" w:hAnsi="Times New Roman"/>
          <w:color w:val="000000"/>
          <w:sz w:val="24"/>
        </w:rPr>
        <w:t xml:space="preserve">. Upon termination of her employment as </w:t>
      </w:r>
      <w:r>
        <w:rPr>
          <w:rFonts w:ascii="Times New Roman" w:hAnsi="Times New Roman"/>
          <w:color w:val="000000"/>
          <w:sz w:val="22"/>
        </w:rPr>
        <w:t>CLO</w:t>
      </w:r>
      <w:r>
        <w:rPr>
          <w:color w:val="000000"/>
        </w:rPr>
        <w:t xml:space="preserve"> </w:t>
      </w:r>
      <w:r>
        <w:rPr>
          <w:rFonts w:ascii="Times New Roman" w:hAnsi="Times New Roman"/>
          <w:color w:val="000000"/>
          <w:sz w:val="24"/>
        </w:rPr>
        <w:t>of the 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4.6</w:t>
      </w:r>
    </w:p>
    <w:p>
      <w:pPr>
        <w:pStyle w:val="TextBody"/>
        <w:bidi w:val="0"/>
        <w:spacing w:before="241" w:after="283"/>
        <w:jc w:val="left"/>
        <w:rPr/>
      </w:pPr>
      <w:r>
        <w:rPr>
          <w:rFonts w:ascii="Times New Roman" w:hAnsi="Times New Roman"/>
          <w:color w:val="000000"/>
          <w:sz w:val="24"/>
          <w:u w:val="single"/>
        </w:rPr>
        <w:t>Remedies</w:t>
      </w:r>
      <w:r>
        <w:rPr>
          <w:rFonts w:ascii="Times New Roman" w:hAnsi="Times New Roman"/>
          <w:color w:val="000000"/>
          <w:sz w:val="24"/>
        </w:rPr>
        <w:t>. The Executive acknowledges that (i) the Executive has had an opportunity to seek the 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threatens to breach any of these provisions, the Company shall be entitled, in addition to all other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left"/>
        <w:rPr>
          <w:rFonts w:ascii="Times New Roman" w:hAnsi="Times New Roman"/>
          <w:color w:val="000000"/>
          <w:sz w:val="24"/>
        </w:rPr>
      </w:pPr>
      <w:r>
        <w:rPr>
          <w:rFonts w:ascii="Times New Roman" w:hAnsi="Times New Roman"/>
          <w:color w:val="000000"/>
          <w:sz w:val="24"/>
        </w:rPr>
        <w:t>remedies, to seek an injunction restraining any such breach, without any bond or other security being required and without the necessity of showing actual damages.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Assignment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Severability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7.</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Binding Arbitration</w:t>
      </w:r>
    </w:p>
    <w:p>
      <w:pPr>
        <w:pStyle w:val="TextBody"/>
        <w:bidi w:val="0"/>
        <w:spacing w:before="240" w:after="283"/>
        <w:jc w:val="left"/>
        <w:rPr>
          <w:rFonts w:ascii="Times New Roman" w:hAnsi="Times New Roman"/>
          <w:sz w:val="20"/>
        </w:rPr>
      </w:pPr>
      <w:r>
        <w:rPr>
          <w:rFonts w:ascii="Times New Roman" w:hAnsi="Times New Roman"/>
          <w:color w:val="000000"/>
          <w:sz w:val="24"/>
        </w:rPr>
        <w:t>Any and all disputes which involve or relate in any way to this Agreement and/or to Executive’s employment or termination of employment as CLO of the Company, whether initiated by Executive or by the Company and whether based on contract, tort, statute, or common law, shall be submitted to and resolved by final, binding and confidential arbitration as the exclusive method for resolving all such disputes. The arbitration shall be private and confidential and conducted in Los Angeles, California pursuant to the Federal Arbitration Act and applicable California law, and pursuant to the applicable rules of the Judicial Arbitration and Mediation Services (“JAMS”) relating to employment disputes, unless the parties otherwise mutually agree to modify the JAMS Rules. A copy of the AAA Employment Rules are available for review at https://www.jamsadr.com/rules-employment-arbitration</w:t>
      </w:r>
      <w:r>
        <w:rPr>
          <w:rFonts w:ascii="Times New Roman" w:hAnsi="Times New Roman"/>
          <w:color w:val="0000FF"/>
          <w:sz w:val="20"/>
        </w:rPr>
        <w:t xml:space="preserve"> </w:t>
      </w:r>
      <w:r>
        <w:rPr>
          <w:rFonts w:ascii="Times New Roman" w:hAnsi="Times New Roman"/>
          <w:color w:val="000000"/>
          <w:sz w:val="24"/>
        </w:rPr>
        <w:t>and are incorporated herein by reference.</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Federal Arbitration Act relating to the arbitration of disputes, except as expressly limited or otherwise provided in this Agreement. The parties shall have the right to reasonable discovery.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Arbitrator may award, if properly proven, any damages or remedy that a party could recover in a civil litigation and shall award costs and reasonable attorneys’ fees to the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left"/>
        <w:rPr>
          <w:rFonts w:ascii="Times New Roman" w:hAnsi="Times New Roman"/>
          <w:color w:val="000000"/>
          <w:sz w:val="24"/>
        </w:rPr>
      </w:pPr>
      <w:r>
        <w:rPr>
          <w:rFonts w:ascii="Times New Roman" w:hAnsi="Times New Roman"/>
          <w:color w:val="000000"/>
          <w:sz w:val="24"/>
        </w:rPr>
        <w:t>prevailing party as provided by law. The award of the Arbitrator shall be issued in writing, setting forth the basis for the decision, and shall be binding on the parties to the fullest extent permitted by law, subject to any limited statutory right to appeal as provided by law.</w:t>
      </w:r>
    </w:p>
    <w:p>
      <w:pPr>
        <w:pStyle w:val="TextBody"/>
        <w:bidi w:val="0"/>
        <w:jc w:val="left"/>
        <w:rPr>
          <w:rFonts w:ascii="Times New Roman" w:hAnsi="Times New Roman"/>
          <w:color w:val="000000"/>
          <w:sz w:val="24"/>
        </w:rPr>
      </w:pPr>
      <w:r>
        <w:rPr>
          <w:rFonts w:ascii="Times New Roman" w:hAnsi="Times New Roman"/>
          <w:color w:val="000000"/>
          <w:sz w:val="24"/>
        </w:rPr>
        <w:t>Judgment upon the award of the Arbitrator may be entered in any state or federal court sitting in Los Angeles, California.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Governing Law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Notice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left"/>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AVITA Medical Americas, LLC Attn: General Counsel</w:t>
      </w:r>
    </w:p>
    <w:p>
      <w:pPr>
        <w:pStyle w:val="TextBody"/>
        <w:bidi w:val="0"/>
        <w:jc w:val="left"/>
        <w:rPr>
          <w:rFonts w:ascii="Times New Roman" w:hAnsi="Times New Roman"/>
          <w:color w:val="000000"/>
          <w:sz w:val="24"/>
        </w:rPr>
      </w:pPr>
      <w:r>
        <w:rPr>
          <w:rFonts w:ascii="Times New Roman" w:hAnsi="Times New Roman"/>
          <w:color w:val="000000"/>
          <w:sz w:val="24"/>
        </w:rPr>
        <w:t>28159 Avenue Stanford</w:t>
      </w:r>
    </w:p>
    <w:p>
      <w:pPr>
        <w:pStyle w:val="TextBody"/>
        <w:bidi w:val="0"/>
        <w:jc w:val="left"/>
        <w:rPr>
          <w:rFonts w:ascii="Times New Roman" w:hAnsi="Times New Roman"/>
          <w:color w:val="000000"/>
          <w:sz w:val="24"/>
        </w:rPr>
      </w:pPr>
      <w:r>
        <w:rPr>
          <w:rFonts w:ascii="Times New Roman" w:hAnsi="Times New Roman"/>
          <w:color w:val="000000"/>
          <w:sz w:val="24"/>
        </w:rPr>
        <w:t>Suite 220</w:t>
      </w:r>
    </w:p>
    <w:p>
      <w:pPr>
        <w:pStyle w:val="TextBody"/>
        <w:bidi w:val="0"/>
        <w:jc w:val="left"/>
        <w:rPr>
          <w:rFonts w:ascii="Times New Roman" w:hAnsi="Times New Roman"/>
          <w:color w:val="000000"/>
          <w:sz w:val="24"/>
        </w:rPr>
      </w:pPr>
      <w:r>
        <w:rPr>
          <w:rFonts w:ascii="Times New Roman" w:hAnsi="Times New Roman"/>
          <w:color w:val="000000"/>
          <w:sz w:val="24"/>
        </w:rPr>
        <w:t>Valencia, CA 91355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to Executive:</w:t>
      </w:r>
    </w:p>
    <w:p>
      <w:pPr>
        <w:pStyle w:val="TextBody"/>
        <w:bidi w:val="0"/>
        <w:jc w:val="left"/>
        <w:rPr>
          <w:rFonts w:ascii="Times New Roman" w:hAnsi="Times New Roman"/>
          <w:color w:val="000000"/>
          <w:sz w:val="24"/>
        </w:rPr>
      </w:pPr>
      <w:r>
        <w:rPr>
          <w:rFonts w:ascii="Times New Roman" w:hAnsi="Times New Roman"/>
          <w:color w:val="000000"/>
          <w:sz w:val="24"/>
        </w:rPr>
        <w:t>Niclole Kelsey</w:t>
      </w:r>
    </w:p>
    <w:p>
      <w:pPr>
        <w:pStyle w:val="TextBody"/>
        <w:bidi w:val="0"/>
        <w:jc w:val="left"/>
        <w:rPr>
          <w:rFonts w:ascii="Times New Roman" w:hAnsi="Times New Roman"/>
          <w:color w:val="000000"/>
          <w:sz w:val="24"/>
        </w:rPr>
      </w:pPr>
      <w:r>
        <w:rPr>
          <w:rFonts w:ascii="Times New Roman" w:hAnsi="Times New Roman"/>
          <w:color w:val="000000"/>
          <w:sz w:val="24"/>
        </w:rPr>
        <w:t>At current home address on file with the Company</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Miscellaneous</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10.1</w:t>
      </w:r>
    </w:p>
    <w:p>
      <w:pPr>
        <w:pStyle w:val="TextBody"/>
        <w:bidi w:val="0"/>
        <w:spacing w:before="241" w:after="283"/>
        <w:jc w:val="left"/>
        <w:rPr/>
      </w:pPr>
      <w:r>
        <w:rPr>
          <w:rFonts w:ascii="Times New Roman" w:hAnsi="Times New Roman"/>
          <w:color w:val="000000"/>
          <w:sz w:val="24"/>
          <w:u w:val="single"/>
        </w:rPr>
        <w:t>Binding Agreement</w:t>
      </w:r>
      <w:r>
        <w:rPr>
          <w:rFonts w:ascii="Times New Roman" w:hAnsi="Times New Roman"/>
          <w:color w:val="000000"/>
          <w:sz w:val="24"/>
        </w:rPr>
        <w:t>. This Agreement shall inure to the benefit of and shall be binding upon the Company, its successors and assigns.</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10.2</w:t>
      </w:r>
    </w:p>
    <w:p>
      <w:pPr>
        <w:pStyle w:val="TextBody"/>
        <w:bidi w:val="0"/>
        <w:spacing w:before="240" w:after="283"/>
        <w:jc w:val="left"/>
        <w:rPr/>
      </w:pPr>
      <w:r>
        <w:rPr>
          <w:rFonts w:ascii="Times New Roman" w:hAnsi="Times New Roman"/>
          <w:color w:val="000000"/>
          <w:sz w:val="24"/>
          <w:u w:val="single"/>
        </w:rPr>
        <w:t>Entire Agreement</w:t>
      </w:r>
      <w:r>
        <w:rPr>
          <w:rFonts w:ascii="Times New Roman" w:hAnsi="Times New Roman"/>
          <w:color w:val="000000"/>
          <w:sz w:val="24"/>
        </w:rPr>
        <w:t>. This Agreement contains the entire agreement of the parties 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pStyle w:val="TextBody"/>
        <w:bidi w:val="0"/>
        <w:spacing w:before="241" w:after="283"/>
        <w:jc w:val="left"/>
        <w:rPr>
          <w:rFonts w:ascii="Times New Roman" w:hAnsi="Times New Roman"/>
          <w:color w:val="000000"/>
          <w:sz w:val="24"/>
          <w:u w:val="single"/>
        </w:rPr>
      </w:pPr>
      <w:r>
        <w:rPr>
          <w:rFonts w:ascii="Times New Roman" w:hAnsi="Times New Roman"/>
          <w:color w:val="000000"/>
          <w:sz w:val="24"/>
          <w:u w:val="single"/>
        </w:rPr>
        <w:t>10.3</w:t>
      </w:r>
    </w:p>
    <w:p>
      <w:pPr>
        <w:pStyle w:val="TextBody"/>
        <w:bidi w:val="0"/>
        <w:spacing w:before="241" w:after="283"/>
        <w:jc w:val="left"/>
        <w:rPr/>
      </w:pPr>
      <w:r>
        <w:rPr>
          <w:rFonts w:ascii="Times New Roman" w:hAnsi="Times New Roman"/>
          <w:color w:val="000000"/>
          <w:sz w:val="24"/>
          <w:u w:val="single"/>
        </w:rPr>
        <w:t>Representations and Warranties</w:t>
      </w:r>
      <w:r>
        <w:rPr>
          <w:rFonts w:ascii="Times New Roman" w:hAnsi="Times New Roman"/>
          <w:color w:val="000000"/>
          <w:sz w:val="24"/>
        </w:rPr>
        <w:t>. Executive and the Company hereby represent and warrant to the other that: (a) she or it has full power, authority and capacity to execute and deliver this Agreement, and to perform her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a valid and binding obligation in accordance with its terms for both parties;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pStyle w:val="TextBody"/>
        <w:bidi w:val="0"/>
        <w:spacing w:before="39" w:after="283"/>
        <w:jc w:val="left"/>
        <w:rPr>
          <w:rFonts w:ascii="Times New Roman" w:hAnsi="Times New Roman"/>
          <w:color w:val="000000"/>
          <w:sz w:val="24"/>
          <w:u w:val="single"/>
        </w:rPr>
      </w:pPr>
      <w:r>
        <w:rPr>
          <w:rFonts w:ascii="Times New Roman" w:hAnsi="Times New Roman"/>
          <w:color w:val="000000"/>
          <w:sz w:val="24"/>
          <w:u w:val="single"/>
        </w:rPr>
        <w:t>10.4</w:t>
      </w:r>
    </w:p>
    <w:p>
      <w:pPr>
        <w:pStyle w:val="TextBody"/>
        <w:bidi w:val="0"/>
        <w:spacing w:before="39" w:after="283"/>
        <w:jc w:val="left"/>
        <w:rPr/>
      </w:pPr>
      <w:r>
        <w:rPr>
          <w:rFonts w:ascii="Times New Roman" w:hAnsi="Times New Roman"/>
          <w:color w:val="000000"/>
          <w:sz w:val="24"/>
          <w:u w:val="single"/>
        </w:rPr>
        <w:t>Attorney’s Fees</w:t>
      </w:r>
      <w:r>
        <w:rPr>
          <w:rFonts w:ascii="Times New Roman" w:hAnsi="Times New Roman"/>
          <w:color w:val="000000"/>
          <w:sz w:val="24"/>
        </w:rPr>
        <w:t>. In the event that any party shall bring an action or proceeding in connection with the performance, breach or interpretation of this Agreement, then the prevailing 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pStyle w:val="TextBody"/>
        <w:bidi w:val="0"/>
        <w:spacing w:before="39" w:after="283"/>
        <w:jc w:val="left"/>
        <w:rPr>
          <w:rFonts w:ascii="Times New Roman" w:hAnsi="Times New Roman"/>
          <w:color w:val="000000"/>
          <w:sz w:val="24"/>
          <w:u w:val="single"/>
        </w:rPr>
      </w:pPr>
      <w:r>
        <w:rPr>
          <w:rFonts w:ascii="Times New Roman" w:hAnsi="Times New Roman"/>
          <w:color w:val="000000"/>
          <w:sz w:val="24"/>
          <w:u w:val="single"/>
        </w:rPr>
        <w:t>10.5</w:t>
      </w:r>
    </w:p>
    <w:p>
      <w:pPr>
        <w:pStyle w:val="TextBody"/>
        <w:bidi w:val="0"/>
        <w:spacing w:before="39"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on separate copies, any one of which need not contain signatures of more than one party but all of which taken together shall constitute one and the same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8"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[Signatures to follow on next page]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left"/>
        <w:rPr>
          <w:rFonts w:ascii="Times New Roman" w:hAnsi="Times New Roman"/>
          <w:color w:val="000000"/>
          <w:sz w:val="24"/>
        </w:rPr>
      </w:pPr>
      <w:r>
        <w:rPr>
          <w:rFonts w:ascii="Times New Roman" w:hAnsi="Times New Roman"/>
          <w:color w:val="000000"/>
          <w:sz w:val="24"/>
        </w:rPr>
        <w:t>IN WITNESS WHEREOF, this Agreement is executed as of June , 2024.</w:t>
      </w:r>
    </w:p>
    <w:p>
      <w:pPr>
        <w:pStyle w:val="TextBody"/>
        <w:bidi w:val="0"/>
        <w:spacing w:before="252" w:after="283"/>
        <w:jc w:val="left"/>
        <w:rPr/>
      </w:pPr>
      <w:r>
        <w:rPr/>
        <w:t> </w:t>
      </w:r>
    </w:p>
    <w:p>
      <w:pPr>
        <w:pStyle w:val="TextBody"/>
        <w:bidi w:val="0"/>
        <w:jc w:val="left"/>
        <w:rPr>
          <w:color w:val="000000"/>
        </w:rPr>
      </w:pPr>
      <w:r>
        <w:rPr>
          <w:color w:val="000000"/>
        </w:rPr>
        <w:t>“</w:t>
      </w:r>
      <w:r>
        <w:rPr>
          <w:rFonts w:ascii="Times New Roman" w:hAnsi="Times New Roman"/>
          <w:color w:val="000000"/>
          <w:sz w:val="24"/>
        </w:rPr>
        <w:t>COMPANY”</w:t>
      </w:r>
    </w:p>
    <w:p>
      <w:pPr>
        <w:pStyle w:val="TextBody"/>
        <w:bidi w:val="0"/>
        <w:spacing w:before="101" w:after="283"/>
        <w:jc w:val="left"/>
        <w:rPr>
          <w:rFonts w:ascii="Times New Roman" w:hAnsi="Times New Roman"/>
          <w:b/>
          <w:color w:val="000000"/>
          <w:sz w:val="24"/>
        </w:rPr>
      </w:pPr>
      <w:r>
        <w:rPr>
          <w:rFonts w:ascii="Times New Roman" w:hAnsi="Times New Roman"/>
          <w:b/>
          <w:color w:val="000000"/>
          <w:sz w:val="24"/>
        </w:rPr>
        <w:t>AVITA Medical, Inc. and AVITA Medical Americas, LLC</w:t>
      </w:r>
    </w:p>
    <w:p>
      <w:pPr>
        <w:pStyle w:val="TextBody"/>
        <w:bidi w:val="0"/>
        <w:jc w:val="left"/>
        <w:rPr/>
      </w:pPr>
      <w:r>
        <w:rPr/>
        <w:t> </w:t>
      </w:r>
    </w:p>
    <w:p>
      <w:pPr>
        <w:pStyle w:val="TextBody"/>
        <w:bidi w:val="0"/>
        <w:jc w:val="left"/>
        <w:rPr/>
      </w:pPr>
      <w:r>
        <w:rPr/>
        <w:t> </w:t>
      </w:r>
    </w:p>
    <w:p>
      <w:pPr>
        <w:pStyle w:val="TextBody"/>
        <w:bidi w:val="0"/>
        <w:spacing w:before="204" w:after="283"/>
        <w:jc w:val="left"/>
        <w:rPr/>
      </w:pPr>
      <w:r>
        <w:rPr/>
        <w:t> </w:t>
      </w:r>
    </w:p>
    <w:tbl>
      <w:tblPr>
        <w:tblW w:w="3830" w:type="dxa"/>
        <w:jc w:val="left"/>
        <w:tblInd w:w="0" w:type="dxa"/>
        <w:tblLayout w:type="fixed"/>
        <w:tblCellMar>
          <w:top w:w="28" w:type="dxa"/>
          <w:left w:w="28" w:type="dxa"/>
          <w:bottom w:w="28" w:type="dxa"/>
          <w:right w:w="28" w:type="dxa"/>
        </w:tblCellMar>
      </w:tblPr>
      <w:tblGrid>
        <w:gridCol w:w="516"/>
        <w:gridCol w:w="808"/>
        <w:gridCol w:w="2506"/>
      </w:tblGrid>
      <w:tr>
        <w:trPr/>
        <w:tc>
          <w:tcPr>
            <w:tcW w:w="5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16" w:type="dxa"/>
            <w:tcBorders/>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By:</w:t>
            </w:r>
          </w:p>
        </w:tc>
        <w:tc>
          <w:tcPr>
            <w:tcW w:w="3314"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6" w:type="dxa"/>
            <w:tcBorders/>
            <w:vAlign w:val="center"/>
          </w:tcPr>
          <w:p>
            <w:pPr>
              <w:pStyle w:val="TableContents"/>
              <w:bidi w:val="0"/>
              <w:spacing w:before="0" w:after="283"/>
              <w:ind w:left="0" w:right="0" w:firstLine="72"/>
              <w:jc w:val="left"/>
              <w:rPr/>
            </w:pPr>
            <w:r>
              <w:rPr/>
              <w:t> </w:t>
            </w:r>
          </w:p>
        </w:tc>
        <w:tc>
          <w:tcPr>
            <w:tcW w:w="808" w:type="dxa"/>
            <w:tcBorders/>
            <w:vAlign w:val="center"/>
          </w:tcPr>
          <w:p>
            <w:pPr>
              <w:pStyle w:val="TableContents"/>
              <w:bidi w:val="0"/>
              <w:spacing w:before="30" w:after="283"/>
              <w:ind w:left="0" w:right="0" w:firstLine="72"/>
              <w:jc w:val="left"/>
              <w:rPr>
                <w:rFonts w:ascii="Times New Roman" w:hAnsi="Times New Roman"/>
                <w:color w:val="000000"/>
                <w:sz w:val="24"/>
              </w:rPr>
            </w:pPr>
            <w:r>
              <w:rPr>
                <w:rFonts w:ascii="Times New Roman" w:hAnsi="Times New Roman"/>
                <w:color w:val="000000"/>
                <w:sz w:val="24"/>
              </w:rPr>
              <w:t>Name:</w:t>
            </w:r>
          </w:p>
          <w:p>
            <w:pPr>
              <w:pStyle w:val="TableContents"/>
              <w:bidi w:val="0"/>
              <w:ind w:left="0" w:right="0" w:firstLine="72"/>
              <w:jc w:val="left"/>
              <w:rPr/>
            </w:pPr>
            <w:r>
              <w:rPr/>
              <w:t> </w:t>
            </w:r>
          </w:p>
          <w:p>
            <w:pPr>
              <w:pStyle w:val="TableContents"/>
              <w:bidi w:val="0"/>
              <w:spacing w:before="0" w:after="283"/>
              <w:ind w:left="0" w:right="0" w:firstLine="90"/>
              <w:jc w:val="left"/>
              <w:rPr>
                <w:rFonts w:ascii="Times New Roman" w:hAnsi="Times New Roman"/>
                <w:color w:val="000000"/>
                <w:sz w:val="24"/>
              </w:rPr>
            </w:pPr>
            <w:r>
              <w:rPr>
                <w:rFonts w:ascii="Times New Roman" w:hAnsi="Times New Roman"/>
                <w:color w:val="000000"/>
                <w:sz w:val="24"/>
              </w:rPr>
              <w:t>Title:</w:t>
            </w:r>
          </w:p>
        </w:tc>
        <w:tc>
          <w:tcPr>
            <w:tcW w:w="2506" w:type="dxa"/>
            <w:tcBorders>
              <w:bottom w:val="single" w:sz="4" w:space="0" w:color="000000"/>
            </w:tcBorders>
            <w:tcMar>
              <w:top w:w="0" w:type="dxa"/>
              <w:left w:w="0" w:type="dxa"/>
              <w:right w:w="0" w:type="dxa"/>
            </w:tcMar>
            <w:vAlign w:val="center"/>
          </w:tcPr>
          <w:p>
            <w:pPr>
              <w:pStyle w:val="TableContents"/>
              <w:bidi w:val="0"/>
              <w:spacing w:before="30" w:after="283"/>
              <w:ind w:left="0" w:right="0" w:firstLine="90"/>
              <w:jc w:val="left"/>
              <w:rPr>
                <w:rFonts w:ascii="Times New Roman" w:hAnsi="Times New Roman"/>
                <w:color w:val="000000"/>
                <w:sz w:val="24"/>
              </w:rPr>
            </w:pPr>
            <w:r>
              <w:rPr>
                <w:rFonts w:ascii="Times New Roman" w:hAnsi="Times New Roman"/>
                <w:color w:val="000000"/>
                <w:sz w:val="24"/>
              </w:rPr>
              <w:t>James Corbett</w:t>
            </w:r>
          </w:p>
          <w:p>
            <w:pPr>
              <w:pStyle w:val="TableContents"/>
              <w:bidi w:val="0"/>
              <w:ind w:left="0" w:right="0" w:firstLine="90"/>
              <w:jc w:val="left"/>
              <w:rPr/>
            </w:pPr>
            <w:r>
              <w:rPr/>
              <w:t> </w:t>
            </w:r>
          </w:p>
          <w:p>
            <w:pPr>
              <w:pStyle w:val="TableContents"/>
              <w:bidi w:val="0"/>
              <w:spacing w:before="0" w:after="283"/>
              <w:ind w:left="0" w:right="0" w:firstLine="90"/>
              <w:jc w:val="left"/>
              <w:rPr>
                <w:rFonts w:ascii="Times New Roman" w:hAnsi="Times New Roman"/>
                <w:color w:val="000000"/>
                <w:sz w:val="24"/>
              </w:rPr>
            </w:pPr>
            <w:r>
              <w:rPr>
                <w:rFonts w:ascii="Times New Roman" w:hAnsi="Times New Roman"/>
                <w:color w:val="000000"/>
                <w:sz w:val="24"/>
              </w:rPr>
              <w:t>Chief Executive Officer</w:t>
            </w:r>
          </w:p>
        </w:tc>
      </w:tr>
      <w:tr>
        <w:trPr/>
        <w:tc>
          <w:tcPr>
            <w:tcW w:w="516"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18" w:after="283"/>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2506" w:type="dxa"/>
            <w:tcBorders/>
            <w:vAlign w:val="center"/>
          </w:tcPr>
          <w:p>
            <w:pPr>
              <w:pStyle w:val="TableContents"/>
              <w:bidi w:val="0"/>
              <w:spacing w:before="247" w:after="283"/>
              <w:ind w:left="0" w:right="0" w:firstLine="50"/>
              <w:jc w:val="left"/>
              <w:rPr/>
            </w:pPr>
            <w:r>
              <w:rPr/>
              <w:t> </w:t>
            </w:r>
          </w:p>
        </w:tc>
      </w:tr>
      <w:tr>
        <w:trPr/>
        <w:tc>
          <w:tcPr>
            <w:tcW w:w="516" w:type="dxa"/>
            <w:tcBorders/>
            <w:vAlign w:val="center"/>
          </w:tcPr>
          <w:p>
            <w:pPr>
              <w:pStyle w:val="TableContents"/>
              <w:bidi w:val="0"/>
              <w:spacing w:before="167" w:after="283"/>
              <w:ind w:left="0" w:right="0" w:firstLine="50"/>
              <w:jc w:val="left"/>
              <w:rPr>
                <w:rFonts w:ascii="Times New Roman" w:hAnsi="Times New Roman"/>
                <w:color w:val="000000"/>
                <w:sz w:val="24"/>
              </w:rPr>
            </w:pPr>
            <w:r>
              <w:rPr>
                <w:rFonts w:ascii="Times New Roman" w:hAnsi="Times New Roman"/>
                <w:color w:val="000000"/>
                <w:sz w:val="24"/>
              </w:rPr>
              <w:t>and</w:t>
            </w:r>
          </w:p>
        </w:tc>
        <w:tc>
          <w:tcPr>
            <w:tcW w:w="808"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color w:val="000000"/>
        </w:rPr>
      </w:pPr>
      <w:r>
        <w:rPr>
          <w:color w:val="000000"/>
        </w:rPr>
        <w:t>“</w:t>
      </w:r>
      <w:r>
        <w:rPr>
          <w:rFonts w:ascii="Times New Roman" w:hAnsi="Times New Roman"/>
          <w:color w:val="000000"/>
          <w:sz w:val="24"/>
        </w:rPr>
        <w:t>EXECUTIVE”</w:t>
      </w:r>
    </w:p>
    <w:p>
      <w:pPr>
        <w:pStyle w:val="TextBody"/>
        <w:bidi w:val="0"/>
        <w:spacing w:before="101" w:after="283"/>
        <w:jc w:val="left"/>
        <w:rPr>
          <w:rFonts w:ascii="Times New Roman" w:hAnsi="Times New Roman"/>
          <w:b/>
          <w:color w:val="000000"/>
          <w:sz w:val="24"/>
        </w:rPr>
      </w:pPr>
      <w:r>
        <w:rPr>
          <w:rFonts w:ascii="Times New Roman" w:hAnsi="Times New Roman"/>
          <w:b/>
          <w:color w:val="000000"/>
          <w:sz w:val="24"/>
        </w:rPr>
        <w:t>Nicole Kelsey</w:t>
      </w:r>
    </w:p>
    <w:p>
      <w:pPr>
        <w:pStyle w:val="TextBody"/>
        <w:bidi w:val="0"/>
        <w:jc w:val="left"/>
        <w:rPr/>
      </w:pPr>
      <w:r>
        <w:rPr/>
        <w:t> </w:t>
      </w:r>
    </w:p>
    <w:p>
      <w:pPr>
        <w:pStyle w:val="TextBody"/>
        <w:bidi w:val="0"/>
        <w:jc w:val="left"/>
        <w:rPr/>
      </w:pPr>
      <w:r>
        <w:rPr/>
        <w:t> </w:t>
      </w:r>
    </w:p>
    <w:p>
      <w:pPr>
        <w:pStyle w:val="TextBody"/>
        <w:bidi w:val="0"/>
        <w:spacing w:before="26" w:after="283"/>
        <w:jc w:val="left"/>
        <w:rPr/>
      </w:pPr>
      <w:r>
        <w:rPr/>
        <w:t> </w:t>
      </w:r>
    </w:p>
    <w:p>
      <w:pPr>
        <w:pStyle w:val="TextBody"/>
        <w:bidi w:val="0"/>
        <w:spacing w:before="1" w:after="283"/>
        <w:jc w:val="center"/>
        <w:rPr>
          <w:rFonts w:ascii="Times New Roman" w:hAnsi="Times New Roman"/>
          <w:color w:val="000000"/>
          <w:sz w:val="24"/>
        </w:rPr>
      </w:pPr>
      <w:r>
        <w:rPr>
          <w:rFonts w:ascii="Times New Roman" w:hAnsi="Times New Roman"/>
          <w:color w:val="000000"/>
          <w:sz w:val="24"/>
        </w:rPr>
        <w:t>By:</w:t>
      </w:r>
    </w:p>
    <w:p>
      <w:pPr>
        <w:pStyle w:val="TextBody"/>
        <w:bidi w:val="0"/>
        <w:spacing w:before="110" w:after="283"/>
        <w:jc w:val="left"/>
        <w:rPr>
          <w:rFonts w:ascii="Times New Roman" w:hAnsi="Times New Roman"/>
          <w:color w:val="000000"/>
          <w:sz w:val="24"/>
        </w:rPr>
      </w:pPr>
      <w:r>
        <w:rPr>
          <w:rFonts w:ascii="Times New Roman" w:hAnsi="Times New Roman"/>
          <w:color w:val="000000"/>
          <w:sz w:val="24"/>
        </w:rPr>
        <w:t>Name: Nicole Kelsey</w:t>
      </w:r>
    </w:p>
    <w:p>
      <w:pPr>
        <w:pStyle w:val="TextBody"/>
        <w:bidi w:val="0"/>
        <w:spacing w:before="118"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bookmarkStart w:id="28" w:name="rcel-ex10_3.htm"/>
      <w:bookmarkStart w:id="29" w:name="ksrcelex10_3"/>
      <w:bookmarkEnd w:id="28"/>
      <w:bookmarkEnd w:id="29"/>
      <w:r>
        <w:rPr/>
        <w:t> </w:t>
      </w:r>
      <w:r>
        <w:br w:type="page"/>
      </w:r>
    </w:p>
    <w:p>
      <w:pPr>
        <w:pStyle w:val="TextBody"/>
        <w:bidi w:val="0"/>
        <w:spacing w:before="13" w:after="283"/>
        <w:jc w:val="left"/>
        <w:rPr/>
      </w:pPr>
      <w:r>
        <w:rPr/>
        <w:t> </w:t>
      </w:r>
    </w:p>
    <w:p>
      <w:pPr>
        <w:pStyle w:val="TextBody"/>
        <w:bidi w:val="0"/>
        <w:jc w:val="right"/>
        <w:rPr>
          <w:rFonts w:ascii="Aptos;sans-serif" w:hAnsi="Aptos;sans-serif"/>
          <w:b/>
          <w:color w:val="000000"/>
          <w:sz w:val="22"/>
        </w:rPr>
      </w:pPr>
      <w:r>
        <w:rPr>
          <w:rFonts w:ascii="Aptos;sans-serif" w:hAnsi="Aptos;sans-serif"/>
          <w:b/>
          <w:color w:val="000000"/>
          <w:sz w:val="22"/>
        </w:rPr>
        <w:t>Exhibit 10.3</w:t>
      </w:r>
    </w:p>
    <w:p>
      <w:pPr>
        <w:pStyle w:val="TextBody"/>
        <w:bidi w:val="0"/>
        <w:spacing w:before="80" w:after="283"/>
        <w:jc w:val="center"/>
        <w:rPr>
          <w:rFonts w:ascii="Calibri;sans-serif" w:hAnsi="Calibri;sans-serif"/>
          <w:b/>
          <w:color w:val="000000"/>
          <w:sz w:val="22"/>
        </w:rPr>
      </w:pPr>
      <w:r>
        <w:rPr>
          <w:rFonts w:ascii="Calibri;sans-serif" w:hAnsi="Calibri;sans-serif"/>
          <w:b/>
          <w:color w:val="000000"/>
          <w:sz w:val="22"/>
        </w:rPr>
        <w:t>CERTAIN IDENTIFIED INFORMATION HAS BEEN EXCLUDED FROM THE EXHIBIT BECAUSE IT BOTH (I) IS NOT MATERIAL AND (II) WOULD BE COMPETITIVELY HARMFUL IF PUBLICLY DISCLOSED</w:t>
      </w:r>
    </w:p>
    <w:p>
      <w:pPr>
        <w:pStyle w:val="TextBody"/>
        <w:bidi w:val="0"/>
        <w:spacing w:before="80" w:after="283"/>
        <w:jc w:val="center"/>
        <w:rPr>
          <w:rFonts w:ascii="Times New Roman" w:hAnsi="Times New Roman"/>
          <w:sz w:val="20"/>
        </w:rPr>
      </w:pPr>
      <w:r>
        <w:rPr>
          <w:rFonts w:ascii="Times New Roman" w:hAnsi="Times New Roman"/>
          <w:b/>
          <w:color w:val="000000"/>
          <w:sz w:val="22"/>
        </w:rPr>
        <w:t>SEPARATION</w:t>
      </w:r>
      <w:r>
        <w:rPr>
          <w:rFonts w:ascii="Times New Roman" w:hAnsi="Times New Roman"/>
          <w:color w:val="000000"/>
          <w:sz w:val="20"/>
        </w:rPr>
        <w:t xml:space="preserve"> </w:t>
      </w:r>
      <w:r>
        <w:rPr>
          <w:rFonts w:ascii="Times New Roman" w:hAnsi="Times New Roman"/>
          <w:b/>
          <w:color w:val="000000"/>
          <w:sz w:val="22"/>
        </w:rPr>
        <w:t>AGREEMENT</w:t>
      </w:r>
      <w:r>
        <w:rPr>
          <w:rFonts w:ascii="Times New Roman" w:hAnsi="Times New Roman"/>
          <w:color w:val="000000"/>
          <w:sz w:val="20"/>
        </w:rPr>
        <w:t xml:space="preserve"> </w:t>
      </w:r>
      <w:r>
        <w:rPr>
          <w:rFonts w:ascii="Times New Roman" w:hAnsi="Times New Roman"/>
          <w:b/>
          <w:color w:val="000000"/>
          <w:sz w:val="22"/>
        </w:rPr>
        <w:t>AND</w:t>
      </w:r>
      <w:r>
        <w:rPr>
          <w:rFonts w:ascii="Times New Roman" w:hAnsi="Times New Roman"/>
          <w:color w:val="000000"/>
          <w:sz w:val="20"/>
        </w:rPr>
        <w:t xml:space="preserve"> </w:t>
      </w:r>
      <w:r>
        <w:rPr>
          <w:rFonts w:ascii="Times New Roman" w:hAnsi="Times New Roman"/>
          <w:b/>
          <w:color w:val="000000"/>
          <w:sz w:val="22"/>
        </w:rPr>
        <w:t>RELEASE</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This Separation Agreement and Release (“Agreement”) is made by and between Donna Shiroma (“Employee”) and AVITA Medical, Inc. and AVITA Medical Americas, LLC (collectively, the “Company”) (Employee and the Company collectively referred to as the “Parties” or individually referred to as a “Party”).</w:t>
      </w:r>
    </w:p>
    <w:p>
      <w:pPr>
        <w:pStyle w:val="TextBody"/>
        <w:bidi w:val="0"/>
        <w:spacing w:before="1"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RECITALS</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Employee was employed by the Company;</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Employee entered into an employment agreement with the Company with an Effective Date of June 25, 2018 (“Executive Employment Agreement”);</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WHEREAS, the Parties mutually agree Employee’s employment with the Company will terminate effective July 1, 2024 (the “Termination Date”); and</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mutual promises made herein, the Company and Employee hereby agree as follows:</w:t>
      </w:r>
    </w:p>
    <w:p>
      <w:pPr>
        <w:pStyle w:val="TextBody"/>
        <w:bidi w:val="0"/>
        <w:jc w:val="center"/>
        <w:rPr>
          <w:rFonts w:ascii="Times New Roman" w:hAnsi="Times New Roman"/>
          <w:b/>
          <w:color w:val="000000"/>
          <w:sz w:val="22"/>
        </w:rPr>
      </w:pPr>
      <w:r>
        <w:rPr>
          <w:rFonts w:ascii="Times New Roman" w:hAnsi="Times New Roman"/>
          <w:b/>
          <w:color w:val="000000"/>
          <w:sz w:val="22"/>
        </w:rPr>
        <w:t>COVENANTS</w:t>
      </w:r>
    </w:p>
    <w:p>
      <w:pPr>
        <w:pStyle w:val="TextBody"/>
        <w:bidi w:val="0"/>
        <w:jc w:val="center"/>
        <w:rPr/>
      </w:pPr>
      <w:r>
        <w:rPr/>
        <w:t> </w:t>
      </w:r>
    </w:p>
    <w:p>
      <w:pPr>
        <w:pStyle w:val="TextBody"/>
        <w:bidi w:val="0"/>
        <w:spacing w:before="0" w:after="120"/>
        <w:jc w:val="both"/>
        <w:rPr>
          <w:rFonts w:ascii="Times New Roman" w:hAnsi="Times New Roman"/>
          <w:color w:val="000000"/>
          <w:sz w:val="22"/>
          <w:u w:val="single"/>
        </w:rPr>
      </w:pPr>
      <w:r>
        <w:rPr>
          <w:rFonts w:ascii="Times New Roman" w:hAnsi="Times New Roman"/>
          <w:color w:val="000000"/>
          <w:sz w:val="22"/>
          <w:u w:val="single"/>
        </w:rPr>
        <w:t>1.</w:t>
      </w:r>
    </w:p>
    <w:p>
      <w:pPr>
        <w:pStyle w:val="TextBody"/>
        <w:bidi w:val="0"/>
        <w:spacing w:before="0" w:after="120"/>
        <w:jc w:val="both"/>
        <w:rPr/>
      </w:pPr>
      <w:r>
        <w:rPr>
          <w:rFonts w:ascii="Times New Roman" w:hAnsi="Times New Roman"/>
          <w:color w:val="000000"/>
          <w:sz w:val="22"/>
          <w:u w:val="single"/>
        </w:rPr>
        <w:t>Consideration</w:t>
      </w:r>
      <w:r>
        <w:rPr>
          <w:rFonts w:ascii="Times New Roman" w:hAnsi="Times New Roman"/>
          <w:color w:val="000000"/>
          <w:sz w:val="22"/>
        </w:rPr>
        <w:t>. In consideration of Employee’s execution of this Agreement and Employee’s fulfillment of all of its terms and conditions, and provided that Employee does not revoke the Agreement under the Acknowledgement of Waiver of Claims under ADEA Section below, and subject to approval by the Company’s Board of Directors (the “Board”), along with any other required approvals from the Board of Directors for any Company affiliates, subsidiaries, or successor corporations, the Company agrees as follows:</w:t>
      </w:r>
    </w:p>
    <w:p>
      <w:pPr>
        <w:pStyle w:val="TextBody"/>
        <w:bidi w:val="0"/>
        <w:spacing w:before="0" w:after="0"/>
        <w:jc w:val="left"/>
        <w:rPr>
          <w:rFonts w:ascii="Times New Roman" w:hAnsi="Times New Roman"/>
          <w:color w:val="000000"/>
          <w:sz w:val="22"/>
          <w:u w:val="single"/>
        </w:rPr>
      </w:pPr>
      <w:r>
        <w:rPr>
          <w:rFonts w:ascii="Times New Roman" w:hAnsi="Times New Roman"/>
          <w:color w:val="000000"/>
          <w:sz w:val="22"/>
          <w:u w:val="single"/>
        </w:rPr>
        <w:t>a.</w:t>
      </w:r>
    </w:p>
    <w:p>
      <w:pPr>
        <w:pStyle w:val="TextBody"/>
        <w:bidi w:val="0"/>
        <w:spacing w:before="0" w:after="0"/>
        <w:jc w:val="left"/>
        <w:rPr/>
      </w:pPr>
      <w:r>
        <w:rPr>
          <w:rFonts w:ascii="Times New Roman" w:hAnsi="Times New Roman"/>
          <w:color w:val="000000"/>
          <w:sz w:val="22"/>
          <w:u w:val="single"/>
        </w:rPr>
        <w:t>Payment</w:t>
      </w:r>
      <w:r>
        <w:rPr>
          <w:rFonts w:ascii="Times New Roman" w:hAnsi="Times New Roman"/>
          <w:color w:val="000000"/>
          <w:sz w:val="22"/>
        </w:rPr>
        <w:t>. The Company agrees to provide Employee the following in accordance with Employee’s Executive Employment Agreement Section 3.3 (b):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Base Salary: A lump sum payment of[******], less applicable withholdings, representing one year of Employee’s base annual salary on the Termination Date, in lieu of notice, payable no later than the sixtieth day from the Effective Date, as defined below.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Prorated Bonus: A lump sum payment of [******]less applicable withholdings, representing your prorated bonus for 2024 at 100% of achievement.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Benefits Coverage: If Employee timely elects COBRA coverage and Employee signs up for such benefits within the time (60 days) as provided under COBRA terms, the Company shall pay the full cost of the premium to provide group health, vision, and dental plan benefits to the Employee for a period of twelve (12) months beginning July 1, 2024.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Equity: Employee’s stock options and RSUs shall immediately accelerate so that 100% of any then unvested stock options and RSUs shall immediately vest and become exercisable upon the Effective Date and shall continue to be exercisable for three (3) months under the terms and conditions of the Company’s equity incentive plan(s) (collectively, the “Incentive Plan”). Employee’s equity awards under the Incentive Plan shall continue to be governed by the terms and conditions of Employee’s equity agreements pursuant to the Incentive Plan (“Equity Agreements”).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80"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w:t>
      </w:r>
    </w:p>
    <w:p>
      <w:pPr>
        <w:pStyle w:val="TextBody"/>
        <w:bidi w:val="0"/>
        <w:jc w:val="both"/>
        <w:rPr/>
      </w:pPr>
      <w:r>
        <w:rPr>
          <w:rFonts w:ascii="Times New Roman" w:hAnsi="Times New Roman"/>
          <w:color w:val="000000"/>
          <w:sz w:val="22"/>
          <w:u w:val="single"/>
        </w:rPr>
        <w:t>Benefits</w:t>
      </w:r>
      <w:r>
        <w:rPr>
          <w:rFonts w:ascii="Times New Roman" w:hAnsi="Times New Roman"/>
          <w:color w:val="000000"/>
          <w:sz w:val="22"/>
        </w:rPr>
        <w:t>. Employee’s health insurance benefits ceased on the Termination Date, subject to Employee’s right to continue Employee’s health insurance under COBRA or comparable state law, if applicable. Employee’s participation in all benefits and incidents of employment, including, but not limited to, vesting in stock options, and the accrual of bonuses, vacation, and paid time off, ceased as of the Termination Date. All applicable group term life insurance, long-term disability, short-term disability, and other welfare benefits, if any, will terminate in accordance with the provisions of the applicable plans. The Company or any applicable insurance providers will provide separate information regarding individual coverage rights. Employee’s benefits under the Company’s 401(k) Retirement Plan (the “Section 401(k) Plan”), if any, will be handled in accordance with the provisions of the Section 401(k) Plan.</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3.</w:t>
      </w:r>
    </w:p>
    <w:p>
      <w:pPr>
        <w:pStyle w:val="TextBody"/>
        <w:bidi w:val="0"/>
        <w:jc w:val="both"/>
        <w:rPr/>
      </w:pPr>
      <w:r>
        <w:rPr>
          <w:rFonts w:ascii="Times New Roman" w:hAnsi="Times New Roman"/>
          <w:color w:val="000000"/>
          <w:sz w:val="22"/>
          <w:u w:val="single"/>
        </w:rPr>
        <w:t>Payment of Salary and Receipt of All Benefits</w:t>
      </w:r>
      <w:r>
        <w:rPr>
          <w:rFonts w:ascii="Times New Roman" w:hAnsi="Times New Roman"/>
          <w:color w:val="000000"/>
          <w:sz w:val="22"/>
        </w:rPr>
        <w:t>. All base salary and accrued but unused vacation owed to Employee through the Termination Date will be paid to Employee on the effective date. Employee must timely submit a reimbursement request for all business expenses that are reimbursable per the Company’s expense policies. Employee acknowledges and represents that, other than the consideration set forth in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Employee. Employee acknowledges and agrees that California Labor Code § 206.5 is not applicable. That section provides in pertinent part as follows:</w:t>
      </w:r>
    </w:p>
    <w:p>
      <w:pPr>
        <w:pStyle w:val="TextBody"/>
        <w:bidi w:val="0"/>
        <w:jc w:val="both"/>
        <w:rPr>
          <w:rFonts w:ascii="Times New Roman" w:hAnsi="Times New Roman"/>
          <w:sz w:val="20"/>
        </w:rPr>
      </w:pPr>
      <w:r>
        <w:rPr>
          <w:rFonts w:ascii="Times New Roman" w:hAnsi="Times New Roman"/>
          <w:i/>
          <w:color w:val="000000"/>
          <w:sz w:val="22"/>
        </w:rPr>
        <w:t>No</w:t>
      </w:r>
      <w:r>
        <w:rPr>
          <w:rFonts w:ascii="Times New Roman" w:hAnsi="Times New Roman"/>
          <w:color w:val="000000"/>
          <w:sz w:val="20"/>
        </w:rPr>
        <w:t xml:space="preserve"> </w:t>
      </w:r>
      <w:r>
        <w:rPr>
          <w:rFonts w:ascii="Times New Roman" w:hAnsi="Times New Roman"/>
          <w:i/>
          <w:color w:val="000000"/>
          <w:sz w:val="22"/>
        </w:rPr>
        <w:t>employer</w:t>
      </w:r>
      <w:r>
        <w:rPr>
          <w:rFonts w:ascii="Times New Roman" w:hAnsi="Times New Roman"/>
          <w:color w:val="000000"/>
          <w:sz w:val="20"/>
        </w:rPr>
        <w:t xml:space="preserve"> </w:t>
      </w:r>
      <w:r>
        <w:rPr>
          <w:rFonts w:ascii="Times New Roman" w:hAnsi="Times New Roman"/>
          <w:i/>
          <w:color w:val="000000"/>
          <w:sz w:val="22"/>
        </w:rPr>
        <w:t>shall</w:t>
      </w:r>
      <w:r>
        <w:rPr>
          <w:rFonts w:ascii="Times New Roman" w:hAnsi="Times New Roman"/>
          <w:color w:val="000000"/>
          <w:sz w:val="20"/>
        </w:rPr>
        <w:t xml:space="preserve"> </w:t>
      </w:r>
      <w:r>
        <w:rPr>
          <w:rFonts w:ascii="Times New Roman" w:hAnsi="Times New Roman"/>
          <w:i/>
          <w:color w:val="000000"/>
          <w:sz w:val="22"/>
        </w:rPr>
        <w:t>require</w:t>
      </w:r>
      <w:r>
        <w:rPr>
          <w:rFonts w:ascii="Times New Roman" w:hAnsi="Times New Roman"/>
          <w:color w:val="000000"/>
          <w:sz w:val="20"/>
        </w:rPr>
        <w:t xml:space="preserve"> </w:t>
      </w:r>
      <w:r>
        <w:rPr>
          <w:rFonts w:ascii="Times New Roman" w:hAnsi="Times New Roman"/>
          <w:i/>
          <w:color w:val="000000"/>
          <w:sz w:val="22"/>
        </w:rPr>
        <w:t>the</w:t>
      </w:r>
      <w:r>
        <w:rPr>
          <w:rFonts w:ascii="Times New Roman" w:hAnsi="Times New Roman"/>
          <w:color w:val="000000"/>
          <w:sz w:val="20"/>
        </w:rPr>
        <w:t xml:space="preserve"> </w:t>
      </w:r>
      <w:r>
        <w:rPr>
          <w:rFonts w:ascii="Times New Roman" w:hAnsi="Times New Roman"/>
          <w:i/>
          <w:color w:val="000000"/>
          <w:sz w:val="22"/>
        </w:rPr>
        <w:t>execution</w:t>
      </w:r>
      <w:r>
        <w:rPr>
          <w:rFonts w:ascii="Times New Roman" w:hAnsi="Times New Roman"/>
          <w:color w:val="000000"/>
          <w:sz w:val="20"/>
        </w:rPr>
        <w:t xml:space="preserve"> </w:t>
      </w:r>
      <w:r>
        <w:rPr>
          <w:rFonts w:ascii="Times New Roman" w:hAnsi="Times New Roman"/>
          <w:i/>
          <w:color w:val="000000"/>
          <w:sz w:val="22"/>
        </w:rPr>
        <w:t>of</w:t>
      </w:r>
      <w:r>
        <w:rPr>
          <w:rFonts w:ascii="Times New Roman" w:hAnsi="Times New Roman"/>
          <w:color w:val="000000"/>
          <w:sz w:val="20"/>
        </w:rPr>
        <w:t xml:space="preserve"> </w:t>
      </w:r>
      <w:r>
        <w:rPr>
          <w:rFonts w:ascii="Times New Roman" w:hAnsi="Times New Roman"/>
          <w:i/>
          <w:color w:val="000000"/>
          <w:sz w:val="22"/>
        </w:rPr>
        <w:t>any</w:t>
      </w:r>
      <w:r>
        <w:rPr>
          <w:rFonts w:ascii="Times New Roman" w:hAnsi="Times New Roman"/>
          <w:color w:val="000000"/>
          <w:sz w:val="20"/>
        </w:rPr>
        <w:t xml:space="preserve"> </w:t>
      </w:r>
      <w:r>
        <w:rPr>
          <w:rFonts w:ascii="Times New Roman" w:hAnsi="Times New Roman"/>
          <w:i/>
          <w:color w:val="000000"/>
          <w:sz w:val="22"/>
        </w:rPr>
        <w:t>release</w:t>
      </w:r>
      <w:r>
        <w:rPr>
          <w:rFonts w:ascii="Times New Roman" w:hAnsi="Times New Roman"/>
          <w:color w:val="000000"/>
          <w:sz w:val="20"/>
        </w:rPr>
        <w:t xml:space="preserve"> </w:t>
      </w:r>
      <w:r>
        <w:rPr>
          <w:rFonts w:ascii="Times New Roman" w:hAnsi="Times New Roman"/>
          <w:i/>
          <w:color w:val="000000"/>
          <w:sz w:val="22"/>
        </w:rPr>
        <w:t>of</w:t>
      </w:r>
      <w:r>
        <w:rPr>
          <w:rFonts w:ascii="Times New Roman" w:hAnsi="Times New Roman"/>
          <w:color w:val="000000"/>
          <w:sz w:val="20"/>
        </w:rPr>
        <w:t xml:space="preserve"> </w:t>
      </w:r>
      <w:r>
        <w:rPr>
          <w:rFonts w:ascii="Times New Roman" w:hAnsi="Times New Roman"/>
          <w:i/>
          <w:color w:val="000000"/>
          <w:sz w:val="22"/>
        </w:rPr>
        <w:t>any</w:t>
      </w:r>
      <w:r>
        <w:rPr>
          <w:rFonts w:ascii="Times New Roman" w:hAnsi="Times New Roman"/>
          <w:color w:val="000000"/>
          <w:sz w:val="20"/>
        </w:rPr>
        <w:t xml:space="preserve"> </w:t>
      </w:r>
      <w:r>
        <w:rPr>
          <w:rFonts w:ascii="Times New Roman" w:hAnsi="Times New Roman"/>
          <w:i/>
          <w:color w:val="000000"/>
          <w:sz w:val="22"/>
        </w:rPr>
        <w:t>claim</w:t>
      </w:r>
      <w:r>
        <w:rPr>
          <w:rFonts w:ascii="Times New Roman" w:hAnsi="Times New Roman"/>
          <w:color w:val="000000"/>
          <w:sz w:val="20"/>
        </w:rPr>
        <w:t xml:space="preserve"> </w:t>
      </w:r>
      <w:r>
        <w:rPr>
          <w:rFonts w:ascii="Times New Roman" w:hAnsi="Times New Roman"/>
          <w:i/>
          <w:color w:val="000000"/>
          <w:sz w:val="22"/>
        </w:rPr>
        <w:t>or</w:t>
      </w:r>
      <w:r>
        <w:rPr>
          <w:rFonts w:ascii="Times New Roman" w:hAnsi="Times New Roman"/>
          <w:color w:val="000000"/>
          <w:sz w:val="20"/>
        </w:rPr>
        <w:t xml:space="preserve"> </w:t>
      </w:r>
      <w:r>
        <w:rPr>
          <w:rFonts w:ascii="Times New Roman" w:hAnsi="Times New Roman"/>
          <w:i/>
          <w:color w:val="000000"/>
          <w:sz w:val="22"/>
        </w:rPr>
        <w:t>right</w:t>
      </w:r>
      <w:r>
        <w:rPr>
          <w:rFonts w:ascii="Times New Roman" w:hAnsi="Times New Roman"/>
          <w:color w:val="000000"/>
          <w:sz w:val="20"/>
        </w:rPr>
        <w:t xml:space="preserve"> </w:t>
      </w:r>
      <w:r>
        <w:rPr>
          <w:rFonts w:ascii="Times New Roman" w:hAnsi="Times New Roman"/>
          <w:i/>
          <w:color w:val="000000"/>
          <w:sz w:val="22"/>
        </w:rPr>
        <w:t>on</w:t>
      </w:r>
      <w:r>
        <w:rPr>
          <w:rFonts w:ascii="Times New Roman" w:hAnsi="Times New Roman"/>
          <w:color w:val="000000"/>
          <w:sz w:val="20"/>
        </w:rPr>
        <w:t xml:space="preserve"> </w:t>
      </w:r>
      <w:r>
        <w:rPr>
          <w:rFonts w:ascii="Times New Roman" w:hAnsi="Times New Roman"/>
          <w:i/>
          <w:color w:val="000000"/>
          <w:sz w:val="22"/>
        </w:rPr>
        <w:t>account</w:t>
      </w:r>
      <w:r>
        <w:rPr>
          <w:rFonts w:ascii="Times New Roman" w:hAnsi="Times New Roman"/>
          <w:color w:val="000000"/>
          <w:sz w:val="20"/>
        </w:rPr>
        <w:t xml:space="preserve"> </w:t>
      </w:r>
      <w:r>
        <w:rPr>
          <w:rFonts w:ascii="Times New Roman" w:hAnsi="Times New Roman"/>
          <w:i/>
          <w:color w:val="000000"/>
          <w:sz w:val="22"/>
        </w:rPr>
        <w:t>of</w:t>
      </w:r>
      <w:r>
        <w:rPr>
          <w:rFonts w:ascii="Times New Roman" w:hAnsi="Times New Roman"/>
          <w:color w:val="000000"/>
          <w:sz w:val="20"/>
        </w:rPr>
        <w:t xml:space="preserve"> </w:t>
      </w:r>
      <w:r>
        <w:rPr>
          <w:rFonts w:ascii="Times New Roman" w:hAnsi="Times New Roman"/>
          <w:i/>
          <w:color w:val="000000"/>
          <w:sz w:val="22"/>
        </w:rPr>
        <w:t>wages</w:t>
      </w:r>
      <w:r>
        <w:rPr>
          <w:rFonts w:ascii="Times New Roman" w:hAnsi="Times New Roman"/>
          <w:color w:val="000000"/>
          <w:sz w:val="20"/>
        </w:rPr>
        <w:t xml:space="preserve"> </w:t>
      </w:r>
      <w:r>
        <w:rPr>
          <w:rFonts w:ascii="Times New Roman" w:hAnsi="Times New Roman"/>
          <w:i/>
          <w:color w:val="000000"/>
          <w:sz w:val="22"/>
        </w:rPr>
        <w:t>due,</w:t>
      </w:r>
      <w:r>
        <w:rPr>
          <w:rFonts w:ascii="Times New Roman" w:hAnsi="Times New Roman"/>
          <w:color w:val="000000"/>
          <w:sz w:val="20"/>
        </w:rPr>
        <w:t xml:space="preserve"> </w:t>
      </w:r>
      <w:r>
        <w:rPr>
          <w:rFonts w:ascii="Times New Roman" w:hAnsi="Times New Roman"/>
          <w:i/>
          <w:color w:val="000000"/>
          <w:sz w:val="22"/>
        </w:rPr>
        <w:t>or</w:t>
      </w:r>
      <w:r>
        <w:rPr>
          <w:rFonts w:ascii="Times New Roman" w:hAnsi="Times New Roman"/>
          <w:color w:val="000000"/>
          <w:sz w:val="20"/>
        </w:rPr>
        <w:t xml:space="preserve"> </w:t>
      </w:r>
      <w:r>
        <w:rPr>
          <w:rFonts w:ascii="Times New Roman" w:hAnsi="Times New Roman"/>
          <w:i/>
          <w:color w:val="000000"/>
          <w:sz w:val="22"/>
        </w:rPr>
        <w:t>to</w:t>
      </w:r>
      <w:r>
        <w:rPr>
          <w:rFonts w:ascii="Times New Roman" w:hAnsi="Times New Roman"/>
          <w:color w:val="000000"/>
          <w:sz w:val="20"/>
        </w:rPr>
        <w:t xml:space="preserve"> </w:t>
      </w:r>
      <w:r>
        <w:rPr>
          <w:rFonts w:ascii="Times New Roman" w:hAnsi="Times New Roman"/>
          <w:i/>
          <w:color w:val="000000"/>
          <w:sz w:val="22"/>
        </w:rPr>
        <w:t>become</w:t>
      </w:r>
      <w:r>
        <w:rPr>
          <w:rFonts w:ascii="Times New Roman" w:hAnsi="Times New Roman"/>
          <w:color w:val="000000"/>
          <w:sz w:val="20"/>
        </w:rPr>
        <w:t xml:space="preserve"> </w:t>
      </w:r>
      <w:r>
        <w:rPr>
          <w:rFonts w:ascii="Times New Roman" w:hAnsi="Times New Roman"/>
          <w:i/>
          <w:color w:val="000000"/>
          <w:sz w:val="22"/>
        </w:rPr>
        <w:t>due,</w:t>
      </w:r>
      <w:r>
        <w:rPr>
          <w:rFonts w:ascii="Times New Roman" w:hAnsi="Times New Roman"/>
          <w:color w:val="000000"/>
          <w:sz w:val="20"/>
        </w:rPr>
        <w:t xml:space="preserve"> </w:t>
      </w:r>
      <w:r>
        <w:rPr>
          <w:rFonts w:ascii="Times New Roman" w:hAnsi="Times New Roman"/>
          <w:i/>
          <w:color w:val="000000"/>
          <w:sz w:val="22"/>
        </w:rPr>
        <w:t>or</w:t>
      </w:r>
      <w:r>
        <w:rPr>
          <w:rFonts w:ascii="Times New Roman" w:hAnsi="Times New Roman"/>
          <w:color w:val="000000"/>
          <w:sz w:val="20"/>
        </w:rPr>
        <w:t xml:space="preserve"> </w:t>
      </w:r>
      <w:r>
        <w:rPr>
          <w:rFonts w:ascii="Times New Roman" w:hAnsi="Times New Roman"/>
          <w:i/>
          <w:color w:val="000000"/>
          <w:sz w:val="22"/>
        </w:rPr>
        <w:t>made</w:t>
      </w:r>
      <w:r>
        <w:rPr>
          <w:rFonts w:ascii="Times New Roman" w:hAnsi="Times New Roman"/>
          <w:color w:val="000000"/>
          <w:sz w:val="20"/>
        </w:rPr>
        <w:t xml:space="preserve"> </w:t>
      </w:r>
      <w:r>
        <w:rPr>
          <w:rFonts w:ascii="Times New Roman" w:hAnsi="Times New Roman"/>
          <w:i/>
          <w:color w:val="000000"/>
          <w:sz w:val="22"/>
        </w:rPr>
        <w:t>as</w:t>
      </w:r>
      <w:r>
        <w:rPr>
          <w:rFonts w:ascii="Times New Roman" w:hAnsi="Times New Roman"/>
          <w:color w:val="000000"/>
          <w:sz w:val="20"/>
        </w:rPr>
        <w:t xml:space="preserve"> </w:t>
      </w:r>
      <w:r>
        <w:rPr>
          <w:rFonts w:ascii="Times New Roman" w:hAnsi="Times New Roman"/>
          <w:i/>
          <w:color w:val="000000"/>
          <w:sz w:val="22"/>
        </w:rPr>
        <w:t>an</w:t>
      </w:r>
      <w:r>
        <w:rPr>
          <w:rFonts w:ascii="Times New Roman" w:hAnsi="Times New Roman"/>
          <w:color w:val="000000"/>
          <w:sz w:val="20"/>
        </w:rPr>
        <w:t xml:space="preserve"> </w:t>
      </w:r>
      <w:r>
        <w:rPr>
          <w:rFonts w:ascii="Times New Roman" w:hAnsi="Times New Roman"/>
          <w:i/>
          <w:color w:val="000000"/>
          <w:sz w:val="22"/>
        </w:rPr>
        <w:t>event</w:t>
      </w:r>
      <w:r>
        <w:rPr>
          <w:rFonts w:ascii="Times New Roman" w:hAnsi="Times New Roman"/>
          <w:color w:val="000000"/>
          <w:sz w:val="20"/>
        </w:rPr>
        <w:t xml:space="preserve"> </w:t>
      </w:r>
      <w:r>
        <w:rPr>
          <w:rFonts w:ascii="Times New Roman" w:hAnsi="Times New Roman"/>
          <w:i/>
          <w:color w:val="000000"/>
          <w:sz w:val="22"/>
        </w:rPr>
        <w:t>on</w:t>
      </w:r>
      <w:r>
        <w:rPr>
          <w:rFonts w:ascii="Times New Roman" w:hAnsi="Times New Roman"/>
          <w:color w:val="000000"/>
          <w:sz w:val="20"/>
        </w:rPr>
        <w:t xml:space="preserve"> </w:t>
      </w:r>
      <w:r>
        <w:rPr>
          <w:rFonts w:ascii="Times New Roman" w:hAnsi="Times New Roman"/>
          <w:i/>
          <w:color w:val="000000"/>
          <w:sz w:val="22"/>
        </w:rPr>
        <w:t>wages</w:t>
      </w:r>
      <w:r>
        <w:rPr>
          <w:rFonts w:ascii="Times New Roman" w:hAnsi="Times New Roman"/>
          <w:color w:val="000000"/>
          <w:sz w:val="20"/>
        </w:rPr>
        <w:t xml:space="preserve"> </w:t>
      </w:r>
      <w:r>
        <w:rPr>
          <w:rFonts w:ascii="Times New Roman" w:hAnsi="Times New Roman"/>
          <w:i/>
          <w:color w:val="000000"/>
          <w:sz w:val="22"/>
        </w:rPr>
        <w:t>to</w:t>
      </w:r>
      <w:r>
        <w:rPr>
          <w:rFonts w:ascii="Times New Roman" w:hAnsi="Times New Roman"/>
          <w:color w:val="000000"/>
          <w:sz w:val="20"/>
        </w:rPr>
        <w:t xml:space="preserve"> </w:t>
      </w:r>
      <w:r>
        <w:rPr>
          <w:rFonts w:ascii="Times New Roman" w:hAnsi="Times New Roman"/>
          <w:i/>
          <w:color w:val="000000"/>
          <w:sz w:val="22"/>
        </w:rPr>
        <w:t>be</w:t>
      </w:r>
      <w:r>
        <w:rPr>
          <w:rFonts w:ascii="Times New Roman" w:hAnsi="Times New Roman"/>
          <w:color w:val="000000"/>
          <w:sz w:val="20"/>
        </w:rPr>
        <w:t xml:space="preserve"> </w:t>
      </w:r>
      <w:r>
        <w:rPr>
          <w:rFonts w:ascii="Times New Roman" w:hAnsi="Times New Roman"/>
          <w:i/>
          <w:color w:val="000000"/>
          <w:sz w:val="22"/>
        </w:rPr>
        <w:t>earned,</w:t>
      </w:r>
      <w:r>
        <w:rPr>
          <w:rFonts w:ascii="Times New Roman" w:hAnsi="Times New Roman"/>
          <w:color w:val="000000"/>
          <w:sz w:val="20"/>
        </w:rPr>
        <w:t xml:space="preserve"> </w:t>
      </w:r>
      <w:r>
        <w:rPr>
          <w:rFonts w:ascii="Times New Roman" w:hAnsi="Times New Roman"/>
          <w:i/>
          <w:color w:val="000000"/>
          <w:sz w:val="22"/>
        </w:rPr>
        <w:t>unless</w:t>
      </w:r>
      <w:r>
        <w:rPr>
          <w:rFonts w:ascii="Times New Roman" w:hAnsi="Times New Roman"/>
          <w:color w:val="000000"/>
          <w:sz w:val="20"/>
        </w:rPr>
        <w:t xml:space="preserve"> </w:t>
      </w:r>
      <w:r>
        <w:rPr>
          <w:rFonts w:ascii="Times New Roman" w:hAnsi="Times New Roman"/>
          <w:i/>
          <w:color w:val="000000"/>
          <w:sz w:val="22"/>
        </w:rPr>
        <w:t>payment</w:t>
      </w:r>
      <w:r>
        <w:rPr>
          <w:rFonts w:ascii="Times New Roman" w:hAnsi="Times New Roman"/>
          <w:color w:val="000000"/>
          <w:sz w:val="20"/>
        </w:rPr>
        <w:t xml:space="preserve"> </w:t>
      </w:r>
      <w:r>
        <w:rPr>
          <w:rFonts w:ascii="Times New Roman" w:hAnsi="Times New Roman"/>
          <w:i/>
          <w:color w:val="000000"/>
          <w:sz w:val="22"/>
        </w:rPr>
        <w:t>of</w:t>
      </w:r>
      <w:r>
        <w:rPr>
          <w:rFonts w:ascii="Times New Roman" w:hAnsi="Times New Roman"/>
          <w:color w:val="000000"/>
          <w:sz w:val="20"/>
        </w:rPr>
        <w:t xml:space="preserve"> </w:t>
      </w:r>
      <w:r>
        <w:rPr>
          <w:rFonts w:ascii="Times New Roman" w:hAnsi="Times New Roman"/>
          <w:i/>
          <w:color w:val="000000"/>
          <w:sz w:val="22"/>
        </w:rPr>
        <w:t>such</w:t>
      </w:r>
      <w:r>
        <w:rPr>
          <w:rFonts w:ascii="Times New Roman" w:hAnsi="Times New Roman"/>
          <w:color w:val="000000"/>
          <w:sz w:val="20"/>
        </w:rPr>
        <w:t xml:space="preserve"> </w:t>
      </w:r>
      <w:r>
        <w:rPr>
          <w:rFonts w:ascii="Times New Roman" w:hAnsi="Times New Roman"/>
          <w:i/>
          <w:color w:val="000000"/>
          <w:sz w:val="22"/>
        </w:rPr>
        <w:t>wages</w:t>
      </w:r>
      <w:r>
        <w:rPr>
          <w:rFonts w:ascii="Times New Roman" w:hAnsi="Times New Roman"/>
          <w:color w:val="000000"/>
          <w:sz w:val="20"/>
        </w:rPr>
        <w:t xml:space="preserve"> </w:t>
      </w:r>
      <w:r>
        <w:rPr>
          <w:rFonts w:ascii="Times New Roman" w:hAnsi="Times New Roman"/>
          <w:i/>
          <w:color w:val="000000"/>
          <w:sz w:val="22"/>
        </w:rPr>
        <w:t>has</w:t>
      </w:r>
      <w:r>
        <w:rPr>
          <w:rFonts w:ascii="Times New Roman" w:hAnsi="Times New Roman"/>
          <w:color w:val="000000"/>
          <w:sz w:val="20"/>
        </w:rPr>
        <w:t xml:space="preserve"> </w:t>
      </w:r>
      <w:r>
        <w:rPr>
          <w:rFonts w:ascii="Times New Roman" w:hAnsi="Times New Roman"/>
          <w:i/>
          <w:color w:val="000000"/>
          <w:sz w:val="22"/>
        </w:rPr>
        <w:t>been</w:t>
      </w:r>
      <w:r>
        <w:rPr>
          <w:rFonts w:ascii="Times New Roman" w:hAnsi="Times New Roman"/>
          <w:color w:val="000000"/>
          <w:sz w:val="20"/>
        </w:rPr>
        <w:t xml:space="preserve"> </w:t>
      </w:r>
      <w:r>
        <w:rPr>
          <w:rFonts w:ascii="Times New Roman" w:hAnsi="Times New Roman"/>
          <w:i/>
          <w:color w:val="000000"/>
          <w:sz w:val="22"/>
        </w:rPr>
        <w:t>made</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4.</w:t>
      </w:r>
    </w:p>
    <w:p>
      <w:pPr>
        <w:pStyle w:val="TextBody"/>
        <w:bidi w:val="0"/>
        <w:spacing w:before="0" w:after="0"/>
        <w:jc w:val="both"/>
        <w:rPr/>
      </w:pPr>
      <w:r>
        <w:rPr>
          <w:rFonts w:ascii="Times New Roman" w:hAnsi="Times New Roman"/>
          <w:color w:val="000000"/>
          <w:sz w:val="22"/>
          <w:u w:val="single"/>
        </w:rPr>
        <w:t>Release of Claims</w:t>
      </w:r>
      <w:r>
        <w:rPr>
          <w:rFonts w:ascii="Times New Roman" w:hAnsi="Times New Roman"/>
          <w:color w:val="000000"/>
          <w:sz w:val="22"/>
        </w:rPr>
        <w:t>. Employee agrees that the foregoing consideration represents settlement in full of all outstanding obligations owed to Employee by the Company and its current and former officers, directors, employees, agents, investors, attorneys, shareholders, administrators, affiliates, benefit plans, plan administrators, professional employer organization or co-employer, insurers, trustees, divisions, and subsidiaries, and predecessor and successor corporations and assigns, including, but not limited to, AVITA Medical Inc, and AVITA Medical Americas, LLC.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on an individual or representative basis, whether presently known or unknown, suspected or unsuspected, that Employee may possess against any of the Releasees arising from any omissions, acts, facts, or damages that have occurred up until and including the Effective Date of this Agreement, including, without limitation:</w:t>
      </w:r>
    </w:p>
    <w:p>
      <w:pPr>
        <w:pStyle w:val="TextBody"/>
        <w:bidi w:val="0"/>
        <w:spacing w:before="1" w:after="283"/>
        <w:jc w:val="both"/>
        <w:rPr>
          <w:rFonts w:ascii="Times New Roman" w:hAnsi="Times New Roman"/>
          <w:color w:val="000000"/>
          <w:sz w:val="22"/>
          <w:u w:val="single"/>
        </w:rPr>
      </w:pPr>
      <w:r>
        <w:rPr>
          <w:rFonts w:ascii="Times New Roman" w:hAnsi="Times New Roman"/>
          <w:color w:val="000000"/>
          <w:sz w:val="22"/>
          <w:u w:val="single"/>
        </w:rPr>
        <w:t>a.</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any and all claims relating to or arising from Employee’s employment relationship with the Company and the termination of that relationship;</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b.</w:t>
      </w:r>
    </w:p>
    <w:p>
      <w:pPr>
        <w:pStyle w:val="TextBody"/>
        <w:bidi w:val="0"/>
        <w:jc w:val="both"/>
        <w:rPr>
          <w:rFonts w:ascii="Times New Roman" w:hAnsi="Times New Roman"/>
          <w:color w:val="000000"/>
          <w:sz w:val="22"/>
        </w:rPr>
      </w:pPr>
      <w:r>
        <w:rPr>
          <w:rFonts w:ascii="Times New Roman" w:hAnsi="Times New Roman"/>
          <w:color w:val="000000"/>
          <w:sz w:val="22"/>
        </w:rPr>
        <w:t>any and all claims relating to, or arising from, Employee’s right to purchase, or actual purchase of shares of stock of the Company or AVITA Medical, Inc. or AVITA Medical Pty. Limited, including, without limitation, any claims for fraud, misrepresentation, breach of fiduciary duty, breach of duty under applicable state corporate law or under the laws of any other country, and securities fraud under any state or federal law or under the laws of any other country;</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c.</w:t>
      </w:r>
    </w:p>
    <w:p>
      <w:pPr>
        <w:pStyle w:val="TextBody"/>
        <w:bidi w:val="0"/>
        <w:jc w:val="both"/>
        <w:rPr>
          <w:rFonts w:ascii="Times New Roman" w:hAnsi="Times New Roman"/>
          <w:color w:val="000000"/>
          <w:sz w:val="22"/>
        </w:rPr>
      </w:pPr>
      <w:r>
        <w:rPr>
          <w:rFonts w:ascii="Times New Roman" w:hAnsi="Times New Roman"/>
          <w:color w:val="000000"/>
          <w:sz w:val="22"/>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d.</w:t>
      </w:r>
    </w:p>
    <w:p>
      <w:pPr>
        <w:pStyle w:val="TextBody"/>
        <w:bidi w:val="0"/>
        <w:jc w:val="both"/>
        <w:rPr>
          <w:rFonts w:ascii="Times New Roman" w:hAnsi="Times New Roman"/>
          <w:color w:val="000000"/>
          <w:sz w:val="22"/>
        </w:rPr>
      </w:pPr>
      <w:r>
        <w:rPr>
          <w:rFonts w:ascii="Times New Roman" w:hAnsi="Times New Roman"/>
          <w:color w:val="000000"/>
          <w:sz w:val="22"/>
        </w:rPr>
        <w:t>any and all claims for violation of any federal, state, or municipal statute or of any statute of any other country, including, but not limited to, Title VII of the Civil Rights Act of 1964, the Civil Rights Act of 1991, the Rehabilitation Act of 1973, the Americans with Disabilities Act of 1990, the Equal Pay Act, the Fair Labor Standards Act, the Fair Credit Reporting Act and similar state laws, the Age Discrimination in Employment Act of 1967, the Older Workers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Benefit Protection Act, the Employee Retirement Income Security Act of 1974, the Worker Adjustment and Retraining Notification Act, the Family and Medical Leave Act, the Sarbanes-Oxley Act of 2002, the Immigration Reform and Control Act, the California Family Rights Act, the California Labor Code, the California Workers’ Compensation Act, the California Fair Employment and Housing Act and the Corporations Act 2001 (Cth);</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and all claims for violation of the federal or any state constitution;</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f.</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and all claims arising out of any other laws and regulations of any country relating to employment or employment discrimination;</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g.</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and all claims arising out of any laws and regulations relating in any way to employment, or the holding of any office (including any directorship) related to employment, under the Australian Commonwealth or any Australian State or Territory jurisdiction;</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h.</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claim for any loss, cost, damage, or expense arising out of any dispute over the nonwithholding or other tax treatment of any of the proceeds received by Employee as a result of this Agreement; and</w:t>
      </w:r>
    </w:p>
    <w:p>
      <w:pPr>
        <w:pStyle w:val="TextBody"/>
        <w:bidi w:val="0"/>
        <w:spacing w:before="120" w:after="283"/>
        <w:jc w:val="left"/>
        <w:rPr>
          <w:rFonts w:ascii="Times New Roman" w:hAnsi="Times New Roman"/>
          <w:color w:val="000000"/>
          <w:sz w:val="22"/>
          <w:u w:val="single"/>
        </w:rPr>
      </w:pPr>
      <w:r>
        <w:rPr>
          <w:rFonts w:ascii="Times New Roman" w:hAnsi="Times New Roman"/>
          <w:color w:val="000000"/>
          <w:sz w:val="22"/>
          <w:u w:val="single"/>
        </w:rPr>
        <w:t>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and all claims for attorneys’ fees and costs.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Employee agrees that the release set forth in this section shall be in effect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Employee may have to unemployment compensation benefits or workers’ compensation benefits. Employee represents that Employee has made no assignment or transfer of any right, claim, complaint, charge, duty, obligation, demand, cause of action, or other matter waived or released by this Section.</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5.</w:t>
      </w:r>
    </w:p>
    <w:p>
      <w:pPr>
        <w:pStyle w:val="TextBody"/>
        <w:bidi w:val="0"/>
        <w:spacing w:before="120" w:after="283"/>
        <w:jc w:val="both"/>
        <w:rPr/>
      </w:pPr>
      <w:r>
        <w:rPr>
          <w:rFonts w:ascii="Times New Roman" w:hAnsi="Times New Roman"/>
          <w:color w:val="000000"/>
          <w:sz w:val="22"/>
          <w:u w:val="single"/>
        </w:rPr>
        <w:t>Acknowledgment of Waiver of Claims under ADEA</w:t>
      </w:r>
      <w:r>
        <w:rPr>
          <w:rFonts w:ascii="Times New Roman" w:hAnsi="Times New Roman"/>
          <w:color w:val="000000"/>
          <w:sz w:val="22"/>
        </w:rPr>
        <w:t xml:space="preserve">. Employee acknowledges that Employee is waiving and releasing any rights Employee may have under the Age Discrimination in Employment Act of 1967 ("ADEA") against the Releasees, and any and all damages and disputes that have arisen prior to the Effective Date of this Agreement, except as expressly stated herein, and that this waiver and release is knowing and voluntary. Employee agrees that this waiver and release does not apply to any rights or claims that may arise under the ADEA after the date Employee signs this Agreement. Employee acknowledges that the consideration given for this waiver and release is in addition to anything of value to which Employee was already entitled. Employee further acknowledges that Employee has been advised by this writing that: (a) Employee should consult with an attorney of his own choosing regarding this Agreement and its effects </w:t>
      </w:r>
      <w:r>
        <w:rPr>
          <w:rFonts w:ascii="Times New Roman" w:hAnsi="Times New Roman"/>
          <w:color w:val="000000"/>
          <w:sz w:val="22"/>
          <w:u w:val="single"/>
        </w:rPr>
        <w:t>prior</w:t>
      </w:r>
      <w:r>
        <w:rPr>
          <w:color w:val="000000"/>
        </w:rPr>
        <w:t xml:space="preserve"> </w:t>
      </w:r>
      <w:r>
        <w:rPr>
          <w:rFonts w:ascii="Times New Roman" w:hAnsi="Times New Roman"/>
          <w:color w:val="000000"/>
          <w:sz w:val="22"/>
        </w:rPr>
        <w:t>to executing this Agreement and he acknowledges and represents that he has done so, or has knowingly and voluntarily waived the right to do so; (b) Employee has twenty-one (21) days within which to consider this Agreement; (c) Employee has seven (7) days following Employee’s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21-day period identified above, Employee hereby acknowledges that Employee has freely and voluntarily chosen to waive the time period allotted for considering this Agreement. Employee acknowledges and understands that revocation must be accomplished by a written notification to the undersigned Company representative that is received prior to the Effective Date. The Parties agree that changes, whether material or immaterial, do not restart the running of the 21-day period.</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6.</w:t>
      </w:r>
    </w:p>
    <w:p>
      <w:pPr>
        <w:pStyle w:val="TextBody"/>
        <w:bidi w:val="0"/>
        <w:spacing w:before="120" w:after="283"/>
        <w:jc w:val="both"/>
        <w:rPr/>
      </w:pPr>
      <w:r>
        <w:rPr>
          <w:rFonts w:ascii="Times New Roman" w:hAnsi="Times New Roman"/>
          <w:color w:val="000000"/>
          <w:sz w:val="22"/>
          <w:u w:val="single"/>
        </w:rPr>
        <w:t>California Civil Code Section 1542</w:t>
      </w:r>
      <w:r>
        <w:rPr>
          <w:rFonts w:ascii="Times New Roman" w:hAnsi="Times New Roman"/>
          <w:color w:val="000000"/>
          <w:sz w:val="22"/>
        </w:rPr>
        <w:t>. Employee acknowledges that Employee has been advised to consult with legal counsel and is familiar with the provisions of California Civil Code Section 1542, a statute that otherwise prohibits the release of unknown claims, which provides as follows: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HAVE MATERIALLY AFFECTED HIS OR HER SETTLEMENT WITH THE DEBTOR OR RELEASED PARTY.</w:t>
      </w:r>
    </w:p>
    <w:p>
      <w:pPr>
        <w:pStyle w:val="TextBody"/>
        <w:bidi w:val="0"/>
        <w:spacing w:before="253" w:after="283"/>
        <w:jc w:val="left"/>
        <w:rPr>
          <w:rFonts w:ascii="Times New Roman" w:hAnsi="Times New Roman"/>
          <w:color w:val="000000"/>
          <w:sz w:val="22"/>
        </w:rPr>
      </w:pPr>
      <w:r>
        <w:rPr>
          <w:rFonts w:ascii="Times New Roman" w:hAnsi="Times New Roman"/>
          <w:color w:val="000000"/>
          <w:sz w:val="22"/>
        </w:rPr>
        <w:t>Employee, being aware of said code section, agrees to expressly waive any rights Employee may have thereunder, as well as under any other statute or common law principles of similar effect.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7.</w:t>
      </w:r>
    </w:p>
    <w:p>
      <w:pPr>
        <w:pStyle w:val="TextBody"/>
        <w:bidi w:val="0"/>
        <w:spacing w:before="120" w:after="283"/>
        <w:jc w:val="both"/>
        <w:rPr/>
      </w:pPr>
      <w:r>
        <w:rPr>
          <w:rFonts w:ascii="Times New Roman" w:hAnsi="Times New Roman"/>
          <w:color w:val="000000"/>
          <w:sz w:val="22"/>
          <w:u w:val="single"/>
        </w:rPr>
        <w:t>Return of Company Equipment</w:t>
      </w:r>
      <w:r>
        <w:rPr>
          <w:rFonts w:ascii="Times New Roman" w:hAnsi="Times New Roman"/>
          <w:color w:val="000000"/>
          <w:sz w:val="22"/>
        </w:rPr>
        <w:t>. Upon execution of the Agreement, Employee will deliver to the Company any Company equipment as well as all drawings, notes, memoranda, specifications, devices, formulas and documents, together with all copies thereof, and any other material containing or disclosing any Company inventions or confidential information of the Company. Employee agrees that Employee will not copy, delete, or alter any information contained upon Employee’s Company computer or Company equipment before Employee returns it to the Company. In addition, if Employee has used any personal computer, server, or e-mail system to receive, store, review, prepare or transmit any Company information, including but not limited to, confidential information, Employee agrees to provide the Company with a computer-useable copy of all such Confidential Information or permanently delete and expunge such confidential information from those systems; and Employee agrees to provide the Company access to Employee’s system as reasonably requested to verify that the necessary copying and/or deletion is completed.</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8.</w:t>
      </w:r>
    </w:p>
    <w:p>
      <w:pPr>
        <w:pStyle w:val="TextBody"/>
        <w:bidi w:val="0"/>
        <w:spacing w:before="120" w:after="283"/>
        <w:jc w:val="both"/>
        <w:rPr/>
      </w:pPr>
      <w:r>
        <w:rPr>
          <w:rFonts w:ascii="Times New Roman" w:hAnsi="Times New Roman"/>
          <w:color w:val="000000"/>
          <w:sz w:val="22"/>
          <w:u w:val="single"/>
        </w:rPr>
        <w:t>No Pending or Future Lawsuits</w:t>
      </w:r>
      <w:r>
        <w:rPr>
          <w:rFonts w:ascii="Times New Roman" w:hAnsi="Times New Roman"/>
          <w:color w:val="000000"/>
          <w:sz w:val="22"/>
        </w:rPr>
        <w:t>. Employee represents and warrants that Employee is the sole owner of all claims released in this Agreement, and that Employee has not assigned, transferred, or otherwise disposed of Employee’s right or interest in those matters. Employee has no lawsuits, claims, or actions pending in Employee’s name, on Employee’s behalf,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 Employee agrees to immediately cause the withdrawal or dismissal with prejudice of any such lawsuit, if filed by Employee or anyone acting on Employee’s behalf.</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9.</w:t>
      </w:r>
    </w:p>
    <w:p>
      <w:pPr>
        <w:pStyle w:val="TextBody"/>
        <w:bidi w:val="0"/>
        <w:spacing w:before="120" w:after="283"/>
        <w:jc w:val="both"/>
        <w:rPr/>
      </w:pPr>
      <w:r>
        <w:rPr>
          <w:rFonts w:ascii="Times New Roman" w:hAnsi="Times New Roman"/>
          <w:color w:val="000000"/>
          <w:sz w:val="22"/>
          <w:u w:val="single"/>
        </w:rPr>
        <w:t>Confidentiality</w:t>
      </w:r>
      <w:r>
        <w:rPr>
          <w:rFonts w:ascii="Times New Roman" w:hAnsi="Times New Roman"/>
          <w:color w:val="000000"/>
          <w:sz w:val="22"/>
        </w:rPr>
        <w:t>. Employee agrees to maintain in complete confidence the existence of this Agreement, the contents and terms of this Agreement, and the consideration for this Agreement (hereinafter collectively referred to as “Separation Information”). Except as required by law, Employee may disclose Separation Information only to Employee’s immediate family members, the Court in any proceedings to enforce the terms of this Agreement, Employee’s counsel, and Employee’s accountant and any professional tax advisor to the extent that they need to know the Separation Information in order to provide advice on tax treatment or to prepare tax returns, and must prevent disclosure of any Separation Information to all other third parties. Employee agrees that Employee will not publicize, directly or indirectly, any Separation Information.</w:t>
      </w:r>
    </w:p>
    <w:p>
      <w:pPr>
        <w:pStyle w:val="TextBody"/>
        <w:bidi w:val="0"/>
        <w:jc w:val="left"/>
        <w:rPr>
          <w:rFonts w:ascii="Times New Roman" w:hAnsi="Times New Roman"/>
          <w:color w:val="000000"/>
          <w:sz w:val="22"/>
        </w:rPr>
      </w:pPr>
      <w:r>
        <w:rPr>
          <w:rFonts w:ascii="Times New Roman" w:hAnsi="Times New Roman"/>
          <w:color w:val="000000"/>
          <w:sz w:val="22"/>
        </w:rPr>
        <w:t>The Parties agree that Company is permitted to disclose the Separation Information to its Board of Directors, officers and managers, investors, and as required by applicable law, including without limitation, requirements imposed upon public companies for disclosure of agreements and Separation Information.</w:t>
      </w:r>
    </w:p>
    <w:p>
      <w:pPr>
        <w:pStyle w:val="TextBody"/>
        <w:bidi w:val="0"/>
        <w:spacing w:before="252" w:after="283"/>
        <w:jc w:val="both"/>
        <w:rPr>
          <w:rFonts w:ascii="Times New Roman" w:hAnsi="Times New Roman"/>
          <w:color w:val="000000"/>
          <w:sz w:val="22"/>
          <w:u w:val="single"/>
        </w:rPr>
      </w:pPr>
      <w:r>
        <w:rPr>
          <w:rFonts w:ascii="Times New Roman" w:hAnsi="Times New Roman"/>
          <w:color w:val="000000"/>
          <w:sz w:val="22"/>
          <w:u w:val="single"/>
        </w:rPr>
        <w:t>10.</w:t>
      </w:r>
    </w:p>
    <w:p>
      <w:pPr>
        <w:pStyle w:val="TextBody"/>
        <w:bidi w:val="0"/>
        <w:spacing w:before="252" w:after="283"/>
        <w:jc w:val="both"/>
        <w:rPr/>
      </w:pPr>
      <w:r>
        <w:rPr>
          <w:rFonts w:ascii="Times New Roman" w:hAnsi="Times New Roman"/>
          <w:color w:val="000000"/>
          <w:sz w:val="22"/>
          <w:u w:val="single"/>
        </w:rPr>
        <w:t>No Third Party Cooperation</w:t>
      </w:r>
      <w:r>
        <w:rPr>
          <w:rFonts w:ascii="Times New Roman" w:hAnsi="Times New Roman"/>
          <w:color w:val="000000"/>
          <w:sz w:val="22"/>
        </w:rPr>
        <w:t>. Employee agrees that Employee will not knowingly encourage, counsel, or assist any attorneys or their clients in the presentation or prosecution of any disputes, differences, grievances, claims, charges, or complaints by any third party against any of the Releasees, unless complying with applicable law, under a subpoena, in connection with any investigation or proceeding conducted by a Government Agency or other court order to do so or as related directly to the ADEA waiver in this Agreement. Employee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11.</w:t>
      </w:r>
    </w:p>
    <w:p>
      <w:pPr>
        <w:pStyle w:val="TextBody"/>
        <w:bidi w:val="0"/>
        <w:jc w:val="both"/>
        <w:rPr/>
      </w:pPr>
      <w:r>
        <w:rPr>
          <w:rFonts w:ascii="Times New Roman" w:hAnsi="Times New Roman"/>
          <w:color w:val="000000"/>
          <w:sz w:val="22"/>
          <w:u w:val="single"/>
        </w:rPr>
        <w:t>Cooperation with the Company</w:t>
      </w:r>
      <w:r>
        <w:rPr>
          <w:rFonts w:ascii="Times New Roman" w:hAnsi="Times New Roman"/>
          <w:color w:val="000000"/>
          <w:sz w:val="22"/>
        </w:rPr>
        <w:t>. Employee agrees that Employee will assist and cooperate with the Company in connection with the defense or prosecution of any claim that may be made against or by the Company or any Releasees, or in connection with any ongoing or future investigation or dispute or claim of any kind involving the Company, including meeting with the Company’s counsel, any proceeding before any arbitral, administrative, judicial, legislative, or other body or agency, including testifying in any proceeding to the extent such claims, investigations or proceedings relate to services performed or required to be performed by Employee, pertinent knowledge possessed by Employee, or any act</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or omission by Employee. Employee further agrees to perform all acts and execute and deliver any documents that may be reasonably necessary to carry out the provisions of this paragraph.</w:t>
      </w:r>
    </w:p>
    <w:p>
      <w:pPr>
        <w:pStyle w:val="TextBody"/>
        <w:bidi w:val="0"/>
        <w:spacing w:before="252" w:after="283"/>
        <w:jc w:val="both"/>
        <w:rPr>
          <w:rFonts w:ascii="Times New Roman" w:hAnsi="Times New Roman"/>
          <w:color w:val="000000"/>
          <w:sz w:val="22"/>
          <w:u w:val="single"/>
        </w:rPr>
      </w:pPr>
      <w:r>
        <w:rPr>
          <w:rFonts w:ascii="Times New Roman" w:hAnsi="Times New Roman"/>
          <w:color w:val="000000"/>
          <w:sz w:val="22"/>
          <w:u w:val="single"/>
        </w:rPr>
        <w:t>12.</w:t>
      </w:r>
    </w:p>
    <w:p>
      <w:pPr>
        <w:pStyle w:val="TextBody"/>
        <w:bidi w:val="0"/>
        <w:spacing w:before="252" w:after="283"/>
        <w:jc w:val="both"/>
        <w:rPr/>
      </w:pPr>
      <w:r>
        <w:rPr>
          <w:rFonts w:ascii="Times New Roman" w:hAnsi="Times New Roman"/>
          <w:color w:val="000000"/>
          <w:sz w:val="22"/>
          <w:u w:val="single"/>
        </w:rPr>
        <w:t>Communications</w:t>
      </w:r>
      <w:r>
        <w:rPr>
          <w:rFonts w:ascii="Times New Roman" w:hAnsi="Times New Roman"/>
          <w:color w:val="000000"/>
          <w:sz w:val="22"/>
        </w:rPr>
        <w:t>. Employee agrees to refrain from any disparagement, defamation, libel, or slander of any of the Releasees, and agrees to refrain from any tortious interference with the contracts and relationships of any of the Releasees, including, but not limited to, anonymous or named reviews, tweets, posts, or other comments published on the Internet. Employee affirms that Employee has not disparaged the Company from the Termination Date through the date Employee signs this Agreement. Subject to Section 18 below, Employee furthers agrees that, by no later than the Effective Date, Employee shall delete or otherwise remove any and all disparaging public comments or statements that Employee made prior to the Effective Date about or relating to the Company, including, but not limited to, comments in online forums or on websites (including, but not limited to, Facebook, Glassdoor, Yelp, and LinkedIn). Employee shall direct any inquiries by potential future employers to the Company’s human resources department, which shall use its best efforts to provide only the Employee’s last position and dates of employment. Employee agrees to revise and update publicly available information, including professional and social networking websites such as LinkedIn and Facebook, within one (1) week of the Effective Date to remove any indication that Employee is employed by the Company. Employee’s violation of this provision shall be a material breach of this Agreement.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13.</w:t>
      </w:r>
    </w:p>
    <w:p>
      <w:pPr>
        <w:pStyle w:val="TextBody"/>
        <w:bidi w:val="0"/>
        <w:spacing w:before="0" w:after="0"/>
        <w:jc w:val="both"/>
        <w:rPr/>
      </w:pPr>
      <w:r>
        <w:rPr>
          <w:rFonts w:ascii="Times New Roman" w:hAnsi="Times New Roman"/>
          <w:color w:val="000000"/>
          <w:sz w:val="22"/>
          <w:u w:val="single"/>
        </w:rPr>
        <w:t>Breach</w:t>
      </w:r>
      <w:r>
        <w:rPr>
          <w:rFonts w:ascii="Times New Roman" w:hAnsi="Times New Roman"/>
          <w:color w:val="000000"/>
          <w:sz w:val="22"/>
        </w:rPr>
        <w:t xml:space="preserve">.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shall entitle the Company immediately to recover and/or cease providing the consideration provided to Employee under this Agreement and to obtain damages, except as provided by law,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Company shall not recover One Hundred Dollars ($100.00) of the consideration already paid pursuant to this Agreement and such amount shall serve as full and complete consideration for the promises and obligations assumed by Employee under this Agreement.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14.</w:t>
      </w:r>
    </w:p>
    <w:p>
      <w:pPr>
        <w:pStyle w:val="TextBody"/>
        <w:bidi w:val="0"/>
        <w:spacing w:before="120" w:after="283"/>
        <w:jc w:val="both"/>
        <w:rPr/>
      </w:pPr>
      <w:r>
        <w:rPr>
          <w:rFonts w:ascii="Times New Roman" w:hAnsi="Times New Roman"/>
          <w:color w:val="000000"/>
          <w:sz w:val="22"/>
          <w:u w:val="single"/>
        </w:rPr>
        <w:t>No Admission of Liability</w:t>
      </w:r>
      <w:r>
        <w:rPr>
          <w:rFonts w:ascii="Times New Roman" w:hAnsi="Times New Roman"/>
          <w:color w:val="000000"/>
          <w:sz w:val="22"/>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15.</w:t>
      </w:r>
    </w:p>
    <w:p>
      <w:pPr>
        <w:pStyle w:val="TextBody"/>
        <w:bidi w:val="0"/>
        <w:spacing w:before="120" w:after="283"/>
        <w:jc w:val="both"/>
        <w:rPr/>
      </w:pPr>
      <w:r>
        <w:rPr>
          <w:rFonts w:ascii="Times New Roman" w:hAnsi="Times New Roman"/>
          <w:color w:val="000000"/>
          <w:sz w:val="22"/>
          <w:u w:val="single"/>
        </w:rPr>
        <w:t>Costs</w:t>
      </w:r>
      <w:r>
        <w:rPr>
          <w:rFonts w:ascii="Times New Roman" w:hAnsi="Times New Roman"/>
          <w:color w:val="000000"/>
          <w:sz w:val="22"/>
        </w:rPr>
        <w:t>. The Parties shall each bear their own costs, attorneys’ fees, and other fees incurred in connection with the preparation of this Agreement.</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16.</w:t>
      </w:r>
    </w:p>
    <w:p>
      <w:pPr>
        <w:pStyle w:val="TextBody"/>
        <w:bidi w:val="0"/>
        <w:spacing w:before="120" w:after="283"/>
        <w:jc w:val="both"/>
        <w:rPr/>
      </w:pPr>
      <w:r>
        <w:rPr>
          <w:rFonts w:ascii="Times New Roman" w:hAnsi="Times New Roman"/>
          <w:color w:val="000000"/>
          <w:sz w:val="22"/>
          <w:u w:val="single"/>
        </w:rPr>
        <w:t>ARBITRATION</w:t>
      </w:r>
      <w:r>
        <w:rPr>
          <w:rFonts w:ascii="Times New Roman" w:hAnsi="Times New Roman"/>
          <w:color w:val="000000"/>
          <w:sz w:val="22"/>
        </w:rPr>
        <w:t>. THE PARTIES AGREE THAT ANY AND ALL DISPUTES, CLAIMS, OR CONTROVERSIES OF ANY NATURE WHATSOEVER ARISING FROM, OR RELATING TO, THIS AGREEMENT OR ITS INTERPRETATION, ENFORCEMENT, BREACH, PERFORMANCE OR EXECUTION, EMPLOYEE’S EMPLOYMENT OR THE TERMINATION OF SUCH EMPLOYMENT (INCLUDING, BUT NOT LIMITED TO, ANY STATUTORY CLAIMS) (COLLECTIVELY, “</w:t>
      </w:r>
      <w:r>
        <w:rPr>
          <w:rFonts w:ascii="Times New Roman" w:hAnsi="Times New Roman"/>
          <w:b/>
          <w:i/>
          <w:color w:val="000000"/>
          <w:sz w:val="22"/>
        </w:rPr>
        <w:t>CLAIMS</w:t>
      </w:r>
      <w:r>
        <w:rPr>
          <w:color w:val="000000"/>
        </w:rPr>
        <w:t>”</w:t>
      </w:r>
      <w:r>
        <w:rPr>
          <w:rFonts w:ascii="Times New Roman" w:hAnsi="Times New Roman"/>
          <w:color w:val="000000"/>
          <w:sz w:val="22"/>
        </w:rPr>
        <w:t>, EACH A “</w:t>
      </w:r>
      <w:r>
        <w:rPr>
          <w:rFonts w:ascii="Times New Roman" w:hAnsi="Times New Roman"/>
          <w:b/>
          <w:i/>
          <w:color w:val="000000"/>
          <w:sz w:val="22"/>
        </w:rPr>
        <w:t>CLAIM</w:t>
      </w:r>
      <w:r>
        <w:rPr>
          <w:color w:val="000000"/>
        </w:rPr>
        <w:t>”</w:t>
      </w:r>
      <w:r>
        <w:rPr>
          <w:rFonts w:ascii="Times New Roman" w:hAnsi="Times New Roman"/>
          <w:color w:val="000000"/>
          <w:sz w:val="22"/>
        </w:rPr>
        <w:t>), SHALL BE RESOLVED, PURSUANT TO THE FEDERAL ARBITRATION ACT, 9 U.S.C. §1-16, AND TO THE FULLEST EXTENT PERMITTED BY LAW, BY FINAL, BINDING AND CONFIDENTIAL ARBITRATION IN LOS ANGELES, CALIFORNIA (OR ANOTHER MUTUALLY ACCEPTABLE LOCATION) CONDUCTED BEFORE A SINGLE NEUTRAL ARBITRATOR BY JAMS, INC. (“</w:t>
      </w:r>
      <w:r>
        <w:rPr>
          <w:rFonts w:ascii="Times New Roman" w:hAnsi="Times New Roman"/>
          <w:b/>
          <w:i/>
          <w:color w:val="000000"/>
          <w:sz w:val="22"/>
        </w:rPr>
        <w:t>JAMS</w:t>
      </w:r>
      <w:r>
        <w:rPr>
          <w:color w:val="000000"/>
        </w:rPr>
        <w:t>”</w:t>
      </w:r>
      <w:r>
        <w:rPr>
          <w:rFonts w:ascii="Times New Roman" w:hAnsi="Times New Roman"/>
          <w:color w:val="000000"/>
          <w:sz w:val="22"/>
        </w:rPr>
        <w:t xml:space="preserve">) OR ITS SUCCESSOR, UNDER THE THEN APPLICABLE JAMS ARBITRATION RULES AND PROCEDURES FOR EMPLOYMENT DISPUTES (AVAILABLE AT </w:t>
      </w:r>
      <w:r>
        <w:rPr>
          <w:rFonts w:ascii="Times New Roman" w:hAnsi="Times New Roman"/>
          <w:sz w:val="22"/>
        </w:rPr>
        <w:t>HTTP://WWW.JAMSADR.COM/RULES-</w:t>
      </w:r>
      <w:r>
        <w:rPr>
          <w:color w:val="000000"/>
        </w:rPr>
        <w:t xml:space="preserve"> </w:t>
      </w:r>
      <w:r>
        <w:rPr>
          <w:rFonts w:ascii="Times New Roman" w:hAnsi="Times New Roman"/>
          <w:color w:val="000000"/>
          <w:sz w:val="22"/>
          <w:u w:val="single"/>
        </w:rPr>
        <w:t>EMPLOYMENT-ARBITRATION/</w:t>
      </w:r>
      <w:r>
        <w:rPr>
          <w:rFonts w:ascii="Times New Roman" w:hAnsi="Times New Roman"/>
          <w:color w:val="000000"/>
          <w:sz w:val="22"/>
        </w:rPr>
        <w:t xml:space="preserve">). </w:t>
      </w:r>
      <w:r>
        <w:rPr>
          <w:rFonts w:ascii="Times New Roman" w:hAnsi="Times New Roman"/>
          <w:b/>
          <w:color w:val="000000"/>
          <w:sz w:val="22"/>
        </w:rPr>
        <w:t>BY</w:t>
      </w:r>
      <w:r>
        <w:rPr>
          <w:color w:val="000000"/>
        </w:rPr>
        <w:t xml:space="preserve"> </w:t>
      </w:r>
      <w:r>
        <w:rPr>
          <w:rFonts w:ascii="Times New Roman" w:hAnsi="Times New Roman"/>
          <w:b/>
          <w:color w:val="000000"/>
          <w:sz w:val="22"/>
        </w:rPr>
        <w:t>AGREEING</w:t>
      </w:r>
      <w:r>
        <w:rPr>
          <w:color w:val="000000"/>
        </w:rPr>
        <w:t xml:space="preserve"> </w:t>
      </w:r>
      <w:r>
        <w:rPr>
          <w:rFonts w:ascii="Times New Roman" w:hAnsi="Times New Roman"/>
          <w:b/>
          <w:color w:val="000000"/>
          <w:sz w:val="22"/>
        </w:rPr>
        <w:t>TO</w:t>
      </w:r>
      <w:r>
        <w:rPr>
          <w:color w:val="000000"/>
        </w:rPr>
        <w:t xml:space="preserve"> </w:t>
      </w:r>
      <w:r>
        <w:rPr>
          <w:rFonts w:ascii="Times New Roman" w:hAnsi="Times New Roman"/>
          <w:b/>
          <w:color w:val="000000"/>
          <w:sz w:val="22"/>
        </w:rPr>
        <w:t>THIS</w:t>
      </w:r>
      <w:r>
        <w:rPr>
          <w:color w:val="000000"/>
        </w:rPr>
        <w:t xml:space="preserve"> </w:t>
      </w:r>
      <w:r>
        <w:rPr>
          <w:rFonts w:ascii="Times New Roman" w:hAnsi="Times New Roman"/>
          <w:b/>
          <w:color w:val="000000"/>
          <w:sz w:val="22"/>
        </w:rPr>
        <w:t>ARBITRATION</w:t>
      </w:r>
      <w:r>
        <w:rPr>
          <w:color w:val="000000"/>
        </w:rPr>
        <w:t xml:space="preserve"> </w:t>
      </w:r>
      <w:r>
        <w:rPr>
          <w:rFonts w:ascii="Times New Roman" w:hAnsi="Times New Roman"/>
          <w:b/>
          <w:color w:val="000000"/>
          <w:sz w:val="22"/>
        </w:rPr>
        <w:t>PROCEDURE,</w:t>
      </w:r>
      <w:r>
        <w:rPr>
          <w:color w:val="000000"/>
        </w:rPr>
        <w:t xml:space="preserve"> </w:t>
      </w:r>
      <w:r>
        <w:rPr>
          <w:rFonts w:ascii="Times New Roman" w:hAnsi="Times New Roman"/>
          <w:b/>
          <w:color w:val="000000"/>
          <w:sz w:val="22"/>
        </w:rPr>
        <w:t>BOTH</w:t>
      </w:r>
      <w:r>
        <w:rPr>
          <w:color w:val="000000"/>
        </w:rPr>
        <w:t xml:space="preserve"> </w:t>
      </w:r>
      <w:r>
        <w:rPr>
          <w:rFonts w:ascii="Times New Roman" w:hAnsi="Times New Roman"/>
          <w:b/>
          <w:color w:val="000000"/>
          <w:sz w:val="22"/>
        </w:rPr>
        <w:t>EMPLOYEE</w:t>
      </w:r>
      <w:r>
        <w:rPr>
          <w:color w:val="000000"/>
        </w:rPr>
        <w:t xml:space="preserve"> </w:t>
      </w:r>
      <w:r>
        <w:rPr>
          <w:rFonts w:ascii="Times New Roman" w:hAnsi="Times New Roman"/>
          <w:b/>
          <w:color w:val="000000"/>
          <w:sz w:val="22"/>
        </w:rPr>
        <w:t>AND</w:t>
      </w:r>
      <w:r>
        <w:rPr>
          <w:color w:val="000000"/>
        </w:rPr>
        <w:t xml:space="preserve"> </w:t>
      </w:r>
      <w:r>
        <w:rPr>
          <w:rFonts w:ascii="Times New Roman" w:hAnsi="Times New Roman"/>
          <w:b/>
          <w:color w:val="000000"/>
          <w:sz w:val="22"/>
        </w:rPr>
        <w:t>THE</w:t>
      </w:r>
      <w:r>
        <w:rPr>
          <w:color w:val="000000"/>
        </w:rPr>
        <w:t xml:space="preserve"> </w:t>
      </w:r>
      <w:r>
        <w:rPr>
          <w:rFonts w:ascii="Times New Roman" w:hAnsi="Times New Roman"/>
          <w:b/>
          <w:color w:val="000000"/>
          <w:sz w:val="22"/>
        </w:rPr>
        <w:t>COMPANY</w:t>
      </w:r>
      <w:r>
        <w:rPr>
          <w:color w:val="000000"/>
        </w:rPr>
        <w:t xml:space="preserve"> </w:t>
      </w:r>
      <w:r>
        <w:rPr>
          <w:rFonts w:ascii="Times New Roman" w:hAnsi="Times New Roman"/>
          <w:b/>
          <w:color w:val="000000"/>
          <w:sz w:val="22"/>
        </w:rPr>
        <w:t>WAIVE</w:t>
      </w:r>
      <w:r>
        <w:rPr>
          <w:color w:val="000000"/>
        </w:rPr>
        <w:t xml:space="preserve"> </w:t>
      </w:r>
      <w:r>
        <w:rPr>
          <w:rFonts w:ascii="Times New Roman" w:hAnsi="Times New Roman"/>
          <w:b/>
          <w:color w:val="000000"/>
          <w:sz w:val="22"/>
        </w:rPr>
        <w:t>THE</w:t>
      </w:r>
      <w:r>
        <w:rPr>
          <w:color w:val="000000"/>
        </w:rPr>
        <w:t xml:space="preserve"> </w:t>
      </w:r>
      <w:r>
        <w:rPr>
          <w:rFonts w:ascii="Times New Roman" w:hAnsi="Times New Roman"/>
          <w:b/>
          <w:color w:val="000000"/>
          <w:sz w:val="22"/>
        </w:rPr>
        <w:t>RIGHT</w:t>
      </w:r>
      <w:r>
        <w:rPr>
          <w:color w:val="000000"/>
        </w:rPr>
        <w:t xml:space="preserve"> </w:t>
      </w:r>
      <w:r>
        <w:rPr>
          <w:rFonts w:ascii="Times New Roman" w:hAnsi="Times New Roman"/>
          <w:b/>
          <w:color w:val="000000"/>
          <w:sz w:val="22"/>
        </w:rPr>
        <w:t>TO</w:t>
      </w:r>
      <w:r>
        <w:rPr>
          <w:color w:val="000000"/>
        </w:rPr>
        <w:t xml:space="preserve"> </w:t>
      </w:r>
      <w:r>
        <w:rPr>
          <w:rFonts w:ascii="Times New Roman" w:hAnsi="Times New Roman"/>
          <w:b/>
          <w:color w:val="000000"/>
          <w:sz w:val="22"/>
        </w:rPr>
        <w:t>HAVE</w:t>
      </w:r>
      <w:r>
        <w:rPr>
          <w:color w:val="000000"/>
        </w:rPr>
        <w:t xml:space="preserve"> </w:t>
      </w:r>
      <w:r>
        <w:rPr>
          <w:rFonts w:ascii="Times New Roman" w:hAnsi="Times New Roman"/>
          <w:b/>
          <w:color w:val="000000"/>
          <w:sz w:val="22"/>
        </w:rPr>
        <w:t>ANY</w:t>
      </w:r>
      <w:r>
        <w:rPr>
          <w:color w:val="000000"/>
        </w:rPr>
        <w:t xml:space="preserve"> </w:t>
      </w:r>
      <w:r>
        <w:rPr>
          <w:rFonts w:ascii="Times New Roman" w:hAnsi="Times New Roman"/>
          <w:b/>
          <w:color w:val="000000"/>
          <w:sz w:val="22"/>
        </w:rPr>
        <w:t>CLAIM</w:t>
      </w:r>
      <w:r>
        <w:rPr>
          <w:color w:val="000000"/>
        </w:rPr>
        <w:t xml:space="preserve"> </w:t>
      </w:r>
      <w:r>
        <w:rPr>
          <w:rFonts w:ascii="Times New Roman" w:hAnsi="Times New Roman"/>
          <w:b/>
          <w:color w:val="000000"/>
          <w:sz w:val="22"/>
        </w:rPr>
        <w:t>RESOLVED</w:t>
      </w:r>
      <w:r>
        <w:rPr>
          <w:color w:val="000000"/>
        </w:rPr>
        <w:t xml:space="preserve"> </w:t>
      </w:r>
      <w:r>
        <w:rPr>
          <w:rFonts w:ascii="Times New Roman" w:hAnsi="Times New Roman"/>
          <w:b/>
          <w:color w:val="000000"/>
          <w:sz w:val="22"/>
        </w:rPr>
        <w:t>THROUGH</w:t>
      </w:r>
      <w:r>
        <w:rPr>
          <w:color w:val="000000"/>
        </w:rPr>
        <w:t xml:space="preserve"> </w:t>
      </w:r>
      <w:r>
        <w:rPr>
          <w:rFonts w:ascii="Times New Roman" w:hAnsi="Times New Roman"/>
          <w:b/>
          <w:color w:val="000000"/>
          <w:sz w:val="22"/>
        </w:rPr>
        <w:t>A</w:t>
      </w:r>
      <w:r>
        <w:rPr>
          <w:color w:val="000000"/>
        </w:rPr>
        <w:t xml:space="preserve"> </w:t>
      </w:r>
      <w:r>
        <w:rPr>
          <w:rFonts w:ascii="Times New Roman" w:hAnsi="Times New Roman"/>
          <w:b/>
          <w:color w:val="000000"/>
          <w:sz w:val="22"/>
        </w:rPr>
        <w:t>TRIAL</w:t>
      </w:r>
      <w:r>
        <w:rPr>
          <w:color w:val="000000"/>
        </w:rPr>
        <w:t xml:space="preserve"> </w:t>
      </w:r>
      <w:r>
        <w:rPr>
          <w:rFonts w:ascii="Times New Roman" w:hAnsi="Times New Roman"/>
          <w:b/>
          <w:color w:val="000000"/>
          <w:sz w:val="22"/>
        </w:rPr>
        <w:t>BY</w:t>
      </w:r>
      <w:r>
        <w:rPr>
          <w:color w:val="000000"/>
        </w:rPr>
        <w:t xml:space="preserve"> </w:t>
      </w:r>
      <w:r>
        <w:rPr>
          <w:rFonts w:ascii="Times New Roman" w:hAnsi="Times New Roman"/>
          <w:b/>
          <w:color w:val="000000"/>
          <w:sz w:val="22"/>
        </w:rPr>
        <w:t>JURY</w:t>
      </w:r>
      <w:r>
        <w:rPr>
          <w:color w:val="000000"/>
        </w:rPr>
        <w:t xml:space="preserve"> </w:t>
      </w:r>
      <w:r>
        <w:rPr>
          <w:rFonts w:ascii="Times New Roman" w:hAnsi="Times New Roman"/>
          <w:b/>
          <w:color w:val="000000"/>
          <w:sz w:val="22"/>
        </w:rPr>
        <w:t>OR</w:t>
      </w:r>
      <w:r>
        <w:rPr>
          <w:color w:val="000000"/>
        </w:rPr>
        <w:t xml:space="preserve"> </w:t>
      </w:r>
      <w:r>
        <w:rPr>
          <w:rFonts w:ascii="Times New Roman" w:hAnsi="Times New Roman"/>
          <w:b/>
          <w:color w:val="000000"/>
          <w:sz w:val="22"/>
        </w:rPr>
        <w:t>JUDGE</w:t>
      </w:r>
      <w:r>
        <w:rPr>
          <w:color w:val="000000"/>
        </w:rPr>
        <w:t xml:space="preserve"> </w:t>
      </w:r>
      <w:r>
        <w:rPr>
          <w:rFonts w:ascii="Times New Roman" w:hAnsi="Times New Roman"/>
          <w:b/>
          <w:color w:val="000000"/>
          <w:sz w:val="22"/>
        </w:rPr>
        <w:t>OR</w:t>
      </w:r>
      <w:r>
        <w:rPr>
          <w:color w:val="000000"/>
        </w:rPr>
        <w:t xml:space="preserve"> </w:t>
      </w:r>
      <w:r>
        <w:rPr>
          <w:rFonts w:ascii="Times New Roman" w:hAnsi="Times New Roman"/>
          <w:b/>
          <w:color w:val="000000"/>
          <w:sz w:val="22"/>
        </w:rPr>
        <w:t>AN</w:t>
      </w:r>
      <w:r>
        <w:rPr>
          <w:color w:val="000000"/>
        </w:rPr>
        <w:t xml:space="preserve"> </w:t>
      </w:r>
      <w:r>
        <w:rPr>
          <w:rFonts w:ascii="Times New Roman" w:hAnsi="Times New Roman"/>
          <w:b/>
          <w:color w:val="000000"/>
          <w:sz w:val="22"/>
        </w:rPr>
        <w:t>ADMINISTRATIVE</w:t>
      </w:r>
      <w:r>
        <w:rPr>
          <w:color w:val="000000"/>
        </w:rPr>
        <w:t xml:space="preserve"> </w:t>
      </w:r>
      <w:r>
        <w:rPr>
          <w:rFonts w:ascii="Times New Roman" w:hAnsi="Times New Roman"/>
          <w:b/>
          <w:color w:val="000000"/>
          <w:sz w:val="22"/>
        </w:rPr>
        <w:t>PROCEEDING.</w:t>
      </w:r>
      <w:r>
        <w:rPr>
          <w:color w:val="000000"/>
        </w:rPr>
        <w:t xml:space="preserve"> </w:t>
      </w:r>
      <w:r>
        <w:rPr>
          <w:rFonts w:ascii="Times New Roman" w:hAnsi="Times New Roman"/>
          <w:color w:val="000000"/>
          <w:sz w:val="22"/>
        </w:rPr>
        <w:t>EMPLOYEE WILL HAVE THE RIGHT TO BE REPRESENTED BY LEGAL COUNSEL AT ANY ARBITRATION PROCEEDING, AT EMPLOYEE’S OWN EXPENSE. THIS PARAGRAPH SHALL NOT APPLY TO ANY CLAIM THAT CANNOT BE SUBJECT TO MANDATORY ARBITRATION AS A MATTER OF LAW, AND THE APPLICABLE LAW(S) ARE NOT PREEMPTED BY THE FEDERAL ARBITRATION ACT OR OTHERWISE INVALID (COLLECTIVELY, THE “</w:t>
      </w:r>
      <w:r>
        <w:rPr>
          <w:rFonts w:ascii="Times New Roman" w:hAnsi="Times New Roman"/>
          <w:b/>
          <w:i/>
          <w:color w:val="000000"/>
          <w:sz w:val="22"/>
        </w:rPr>
        <w:t>EXCLUDED</w:t>
      </w:r>
      <w:r>
        <w:rPr>
          <w:color w:val="000000"/>
        </w:rPr>
        <w:t xml:space="preserve"> </w:t>
      </w:r>
      <w:r>
        <w:rPr>
          <w:rFonts w:ascii="Times New Roman" w:hAnsi="Times New Roman"/>
          <w:b/>
          <w:i/>
          <w:color w:val="000000"/>
          <w:sz w:val="22"/>
        </w:rPr>
        <w:t>CLAIMS</w:t>
      </w:r>
      <w:r>
        <w:rPr>
          <w:color w:val="000000"/>
        </w:rPr>
        <w:t>”</w:t>
      </w:r>
      <w:r>
        <w:rPr>
          <w:rFonts w:ascii="Times New Roman" w:hAnsi="Times New Roman"/>
          <w:color w:val="000000"/>
          <w:sz w:val="22"/>
        </w:rPr>
        <w:t>). THE PARTIES AGREE THAT ANY DISPUTE IN ARBITRATION WILL BE BROUGHT ON AN INDIVIDUAL BASIS ONLY, AND NOT ON A CLASS, COLLECTIVE, OR REPRESENTATIVE BASIS. IN THE EVENT EMPLOYEE INTENDS TO BRING MULTIPLE CLAIMS, INCLUDING ONE OF THE EXCLUDED</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CLAIMS LISTED ABOVE, THE EXCLUDED 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FEES. NOTHING IN THIS AGREEMENT SHALL PREVENT EMPLOYEE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17.</w:t>
      </w:r>
    </w:p>
    <w:p>
      <w:pPr>
        <w:pStyle w:val="TextBody"/>
        <w:bidi w:val="0"/>
        <w:spacing w:before="120" w:after="283"/>
        <w:jc w:val="both"/>
        <w:rPr/>
      </w:pPr>
      <w:r>
        <w:rPr>
          <w:rFonts w:ascii="Times New Roman" w:hAnsi="Times New Roman"/>
          <w:color w:val="000000"/>
          <w:sz w:val="22"/>
          <w:u w:val="single"/>
        </w:rPr>
        <w:t>Authority</w:t>
      </w:r>
      <w:r>
        <w:rPr>
          <w:rFonts w:ascii="Times New Roman" w:hAnsi="Times New Roman"/>
          <w:color w:val="000000"/>
          <w:sz w:val="22"/>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120" w:after="283"/>
        <w:jc w:val="both"/>
        <w:rPr>
          <w:rFonts w:ascii="Times New Roman" w:hAnsi="Times New Roman"/>
          <w:color w:val="000000"/>
          <w:sz w:val="22"/>
          <w:u w:val="single"/>
        </w:rPr>
      </w:pPr>
      <w:r>
        <w:rPr>
          <w:rFonts w:ascii="Times New Roman" w:hAnsi="Times New Roman"/>
          <w:color w:val="000000"/>
          <w:sz w:val="22"/>
          <w:u w:val="single"/>
        </w:rPr>
        <w:t>18.</w:t>
      </w:r>
    </w:p>
    <w:p>
      <w:pPr>
        <w:pStyle w:val="TextBody"/>
        <w:bidi w:val="0"/>
        <w:spacing w:before="120" w:after="283"/>
        <w:jc w:val="both"/>
        <w:rPr/>
      </w:pPr>
      <w:r>
        <w:rPr>
          <w:rFonts w:ascii="Times New Roman" w:hAnsi="Times New Roman"/>
          <w:color w:val="000000"/>
          <w:sz w:val="22"/>
          <w:u w:val="single"/>
        </w:rPr>
        <w:t>Protected Activity</w:t>
      </w:r>
      <w:r>
        <w:rPr>
          <w:rFonts w:ascii="Times New Roman" w:hAnsi="Times New Roman"/>
          <w:color w:val="000000"/>
          <w:sz w:val="22"/>
        </w:rPr>
        <w:t>. Employee understands that nothing in this Agreement shall in any way limit or prohibit Employee from engaging for a lawful purpose in any Protected Activity, provided, however, that Employee agrees not to seek or accept any monetary award from such a proceeding (except with respect to proceedings before the Securities and Exchange Commission). For purposes of this Agreement, “Protected Activity” shall mean (a)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“SEC”), the Equal Employment Opportunity Commission, the California Civil Rights Department, the Occupational Safety and Health Administration, and the National Labor Relations Board (“Government Agencies”), (b) discussing the terms and conditions of Employee’s employment with others to the extent expressly permitted by Section 7 of the National Labor Relations Act, (c) disclosing or discussing information about unlawful acts in the workplace, such as harassment or discrimination or any other conduct that Employee has reason to believe is unlawful, or, (d) complying with any applicable law, regulation, or a valid order of a court of competent jurisdiction or an authorized Government Agency, provided that Employee’s compliance does not exceed the requirements of such law, regulation, or order. Employee understands that in connection with such Protected Activity, Employee is permitted to disclose documents or other information to Government Agencies as permitted by law, and without giving notice to, or receiving authorization from, the Company. Notwithstanding the foregoing, Employee agrees to take all reasonable precautions to prevent any unauthorized use or disclosure of any information that may constitute Company confidential information to any parties other than the relevant Government Agencies. Employee further understands that “Protected Activity” does not include the disclosure of any Company attorney-client privileged communications, and that any such disclosure without the Company’s written consent shall constitute a material breach of this Agreement. However, Employee covenants and promises that Employee waives, releases, and will not seek or accept compensation or other personal benefits from Company arising out of any Government Agency action related to any Released Claims, except for any award in exchange for providing information to the SEC. If Employee is ever awarded or recovers in any forum any amount from Company as to any claim released by this Agreement (except under the ADEA, if Employee is lawfully allowed to pursue such a claim, or any bounty awarded to Employee by the SEC), Employee hereby assigns the right to any such amounts to Company and agrees to immediately tender the same to Company.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such filing is made under seal. In addition, an individual who files a lawsuit for retaliation by an employer for reporting a suspected violation of law may disclose the trade secret to the</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80"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19.</w:t>
      </w:r>
    </w:p>
    <w:p>
      <w:pPr>
        <w:pStyle w:val="TextBody"/>
        <w:bidi w:val="0"/>
        <w:jc w:val="both"/>
        <w:rPr/>
      </w:pPr>
      <w:r>
        <w:rPr>
          <w:rFonts w:ascii="Times New Roman" w:hAnsi="Times New Roman"/>
          <w:color w:val="000000"/>
          <w:sz w:val="22"/>
          <w:u w:val="single"/>
        </w:rPr>
        <w:t>No Representations</w:t>
      </w:r>
      <w:r>
        <w:rPr>
          <w:rFonts w:ascii="Times New Roman" w:hAnsi="Times New Roman"/>
          <w:color w:val="000000"/>
          <w:sz w:val="22"/>
        </w:rPr>
        <w:t>.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 Employee acknowledges that there has been an opportunity to negotiate the terms of this Agreement and that the Agreement will not be interpreted as an employer promulgated agreement.</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20.</w:t>
      </w:r>
    </w:p>
    <w:p>
      <w:pPr>
        <w:pStyle w:val="TextBody"/>
        <w:bidi w:val="0"/>
        <w:jc w:val="both"/>
        <w:rPr/>
      </w:pPr>
      <w:r>
        <w:rPr>
          <w:rFonts w:ascii="Times New Roman" w:hAnsi="Times New Roman"/>
          <w:color w:val="000000"/>
          <w:sz w:val="22"/>
          <w:u w:val="single"/>
        </w:rPr>
        <w:t>Waiver</w:t>
      </w:r>
      <w:r>
        <w:rPr>
          <w:rFonts w:ascii="Times New Roman" w:hAnsi="Times New Roman"/>
          <w:color w:val="000000"/>
          <w:sz w:val="22"/>
        </w:rPr>
        <w:t>. No Party shall be deemed to have waived any right, power or privilege under this Agreement or any provisions hereof unless such waiver shall have been duly executed in writing and delivered to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21.</w:t>
      </w:r>
    </w:p>
    <w:p>
      <w:pPr>
        <w:pStyle w:val="TextBody"/>
        <w:bidi w:val="0"/>
        <w:spacing w:before="0" w:after="0"/>
        <w:jc w:val="both"/>
        <w:rPr/>
      </w:pP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such provision may be modified to the extent necessary so that it is no longer in violation of law, unenforceable or void, and such provision will otherwise be enforced to the fullest extent permitted by law. If such modification is not possible, such provision, except Sections 4 and 5, will be severed and the remainder of this Agreement shall continue in full force and effect without said provision or portion of provision.</w:t>
      </w:r>
    </w:p>
    <w:p>
      <w:pPr>
        <w:pStyle w:val="TextBody"/>
        <w:bidi w:val="0"/>
        <w:spacing w:before="252" w:after="283"/>
        <w:jc w:val="both"/>
        <w:rPr>
          <w:rFonts w:ascii="Times New Roman" w:hAnsi="Times New Roman"/>
          <w:color w:val="000000"/>
          <w:sz w:val="22"/>
          <w:u w:val="single"/>
        </w:rPr>
      </w:pPr>
      <w:r>
        <w:rPr>
          <w:rFonts w:ascii="Times New Roman" w:hAnsi="Times New Roman"/>
          <w:color w:val="000000"/>
          <w:sz w:val="22"/>
          <w:u w:val="single"/>
        </w:rPr>
        <w:t>22.</w:t>
      </w:r>
    </w:p>
    <w:p>
      <w:pPr>
        <w:pStyle w:val="TextBody"/>
        <w:bidi w:val="0"/>
        <w:spacing w:before="252" w:after="283"/>
        <w:jc w:val="both"/>
        <w:rPr/>
      </w:pPr>
      <w:r>
        <w:rPr>
          <w:rFonts w:ascii="Times New Roman" w:hAnsi="Times New Roman"/>
          <w:color w:val="000000"/>
          <w:sz w:val="22"/>
          <w:u w:val="single"/>
        </w:rPr>
        <w:t>Attorneys’ Fees</w:t>
      </w:r>
      <w:r>
        <w:rPr>
          <w:rFonts w:ascii="Times New Roman" w:hAnsi="Times New Roman"/>
          <w:color w:val="000000"/>
          <w:sz w:val="22"/>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litigation, court fees, and reasonable attorneys’ fees incurred in connection with such an action to the extent permitted by law.</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23.</w:t>
      </w:r>
    </w:p>
    <w:p>
      <w:pPr>
        <w:pStyle w:val="TextBody"/>
        <w:bidi w:val="0"/>
        <w:jc w:val="both"/>
        <w:rPr/>
      </w:pPr>
      <w:r>
        <w:rPr>
          <w:rFonts w:ascii="Times New Roman" w:hAnsi="Times New Roman"/>
          <w:color w:val="000000"/>
          <w:sz w:val="22"/>
          <w:u w:val="single"/>
        </w:rPr>
        <w:t>Entire Agreement</w:t>
      </w:r>
      <w:r>
        <w:rPr>
          <w:rFonts w:ascii="Times New Roman" w:hAnsi="Times New Roman"/>
          <w:color w:val="000000"/>
          <w:sz w:val="22"/>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including the Executive Employment Agreement, with the exception of Employee’s obligations to Company that survive Employee’s employment termination pursuant to the Executive Employment Agreement, and the Equity Agreements.</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24.</w:t>
      </w:r>
    </w:p>
    <w:p>
      <w:pPr>
        <w:pStyle w:val="TextBody"/>
        <w:bidi w:val="0"/>
        <w:jc w:val="both"/>
        <w:rPr/>
      </w:pP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Employee and the Company’s Chief Executive Officer.</w:t>
      </w:r>
    </w:p>
    <w:p>
      <w:pPr>
        <w:pStyle w:val="TextBody"/>
        <w:bidi w:val="0"/>
        <w:spacing w:before="80"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25.</w:t>
      </w:r>
    </w:p>
    <w:p>
      <w:pPr>
        <w:pStyle w:val="TextBody"/>
        <w:bidi w:val="0"/>
        <w:jc w:val="both"/>
        <w:rPr/>
      </w:pPr>
      <w:r>
        <w:rPr>
          <w:rFonts w:ascii="Times New Roman" w:hAnsi="Times New Roman"/>
          <w:color w:val="000000"/>
          <w:sz w:val="22"/>
          <w:u w:val="single"/>
        </w:rPr>
        <w:t>409A Compliance</w:t>
      </w:r>
      <w:r>
        <w:rPr>
          <w:rFonts w:ascii="Times New Roman" w:hAnsi="Times New Roman"/>
          <w:color w:val="000000"/>
          <w:sz w:val="22"/>
        </w:rPr>
        <w:t>. This Agreement is intended to comply with Section 409A of the Internal Revenue Code of 1986, as amended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Employee on account of non-compliance with Section 409A.</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159"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26.</w:t>
      </w:r>
    </w:p>
    <w:p>
      <w:pPr>
        <w:pStyle w:val="TextBody"/>
        <w:bidi w:val="0"/>
        <w:jc w:val="both"/>
        <w:rPr/>
      </w:pPr>
      <w:r>
        <w:rPr>
          <w:rFonts w:ascii="Times New Roman" w:hAnsi="Times New Roman"/>
          <w:color w:val="000000"/>
          <w:sz w:val="22"/>
          <w:u w:val="single"/>
        </w:rPr>
        <w:t>Governing Law</w:t>
      </w:r>
      <w:r>
        <w:rPr>
          <w:rFonts w:ascii="Times New Roman" w:hAnsi="Times New Roman"/>
          <w:color w:val="000000"/>
          <w:sz w:val="22"/>
        </w:rPr>
        <w:t>. This Agreement shall be governed by the laws of the State of California, without regard for choice-of-law provisions. Employee consents to personal and exclusive jurisdiction and venue in Los Angeles, California.</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27.</w:t>
      </w:r>
    </w:p>
    <w:p>
      <w:pPr>
        <w:pStyle w:val="TextBody"/>
        <w:bidi w:val="0"/>
        <w:spacing w:before="0" w:after="0"/>
        <w:jc w:val="both"/>
        <w:rPr/>
      </w:pPr>
      <w:r>
        <w:rPr>
          <w:rFonts w:ascii="Times New Roman" w:hAnsi="Times New Roman"/>
          <w:color w:val="000000"/>
          <w:sz w:val="22"/>
          <w:u w:val="single"/>
        </w:rPr>
        <w:t>Effective Date</w:t>
      </w:r>
      <w:r>
        <w:rPr>
          <w:rFonts w:ascii="Times New Roman" w:hAnsi="Times New Roman"/>
          <w:color w:val="000000"/>
          <w:sz w:val="22"/>
        </w:rPr>
        <w:t>. Employee understands that this Agreement shall be null and void if not executed by Employee, and returned to the Company, by the twenty-one (21) day period set forth above. Each Party has seven (7) days after that Party signs this Agreement to revoke it. This Agreement will become effective on the eighth (8th) day after Employee signed and returned this Agreement, so long as it has been signed by the Parties and has not been revoked by either Party before that date (the “Effective Date”).</w:t>
      </w:r>
    </w:p>
    <w:p>
      <w:pPr>
        <w:pStyle w:val="TextBody"/>
        <w:bidi w:val="0"/>
        <w:spacing w:before="252" w:after="283"/>
        <w:jc w:val="both"/>
        <w:rPr>
          <w:rFonts w:ascii="Times New Roman" w:hAnsi="Times New Roman"/>
          <w:color w:val="000000"/>
          <w:sz w:val="22"/>
          <w:u w:val="single"/>
        </w:rPr>
      </w:pPr>
      <w:r>
        <w:rPr>
          <w:rFonts w:ascii="Times New Roman" w:hAnsi="Times New Roman"/>
          <w:color w:val="000000"/>
          <w:sz w:val="22"/>
          <w:u w:val="single"/>
        </w:rPr>
        <w:t>28.</w:t>
      </w:r>
    </w:p>
    <w:p>
      <w:pPr>
        <w:pStyle w:val="TextBody"/>
        <w:bidi w:val="0"/>
        <w:spacing w:before="252" w:after="283"/>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counterparts that may be executed, exchanged, and delivered by facsimile, photo, e-mail PDF, SignNow or a similarly accredited secure signature service, or other electronic transmission or signature. Each counterpart will be deemed an original and all of which counterparts taken together shall have the same force and effect as an original and shall constitute an effective, binding agreement on the part of each of the undersigned.</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29.</w:t>
      </w:r>
    </w:p>
    <w:p>
      <w:pPr>
        <w:pStyle w:val="TextBody"/>
        <w:bidi w:val="0"/>
        <w:spacing w:before="0" w:after="0"/>
        <w:jc w:val="both"/>
        <w:rPr/>
      </w:pPr>
      <w:r>
        <w:rPr>
          <w:rFonts w:ascii="Times New Roman" w:hAnsi="Times New Roman"/>
          <w:color w:val="000000"/>
          <w:sz w:val="22"/>
          <w:u w:val="single"/>
        </w:rPr>
        <w:t>Voluntary Execution of Agreement</w:t>
      </w:r>
      <w:r>
        <w:rPr>
          <w:rFonts w:ascii="Times New Roman" w:hAnsi="Times New Roman"/>
          <w:color w:val="000000"/>
          <w:sz w:val="22"/>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Employee has read this Agreement;</w:t>
      </w:r>
    </w:p>
    <w:p>
      <w:pPr>
        <w:pStyle w:val="TextBody"/>
        <w:bidi w:val="0"/>
        <w:spacing w:before="253"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53" w:after="283"/>
        <w:jc w:val="left"/>
        <w:rPr>
          <w:rFonts w:ascii="Times New Roman" w:hAnsi="Times New Roman"/>
          <w:color w:val="000000"/>
          <w:sz w:val="22"/>
        </w:rPr>
      </w:pPr>
      <w:r>
        <w:rPr>
          <w:rFonts w:ascii="Times New Roman" w:hAnsi="Times New Roman"/>
          <w:color w:val="000000"/>
          <w:sz w:val="22"/>
        </w:rPr>
        <w:t>Employee has been represented in the preparation, negotiation, and execution of this Agreement by legal counsel of Employee’s own choice or has elected not to retain legal counsel;</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w:t>
      </w:r>
    </w:p>
    <w:p>
      <w:pPr>
        <w:pStyle w:val="TextBody"/>
        <w:bidi w:val="0"/>
        <w:jc w:val="left"/>
        <w:rPr>
          <w:rFonts w:ascii="Times New Roman" w:hAnsi="Times New Roman"/>
          <w:color w:val="000000"/>
          <w:sz w:val="22"/>
        </w:rPr>
      </w:pPr>
      <w:r>
        <w:rPr>
          <w:rFonts w:ascii="Times New Roman" w:hAnsi="Times New Roman"/>
          <w:color w:val="000000"/>
          <w:sz w:val="22"/>
        </w:rPr>
        <w:t>Employee understands the terms and consequences of this Agreement and of the releases it contains;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Employee is fully aware of the legal and binding effect of this Agreement.</w:t>
      </w:r>
    </w:p>
    <w:p>
      <w:pPr>
        <w:pStyle w:val="TextBody"/>
        <w:bidi w:val="0"/>
        <w:jc w:val="left"/>
        <w:rPr/>
      </w:pPr>
      <w:r>
        <w:rPr/>
        <w:t> </w:t>
      </w:r>
    </w:p>
    <w:p>
      <w:pPr>
        <w:pStyle w:val="TextBody"/>
        <w:bidi w:val="0"/>
        <w:spacing w:before="252"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IN WITNESS WHEREOF, the Parties have executed this Agreement on the respective dates set forth below.</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Donna Shiroma, an individual</w:t>
      </w:r>
    </w:p>
    <w:p>
      <w:pPr>
        <w:pStyle w:val="TextBody"/>
        <w:bidi w:val="0"/>
        <w:spacing w:before="117" w:after="283"/>
        <w:jc w:val="center"/>
        <w:rPr>
          <w:rFonts w:ascii="Times New Roman" w:hAnsi="Times New Roman"/>
          <w:color w:val="000000"/>
          <w:sz w:val="22"/>
        </w:rPr>
      </w:pPr>
      <w:r>
        <w:rPr>
          <w:rFonts w:ascii="Times New Roman" w:hAnsi="Times New Roman"/>
          <w:color w:val="000000"/>
          <w:sz w:val="22"/>
        </w:rPr>
        <w:t xml:space="preserve">Dated: By </w:t>
      </w:r>
    </w:p>
    <w:p>
      <w:pPr>
        <w:pStyle w:val="TextBody"/>
        <w:bidi w:val="0"/>
        <w:jc w:val="center"/>
        <w:rPr>
          <w:rFonts w:ascii="Times New Roman" w:hAnsi="Times New Roman"/>
          <w:color w:val="000000"/>
          <w:sz w:val="22"/>
        </w:rPr>
      </w:pPr>
      <w:r>
        <w:rPr>
          <w:rFonts w:ascii="Times New Roman" w:hAnsi="Times New Roman"/>
          <w:color w:val="000000"/>
          <w:sz w:val="22"/>
        </w:rPr>
        <w:t>Donna Shiroma</w:t>
      </w:r>
    </w:p>
    <w:p>
      <w:pPr>
        <w:pStyle w:val="TextBody"/>
        <w:bidi w:val="0"/>
        <w:spacing w:before="240"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AVITA MEDICAL AMERICAS, LLC AND AVITA MEDICAL, INC.</w:t>
      </w:r>
    </w:p>
    <w:p>
      <w:pPr>
        <w:pStyle w:val="TextBody"/>
        <w:bidi w:val="0"/>
        <w:spacing w:before="1" w:after="283"/>
        <w:jc w:val="left"/>
        <w:rPr/>
      </w:pPr>
      <w:r>
        <w:rPr/>
        <w:t> </w:t>
      </w:r>
    </w:p>
    <w:p>
      <w:pPr>
        <w:pStyle w:val="TextBody"/>
        <w:bidi w:val="0"/>
        <w:spacing w:before="142" w:after="283"/>
        <w:jc w:val="left"/>
        <w:rPr>
          <w:rFonts w:ascii="Times New Roman" w:hAnsi="Times New Roman"/>
          <w:color w:val="000000"/>
          <w:sz w:val="22"/>
        </w:rPr>
      </w:pPr>
      <w:r>
        <w:rPr>
          <w:rFonts w:ascii="Times New Roman" w:hAnsi="Times New Roman"/>
          <w:color w:val="000000"/>
          <w:sz w:val="22"/>
        </w:rPr>
        <w:t xml:space="preserve">Dated: By </w:t>
      </w:r>
    </w:p>
    <w:p>
      <w:pPr>
        <w:pStyle w:val="TextBody"/>
        <w:bidi w:val="0"/>
        <w:jc w:val="left"/>
        <w:rPr>
          <w:rFonts w:ascii="Times New Roman" w:hAnsi="Times New Roman"/>
          <w:color w:val="000000"/>
          <w:sz w:val="22"/>
        </w:rPr>
      </w:pPr>
      <w:r>
        <w:rPr>
          <w:rFonts w:ascii="Times New Roman" w:hAnsi="Times New Roman"/>
          <w:color w:val="000000"/>
          <w:sz w:val="22"/>
        </w:rPr>
        <w:t>James Corbett</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13" w:after="283"/>
        <w:jc w:val="left"/>
        <w:rPr/>
      </w:pPr>
      <w:bookmarkStart w:id="30" w:name="rcel-ex10_4.htm"/>
      <w:bookmarkStart w:id="31" w:name="ksrcelex10_4"/>
      <w:bookmarkEnd w:id="30"/>
      <w:bookmarkEnd w:id="31"/>
      <w:r>
        <w:rPr/>
        <w:t> </w:t>
      </w:r>
      <w:r>
        <w:br w:type="page"/>
      </w:r>
    </w:p>
    <w:p>
      <w:pPr>
        <w:pStyle w:val="TextBody"/>
        <w:bidi w:val="0"/>
        <w:jc w:val="right"/>
        <w:rPr>
          <w:rFonts w:ascii="Aptos;sans-serif" w:hAnsi="Aptos;sans-serif"/>
          <w:b/>
          <w:color w:val="000000"/>
          <w:sz w:val="22"/>
        </w:rPr>
      </w:pPr>
      <w:r>
        <w:rPr>
          <w:rFonts w:ascii="Aptos;sans-serif" w:hAnsi="Aptos;sans-serif"/>
          <w:b/>
          <w:color w:val="000000"/>
          <w:sz w:val="22"/>
        </w:rPr>
        <w:t>Exhibit 10.4</w:t>
      </w:r>
    </w:p>
    <w:p>
      <w:pPr>
        <w:pStyle w:val="TextBody"/>
        <w:bidi w:val="0"/>
        <w:spacing w:before="121" w:after="283"/>
        <w:jc w:val="center"/>
        <w:rPr>
          <w:rFonts w:ascii="Calibri;sans-serif" w:hAnsi="Calibri;sans-serif"/>
          <w:b/>
          <w:color w:val="000000"/>
          <w:sz w:val="22"/>
        </w:rPr>
      </w:pPr>
      <w:r>
        <w:rPr>
          <w:rFonts w:ascii="Calibri;sans-serif" w:hAnsi="Calibri;sans-serif"/>
          <w:b/>
          <w:color w:val="000000"/>
          <w:sz w:val="22"/>
        </w:rPr>
        <w:t>CERTAIN IDENTIFIED INFORMATION HAS BEEN EXCLUDED FROM THE EXHIBIT BECAUSE IT BOTH (I) IS NOT MATERIAL AND (II) WOULD BE COMPETITIVELY HARMFUL IF PUBLICLY DISCLOSED</w:t>
      </w:r>
    </w:p>
    <w:p>
      <w:pPr>
        <w:pStyle w:val="TextBody"/>
        <w:bidi w:val="0"/>
        <w:spacing w:before="121" w:after="283"/>
        <w:jc w:val="center"/>
        <w:rPr>
          <w:rFonts w:ascii="Times New Roman" w:hAnsi="Times New Roman"/>
          <w:b/>
          <w:color w:val="000000"/>
          <w:sz w:val="29"/>
        </w:rPr>
      </w:pPr>
      <w:r>
        <w:rPr>
          <w:rFonts w:ascii="Times New Roman" w:hAnsi="Times New Roman"/>
          <w:b/>
          <w:color w:val="000000"/>
          <w:sz w:val="29"/>
        </w:rPr>
        <w:t>FIRST AMENDMENT TO LEASE ( UNIT -G)</w:t>
      </w:r>
    </w:p>
    <w:p>
      <w:pPr>
        <w:pStyle w:val="TextBody"/>
        <w:bidi w:val="0"/>
        <w:spacing w:before="297" w:after="283"/>
        <w:jc w:val="left"/>
        <w:rPr>
          <w:rFonts w:ascii="Times New Roman" w:hAnsi="Times New Roman"/>
          <w:sz w:val="20"/>
        </w:rPr>
      </w:pPr>
      <w:r>
        <w:rPr>
          <w:rFonts w:ascii="Times New Roman" w:hAnsi="Times New Roman"/>
          <w:color w:val="000000"/>
          <w:sz w:val="25"/>
        </w:rPr>
        <w:t>THIS FIRST AMENDMENT TO LEASE made and entered into this 12</w:t>
      </w:r>
      <w:r>
        <w:rPr>
          <w:rFonts w:ascii="Verdana;sans-serif" w:hAnsi="Verdana;sans-serif"/>
          <w:color w:val="000000"/>
          <w:sz w:val="16"/>
        </w:rPr>
        <w:t xml:space="preserve">rn </w:t>
      </w:r>
      <w:r>
        <w:rPr>
          <w:rFonts w:ascii="Times New Roman" w:hAnsi="Times New Roman"/>
          <w:color w:val="000000"/>
          <w:sz w:val="25"/>
        </w:rPr>
        <w:t>day of September , 2024 by and between_Hartco-Ventura, Inc. as current Landlord, hereinafter referred to as "Lessor", and Avita Medical Americas, LLC, A Delaware Limited Liability Company hereinafter referred to as "Lessee".</w:t>
      </w:r>
    </w:p>
    <w:p>
      <w:pPr>
        <w:pStyle w:val="TextBody"/>
        <w:bidi w:val="0"/>
        <w:spacing w:before="260" w:after="283"/>
        <w:jc w:val="center"/>
        <w:rPr>
          <w:rFonts w:ascii="Times New Roman" w:hAnsi="Times New Roman"/>
          <w:b/>
          <w:color w:val="000000"/>
          <w:sz w:val="25"/>
        </w:rPr>
      </w:pPr>
      <w:r>
        <w:rPr>
          <w:rFonts w:ascii="Times New Roman" w:hAnsi="Times New Roman"/>
          <w:b/>
          <w:color w:val="000000"/>
          <w:sz w:val="25"/>
        </w:rPr>
        <w:t>WITNESSETH</w:t>
      </w:r>
    </w:p>
    <w:p>
      <w:pPr>
        <w:pStyle w:val="TextBody"/>
        <w:bidi w:val="0"/>
        <w:spacing w:before="284" w:after="283"/>
        <w:jc w:val="left"/>
        <w:rPr>
          <w:rFonts w:ascii="Times New Roman" w:hAnsi="Times New Roman"/>
          <w:sz w:val="20"/>
        </w:rPr>
      </w:pPr>
      <w:r>
        <w:rPr>
          <w:rFonts w:ascii="Times New Roman" w:hAnsi="Times New Roman"/>
          <w:color w:val="000000"/>
          <w:sz w:val="25"/>
        </w:rPr>
        <w:t>WHEREAS, Lessor leased certain premises in the HARTCO-VENTURA Business Center, at 3007 Bunsen Ave. in the city of Ventura, County of Ventura, State of California, to Lessee, pursuant to the certain lease dated the 6</w:t>
      </w:r>
      <w:r>
        <w:rPr>
          <w:rFonts w:ascii="Times New Roman" w:hAnsi="Times New Roman"/>
          <w:color w:val="000000"/>
          <w:sz w:val="16"/>
        </w:rPr>
        <w:t xml:space="preserve">th </w:t>
      </w:r>
      <w:r>
        <w:rPr>
          <w:rFonts w:ascii="Times New Roman" w:hAnsi="Times New Roman"/>
          <w:color w:val="000000"/>
          <w:sz w:val="25"/>
        </w:rPr>
        <w:t>day of December , 2023 ; said Lease and amendment(s) thereto hereinafter collectively referred to as the "Lease", the premises being more particularly described therein; and</w:t>
      </w:r>
    </w:p>
    <w:p>
      <w:pPr>
        <w:pStyle w:val="TextBody"/>
        <w:bidi w:val="0"/>
        <w:spacing w:before="266" w:after="283"/>
        <w:jc w:val="left"/>
        <w:rPr>
          <w:rFonts w:ascii="Times New Roman" w:hAnsi="Times New Roman"/>
          <w:color w:val="000000"/>
          <w:sz w:val="25"/>
        </w:rPr>
      </w:pPr>
      <w:r>
        <w:rPr>
          <w:rFonts w:ascii="Times New Roman" w:hAnsi="Times New Roman"/>
          <w:color w:val="000000"/>
          <w:sz w:val="25"/>
        </w:rPr>
        <w:t>WHEREAS, Lessor and Lessee therefore wish to extend said Lease;</w:t>
      </w:r>
    </w:p>
    <w:p>
      <w:pPr>
        <w:pStyle w:val="TextBody"/>
        <w:bidi w:val="0"/>
        <w:spacing w:before="275" w:after="283"/>
        <w:jc w:val="left"/>
        <w:rPr>
          <w:rFonts w:ascii="Times New Roman" w:hAnsi="Times New Roman"/>
          <w:sz w:val="20"/>
        </w:rPr>
      </w:pPr>
      <w:r>
        <w:rPr>
          <w:rFonts w:ascii="Times New Roman" w:hAnsi="Times New Roman"/>
          <w:color w:val="000000"/>
          <w:sz w:val="25"/>
        </w:rPr>
        <w:t>NOW THEREFORE, in consideration of these present and the agreement of each other, Lessor and Lessee agree that the said Lease shall be and the same is hereby amended as of the 12</w:t>
      </w:r>
      <w:r>
        <w:rPr>
          <w:rFonts w:ascii="Times New Roman" w:hAnsi="Times New Roman"/>
          <w:color w:val="000000"/>
          <w:sz w:val="16"/>
        </w:rPr>
        <w:t>t</w:t>
      </w:r>
      <w:r>
        <w:rPr>
          <w:rFonts w:ascii="Times New Roman" w:hAnsi="Times New Roman"/>
          <w:color w:val="000000"/>
          <w:sz w:val="14"/>
        </w:rPr>
        <w:t xml:space="preserve">h 1 </w:t>
      </w:r>
      <w:r>
        <w:rPr>
          <w:rFonts w:ascii="Times New Roman" w:hAnsi="Times New Roman"/>
          <w:color w:val="000000"/>
          <w:sz w:val="25"/>
        </w:rPr>
        <w:t>day of September , 2024.</w:t>
      </w:r>
    </w:p>
    <w:p>
      <w:pPr>
        <w:pStyle w:val="TextBody"/>
        <w:bidi w:val="0"/>
        <w:spacing w:before="274" w:after="283"/>
        <w:jc w:val="left"/>
        <w:rPr>
          <w:rFonts w:ascii="Times New Roman" w:hAnsi="Times New Roman"/>
          <w:color w:val="000000"/>
          <w:sz w:val="25"/>
        </w:rPr>
      </w:pPr>
      <w:r>
        <w:rPr>
          <w:rFonts w:ascii="Times New Roman" w:hAnsi="Times New Roman"/>
          <w:color w:val="000000"/>
          <w:sz w:val="25"/>
        </w:rPr>
        <w:t>1.</w:t>
      </w:r>
    </w:p>
    <w:p>
      <w:pPr>
        <w:pStyle w:val="TextBody"/>
        <w:bidi w:val="0"/>
        <w:spacing w:before="274" w:after="283"/>
        <w:jc w:val="left"/>
        <w:rPr/>
      </w:pPr>
      <w:r>
        <w:rPr>
          <w:rFonts w:ascii="Times New Roman" w:hAnsi="Times New Roman"/>
          <w:color w:val="000000"/>
          <w:sz w:val="25"/>
        </w:rPr>
        <w:t xml:space="preserve">The term of the Lease shall be extended 12 months per paragraph 49 of the lease with the amended expiration date of </w:t>
      </w:r>
      <w:r>
        <w:rPr>
          <w:rFonts w:ascii="Times New Roman" w:hAnsi="Times New Roman"/>
          <w:b/>
          <w:color w:val="000000"/>
          <w:sz w:val="25"/>
        </w:rPr>
        <w:t>December 31, 2025.</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2.</w:t>
      </w:r>
    </w:p>
    <w:p>
      <w:pPr>
        <w:pStyle w:val="TextBody"/>
        <w:bidi w:val="0"/>
        <w:spacing w:before="0" w:after="0"/>
        <w:jc w:val="left"/>
        <w:rPr/>
      </w:pPr>
      <w:r>
        <w:rPr>
          <w:rFonts w:ascii="Times New Roman" w:hAnsi="Times New Roman"/>
          <w:color w:val="000000"/>
          <w:sz w:val="25"/>
        </w:rPr>
        <w:t xml:space="preserve">Rent for the Leased Premises(Unit- G) from </w:t>
      </w:r>
      <w:r>
        <w:rPr>
          <w:rFonts w:ascii="Times New Roman" w:hAnsi="Times New Roman"/>
          <w:b/>
          <w:color w:val="000000"/>
          <w:sz w:val="25"/>
        </w:rPr>
        <w:t xml:space="preserve">January 1 </w:t>
      </w:r>
      <w:r>
        <w:rPr>
          <w:rFonts w:ascii="Segoe UI Symbol;sans-serif" w:hAnsi="Segoe UI Symbol;sans-serif"/>
          <w:color w:val="000000"/>
          <w:sz w:val="16"/>
        </w:rPr>
        <w:t xml:space="preserve">st </w:t>
      </w:r>
      <w:r>
        <w:rPr>
          <w:rFonts w:ascii="Times New Roman" w:hAnsi="Times New Roman"/>
          <w:b/>
          <w:color w:val="000000"/>
          <w:sz w:val="18"/>
        </w:rPr>
        <w:t xml:space="preserve">, </w:t>
      </w:r>
      <w:r>
        <w:rPr>
          <w:rFonts w:ascii="Times New Roman" w:hAnsi="Times New Roman"/>
          <w:b/>
          <w:color w:val="000000"/>
          <w:sz w:val="25"/>
        </w:rPr>
        <w:t>2025to December 31st, 2025</w:t>
      </w:r>
      <w:r>
        <w:rPr>
          <w:rFonts w:ascii="Times New Roman" w:hAnsi="Times New Roman"/>
          <w:color w:val="000000"/>
          <w:sz w:val="25"/>
        </w:rPr>
        <w:t xml:space="preserve">shall be payable in monthly installments of </w:t>
      </w:r>
      <w:r>
        <w:rPr>
          <w:rFonts w:ascii="Times New Roman" w:hAnsi="Times New Roman"/>
          <w:color w:val="000000"/>
          <w:sz w:val="25"/>
          <w:u w:val="single"/>
        </w:rPr>
        <w:t>[******].</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3.</w:t>
      </w:r>
    </w:p>
    <w:p>
      <w:pPr>
        <w:pStyle w:val="TextBody"/>
        <w:bidi w:val="0"/>
        <w:spacing w:before="0" w:after="0"/>
        <w:jc w:val="left"/>
        <w:rPr/>
      </w:pPr>
      <w:r>
        <w:rPr>
          <w:rFonts w:ascii="Times New Roman" w:hAnsi="Times New Roman"/>
          <w:color w:val="000000"/>
          <w:sz w:val="25"/>
        </w:rPr>
        <w:t xml:space="preserve">The Lessee has the option to extend the lease for another 12 months with a 90 day notice with the amended expiration of </w:t>
      </w:r>
      <w:r>
        <w:rPr>
          <w:rFonts w:ascii="Times New Roman" w:hAnsi="Times New Roman"/>
          <w:b/>
          <w:color w:val="000000"/>
          <w:sz w:val="25"/>
        </w:rPr>
        <w:t>December 31, 2026.</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4.</w:t>
      </w:r>
    </w:p>
    <w:p>
      <w:pPr>
        <w:pStyle w:val="TextBody"/>
        <w:bidi w:val="0"/>
        <w:spacing w:before="0" w:after="0"/>
        <w:jc w:val="left"/>
        <w:rPr/>
      </w:pPr>
      <w:r>
        <w:rPr>
          <w:rFonts w:ascii="Times New Roman" w:hAnsi="Times New Roman"/>
          <w:color w:val="000000"/>
          <w:sz w:val="25"/>
        </w:rPr>
        <w:t xml:space="preserve">Rent for the Leased Premises(Unit- G) from </w:t>
      </w:r>
      <w:r>
        <w:rPr>
          <w:rFonts w:ascii="Times New Roman" w:hAnsi="Times New Roman"/>
          <w:b/>
          <w:color w:val="000000"/>
          <w:sz w:val="25"/>
        </w:rPr>
        <w:t xml:space="preserve">January 1 </w:t>
      </w:r>
      <w:r>
        <w:rPr>
          <w:rFonts w:ascii="Segoe UI Symbol;sans-serif" w:hAnsi="Segoe UI Symbol;sans-serif"/>
          <w:color w:val="000000"/>
          <w:sz w:val="16"/>
        </w:rPr>
        <w:t>st</w:t>
      </w:r>
      <w:r>
        <w:rPr>
          <w:color w:val="000000"/>
        </w:rPr>
        <w:t xml:space="preserve"> </w:t>
      </w:r>
      <w:r>
        <w:rPr>
          <w:rFonts w:ascii="Times New Roman" w:hAnsi="Times New Roman"/>
          <w:b/>
          <w:color w:val="000000"/>
          <w:sz w:val="20"/>
        </w:rPr>
        <w:t xml:space="preserve">, </w:t>
      </w:r>
      <w:r>
        <w:rPr>
          <w:rFonts w:ascii="Times New Roman" w:hAnsi="Times New Roman"/>
          <w:b/>
          <w:color w:val="000000"/>
          <w:sz w:val="25"/>
        </w:rPr>
        <w:t xml:space="preserve">2026 to December 31st, 2026 </w:t>
      </w:r>
      <w:r>
        <w:rPr>
          <w:rFonts w:ascii="Times New Roman" w:hAnsi="Times New Roman"/>
          <w:color w:val="000000"/>
          <w:sz w:val="25"/>
        </w:rPr>
        <w:t xml:space="preserve">shall be payable in monthly installments of </w:t>
      </w:r>
      <w:r>
        <w:rPr>
          <w:rFonts w:ascii="Times New Roman" w:hAnsi="Times New Roman"/>
          <w:color w:val="000000"/>
          <w:sz w:val="25"/>
          <w:u w:val="single"/>
        </w:rPr>
        <w:t>[******].</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5.</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 xml:space="preserve">The Lessee shall have the right,but not the obligation ,to make certain changes at lessee's sole expense to the interior improvements,(including removing office walls)provided that prior to vacating the premises Lessee restores the premises to their original condition,unless lessor indicates his intention to accept the changes and improvements as made.. </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6.</w:t>
      </w:r>
    </w:p>
    <w:p>
      <w:pPr>
        <w:pStyle w:val="TextBody"/>
        <w:bidi w:val="0"/>
        <w:jc w:val="left"/>
        <w:rPr>
          <w:rFonts w:ascii="Times New Roman" w:hAnsi="Times New Roman"/>
          <w:color w:val="000000"/>
          <w:sz w:val="25"/>
        </w:rPr>
      </w:pPr>
      <w:r>
        <w:rPr>
          <w:rFonts w:ascii="Times New Roman" w:hAnsi="Times New Roman"/>
          <w:color w:val="000000"/>
          <w:sz w:val="25"/>
        </w:rPr>
        <w:t>All other terms and conditions of said Lease shall remain in full force and effect.</w:t>
      </w:r>
    </w:p>
    <w:p>
      <w:pPr>
        <w:pStyle w:val="TextBody"/>
        <w:bidi w:val="0"/>
        <w:spacing w:before="248" w:after="283"/>
        <w:jc w:val="left"/>
        <w:rPr>
          <w:rFonts w:ascii="Times New Roman" w:hAnsi="Times New Roman"/>
          <w:color w:val="000000"/>
          <w:sz w:val="25"/>
        </w:rPr>
      </w:pPr>
      <w:r>
        <w:rPr>
          <w:rFonts w:ascii="Times New Roman" w:hAnsi="Times New Roman"/>
          <w:color w:val="000000"/>
          <w:sz w:val="25"/>
        </w:rPr>
        <w:t>IN WITNESS WHEREOF, the Parties hereto have executed this instrument by proper persons thereunto duly authorized to do the day and year first herein above written.</w:t>
      </w:r>
    </w:p>
    <w:p>
      <w:pPr>
        <w:pStyle w:val="TextBody"/>
        <w:bidi w:val="0"/>
        <w:spacing w:before="1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 w:after="283"/>
        <w:jc w:val="left"/>
        <w:rPr/>
      </w:pPr>
      <w:r>
        <w:rPr/>
        <w:t> </w:t>
      </w:r>
    </w:p>
    <w:p>
      <w:pPr>
        <w:pStyle w:val="TextBody"/>
        <w:bidi w:val="0"/>
        <w:spacing w:before="130" w:after="283"/>
        <w:jc w:val="left"/>
        <w:rPr>
          <w:rFonts w:ascii="Times New Roman" w:hAnsi="Times New Roman"/>
          <w:b/>
          <w:color w:val="000000"/>
          <w:sz w:val="25"/>
        </w:rPr>
      </w:pPr>
      <w:r>
        <w:rPr>
          <w:rFonts w:ascii="Times New Roman" w:hAnsi="Times New Roman"/>
          <w:b/>
          <w:color w:val="000000"/>
          <w:sz w:val="25"/>
        </w:rPr>
        <w:t>LESSOR</w:t>
      </w:r>
    </w:p>
    <w:p>
      <w:pPr>
        <w:pStyle w:val="TextBody"/>
        <w:bidi w:val="0"/>
        <w:spacing w:before="264" w:after="283"/>
        <w:jc w:val="left"/>
        <w:rPr>
          <w:rFonts w:ascii="Times New Roman" w:hAnsi="Times New Roman"/>
          <w:b/>
          <w:color w:val="000000"/>
          <w:sz w:val="25"/>
        </w:rPr>
      </w:pPr>
      <w:r>
        <w:rPr>
          <w:rFonts w:ascii="Times New Roman" w:hAnsi="Times New Roman"/>
          <w:b/>
          <w:color w:val="000000"/>
          <w:sz w:val="25"/>
        </w:rPr>
        <w:t>HARTCO-VENTURA INC.</w:t>
      </w:r>
    </w:p>
    <w:p>
      <w:pPr>
        <w:pStyle w:val="TextBody"/>
        <w:bidi w:val="0"/>
        <w:spacing w:before="258" w:after="283"/>
        <w:jc w:val="left"/>
        <w:rPr/>
      </w:pPr>
      <w:r>
        <w:rPr/>
        <w:t> </w:t>
      </w:r>
    </w:p>
    <w:p>
      <w:pPr>
        <w:pStyle w:val="TextBody"/>
        <w:bidi w:val="0"/>
        <w:spacing w:before="23" w:after="283"/>
        <w:jc w:val="left"/>
        <w:rPr>
          <w:rFonts w:ascii="Times New Roman" w:hAnsi="Times New Roman"/>
          <w:color w:val="000000"/>
          <w:sz w:val="25"/>
        </w:rPr>
      </w:pPr>
      <w:r>
        <w:rPr>
          <w:rFonts w:ascii="Times New Roman" w:hAnsi="Times New Roman"/>
          <w:color w:val="000000"/>
          <w:sz w:val="25"/>
        </w:rPr>
        <w:t>By:_____________________</w:t>
      </w:r>
    </w:p>
    <w:p>
      <w:pPr>
        <w:pStyle w:val="TextBody"/>
        <w:bidi w:val="0"/>
        <w:spacing w:before="78" w:after="283"/>
        <w:jc w:val="left"/>
        <w:rPr>
          <w:rFonts w:ascii="Times New Roman" w:hAnsi="Times New Roman"/>
          <w:sz w:val="20"/>
        </w:rPr>
      </w:pPr>
      <w:r>
        <w:rPr>
          <w:rFonts w:ascii="Times New Roman" w:hAnsi="Times New Roman"/>
          <w:color w:val="000000"/>
          <w:sz w:val="25"/>
        </w:rPr>
        <w:t xml:space="preserve">Date: </w:t>
      </w:r>
      <w:r>
        <w:rPr>
          <w:rFonts w:ascii="Arial" w:hAnsi="Arial"/>
          <w:color w:val="000000"/>
          <w:sz w:val="24"/>
        </w:rPr>
        <w:t>09/13/2024</w:t>
      </w:r>
    </w:p>
    <w:p>
      <w:pPr>
        <w:pStyle w:val="TextBody"/>
        <w:bidi w:val="0"/>
        <w:spacing w:before="127" w:after="283"/>
        <w:jc w:val="left"/>
        <w:rPr>
          <w:color w:val="000000"/>
        </w:rPr>
      </w:pPr>
      <w:r>
        <w:rPr>
          <w:color w:val="000000"/>
        </w:rPr>
        <w:t>​</w:t>
      </w:r>
    </w:p>
    <w:p>
      <w:pPr>
        <w:pStyle w:val="TextBody"/>
        <w:bidi w:val="0"/>
        <w:spacing w:before="12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 w:after="283"/>
        <w:jc w:val="left"/>
        <w:rPr/>
      </w:pPr>
      <w:r>
        <w:rPr/>
        <w:t> </w:t>
      </w:r>
    </w:p>
    <w:p>
      <w:pPr>
        <w:pStyle w:val="TextBody"/>
        <w:bidi w:val="0"/>
        <w:spacing w:before="127" w:after="283"/>
        <w:jc w:val="left"/>
        <w:rPr>
          <w:rFonts w:ascii="Times New Roman" w:hAnsi="Times New Roman"/>
          <w:b/>
          <w:color w:val="000000"/>
          <w:sz w:val="25"/>
        </w:rPr>
      </w:pPr>
      <w:r>
        <w:rPr>
          <w:rFonts w:ascii="Times New Roman" w:hAnsi="Times New Roman"/>
          <w:b/>
          <w:color w:val="000000"/>
          <w:sz w:val="25"/>
        </w:rPr>
        <w:t>LESSEE</w:t>
      </w:r>
    </w:p>
    <w:p>
      <w:pPr>
        <w:pStyle w:val="TextBody"/>
        <w:bidi w:val="0"/>
        <w:spacing w:before="262" w:after="283"/>
        <w:jc w:val="left"/>
        <w:rPr>
          <w:rFonts w:ascii="Times New Roman" w:hAnsi="Times New Roman"/>
          <w:b/>
          <w:color w:val="000000"/>
          <w:sz w:val="25"/>
        </w:rPr>
      </w:pPr>
      <w:r>
        <w:rPr>
          <w:rFonts w:ascii="Times New Roman" w:hAnsi="Times New Roman"/>
          <w:b/>
          <w:color w:val="000000"/>
          <w:sz w:val="25"/>
        </w:rPr>
        <w:t>AVITA MEDICAL AMERICAS ,LLC</w:t>
      </w:r>
    </w:p>
    <w:p>
      <w:pPr>
        <w:pStyle w:val="TextBody"/>
        <w:bidi w:val="0"/>
        <w:spacing w:before="246" w:after="283"/>
        <w:jc w:val="left"/>
        <w:rPr/>
      </w:pPr>
      <w:r>
        <w:rPr/>
        <w:t> </w:t>
      </w:r>
    </w:p>
    <w:p>
      <w:pPr>
        <w:pStyle w:val="TextBody"/>
        <w:bidi w:val="0"/>
        <w:jc w:val="left"/>
        <w:rPr>
          <w:rFonts w:ascii="Times New Roman" w:hAnsi="Times New Roman"/>
          <w:color w:val="000000"/>
          <w:sz w:val="25"/>
        </w:rPr>
      </w:pPr>
      <w:r>
        <w:rPr>
          <w:rFonts w:ascii="Times New Roman" w:hAnsi="Times New Roman"/>
          <w:color w:val="000000"/>
          <w:sz w:val="25"/>
        </w:rPr>
        <w:t>By: Jim Corbett, CEO</w:t>
      </w:r>
    </w:p>
    <w:p>
      <w:pPr>
        <w:pStyle w:val="TextBody"/>
        <w:bidi w:val="0"/>
        <w:spacing w:before="78" w:after="283"/>
        <w:jc w:val="left"/>
        <w:rPr>
          <w:rFonts w:ascii="Times New Roman" w:hAnsi="Times New Roman"/>
          <w:sz w:val="20"/>
        </w:rPr>
      </w:pPr>
      <w:r>
        <w:rPr>
          <w:rFonts w:ascii="Times New Roman" w:hAnsi="Times New Roman"/>
          <w:color w:val="000000"/>
          <w:sz w:val="25"/>
        </w:rPr>
        <w:t xml:space="preserve">Date: </w:t>
      </w:r>
      <w:r>
        <w:rPr>
          <w:rFonts w:ascii="Arial" w:hAnsi="Arial"/>
          <w:color w:val="000000"/>
          <w:sz w:val="24"/>
        </w:rPr>
        <w:t>09/13/2024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rcel-ex31_1.htm"/>
      <w:bookmarkStart w:id="33" w:name="ksrcelex31_1"/>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Corbett,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172" w:type="dxa"/>
        <w:jc w:val="left"/>
        <w:tblInd w:w="0" w:type="dxa"/>
        <w:tblLayout w:type="fixed"/>
        <w:tblCellMar>
          <w:top w:w="28" w:type="dxa"/>
          <w:left w:w="28" w:type="dxa"/>
          <w:bottom w:w="28" w:type="dxa"/>
          <w:right w:w="28" w:type="dxa"/>
        </w:tblCellMar>
      </w:tblPr>
      <w:tblGrid>
        <w:gridCol w:w="2101"/>
        <w:gridCol w:w="109"/>
        <w:gridCol w:w="631"/>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3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James Corbett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3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rcel-ex31_2.htm"/>
      <w:bookmarkStart w:id="35" w:name="ksrcelex31_2"/>
      <w:bookmarkEnd w:id="34"/>
      <w:bookmarkEnd w:id="35"/>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644" w:type="dxa"/>
        <w:jc w:val="left"/>
        <w:tblInd w:w="0" w:type="dxa"/>
        <w:tblLayout w:type="fixed"/>
        <w:tblCellMar>
          <w:top w:w="28" w:type="dxa"/>
          <w:left w:w="28" w:type="dxa"/>
          <w:bottom w:w="28" w:type="dxa"/>
          <w:right w:w="28" w:type="dxa"/>
        </w:tblCellMar>
      </w:tblPr>
      <w:tblGrid>
        <w:gridCol w:w="2101"/>
        <w:gridCol w:w="146"/>
        <w:gridCol w:w="63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rcel-ex32.htm"/>
      <w:bookmarkStart w:id="37" w:name="ksrcelex32"/>
      <w:bookmarkEnd w:id="36"/>
      <w:bookmarkEnd w:id="37"/>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September 30, 2024 of the Company fully complies with the requirements of Section 13(a) or 15(d) of the Securities Exchange Act of 1934 and information contained in the Form 10-Q fairly presents, in all material respects, the financial condition and results of operations of the Company. </w:t>
      </w:r>
    </w:p>
    <w:tbl>
      <w:tblPr>
        <w:tblW w:w="6749" w:type="dxa"/>
        <w:jc w:val="left"/>
        <w:tblInd w:w="0" w:type="dxa"/>
        <w:tblLayout w:type="fixed"/>
        <w:tblCellMar>
          <w:top w:w="28" w:type="dxa"/>
          <w:left w:w="28" w:type="dxa"/>
          <w:bottom w:w="28" w:type="dxa"/>
          <w:right w:w="28" w:type="dxa"/>
        </w:tblCellMar>
      </w:tblPr>
      <w:tblGrid>
        <w:gridCol w:w="2206"/>
        <w:gridCol w:w="146"/>
        <w:gridCol w:w="631"/>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7" w:type="dxa"/>
            <w:gridSpan w:val="2"/>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ptos">
    <w:altName w:val="sans-serif"/>
    <w:charset w:val="01"/>
    <w:family w:val="auto"/>
    <w:pitch w:val="default"/>
  </w:font>
  <w:font w:name="Arial">
    <w:charset w:val="01"/>
    <w:family w:val="auto"/>
    <w:pitch w:val="default"/>
  </w:font>
  <w:font w:name="Verdana">
    <w:altName w:val="sans-serif"/>
    <w:charset w:val="01"/>
    <w:family w:val="auto"/>
    <w:pitch w:val="default"/>
  </w:font>
  <w:font w:name="Segoe UI Symbo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156459022007617/rcel-ex33_530.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40943</Words>
  <Characters>221572</Characters>
  <CharactersWithSpaces>262861</CharactersWithSpaces>
  <Paragraphs>7089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