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1"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80645</wp:posOffset>
            </wp:positionV>
            <wp:extent cx="1645920" cy="951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AVITA MEDICAL,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p>
      <w:pPr>
        <w:spacing w:after="0" w:line="190"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85-1021707</w:t>
      </w:r>
    </w:p>
    <w:p>
      <w:pPr>
        <w:spacing w:after="0" w:line="36" w:lineRule="exact"/>
        <w:rPr>
          <w:sz w:val="24"/>
          <w:szCs w:val="24"/>
          <w:color w:val="auto"/>
        </w:rPr>
      </w:pPr>
    </w:p>
    <w:p>
      <w:pPr>
        <w:sectPr>
          <w:pgSz w:w="11900" w:h="16838" w:orient="portrait"/>
          <w:cols w:equalWidth="0" w:num="2">
            <w:col w:w="7320" w:space="720"/>
            <w:col w:w="3200"/>
          </w:cols>
          <w:pgMar w:left="320" w:top="346" w:right="339" w:bottom="1440" w:gutter="0" w:footer="0" w:header="0"/>
          <w:type w:val="continuous"/>
        </w:sectPr>
      </w:pPr>
    </w:p>
    <w:p>
      <w:pPr>
        <w:spacing w:after="0" w:line="1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2"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3"/>
          <w:szCs w:val="13"/>
          <w:b w:val="1"/>
          <w:bCs w:val="1"/>
          <w:color w:val="auto"/>
        </w:rPr>
        <w:t>(IRS Employer</w:t>
      </w:r>
    </w:p>
    <w:p>
      <w:pPr>
        <w:jc w:val="center"/>
        <w:ind w:right="2320"/>
        <w:spacing w:after="0"/>
        <w:rPr>
          <w:sz w:val="20"/>
          <w:szCs w:val="20"/>
          <w:color w:val="auto"/>
        </w:rPr>
      </w:pPr>
      <w:r>
        <w:rPr>
          <w:rFonts w:ascii="Arial" w:cs="Arial" w:eastAsia="Arial" w:hAnsi="Arial"/>
          <w:sz w:val="10"/>
          <w:szCs w:val="10"/>
          <w:b w:val="1"/>
          <w:bCs w:val="1"/>
          <w:color w:val="auto"/>
        </w:rPr>
        <w:t>Identification No.)</w:t>
      </w:r>
    </w:p>
    <w:p>
      <w:pPr>
        <w:spacing w:after="0" w:line="91" w:lineRule="exact"/>
        <w:rPr>
          <w:sz w:val="24"/>
          <w:szCs w:val="24"/>
          <w:color w:val="auto"/>
        </w:rPr>
      </w:pPr>
    </w:p>
    <w:p>
      <w:pPr>
        <w:sectPr>
          <w:pgSz w:w="11900" w:h="16838" w:orient="portrait"/>
          <w:cols w:equalWidth="0" w:num="2">
            <w:col w:w="7220" w:space="720"/>
            <w:col w:w="3300"/>
          </w:cols>
          <w:pgMar w:left="320" w:top="34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28159 Avenue Stanford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220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Valencia, CA 91355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 and Zip Code)</w:t>
      </w:r>
    </w:p>
    <w:p>
      <w:pPr>
        <w:sectPr>
          <w:pgSz w:w="11900" w:h="16838" w:orient="portrait"/>
          <w:cols w:equalWidth="0" w:num="1">
            <w:col w:w="11240"/>
          </w:cols>
          <w:pgMar w:left="320" w:top="346"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ind w:left="960"/>
              <w:spacing w:after="0"/>
              <w:rPr>
                <w:sz w:val="20"/>
                <w:szCs w:val="20"/>
                <w:color w:val="auto"/>
              </w:rPr>
            </w:pPr>
            <w:r>
              <w:rPr>
                <w:rFonts w:ascii="Arial" w:cs="Arial" w:eastAsia="Arial" w:hAnsi="Arial"/>
                <w:sz w:val="13"/>
                <w:szCs w:val="13"/>
                <w:b w:val="1"/>
                <w:bCs w:val="1"/>
                <w:color w:val="auto"/>
              </w:rPr>
              <w:t>Trading</w:t>
            </w:r>
          </w:p>
        </w:tc>
        <w:tc>
          <w:tcPr>
            <w:tcW w:w="4340" w:type="dxa"/>
            <w:vAlign w:val="bottom"/>
          </w:tcPr>
          <w:p>
            <w:pPr>
              <w:jc w:val="center"/>
              <w:ind w:left="71"/>
              <w:spacing w:after="0"/>
              <w:rPr>
                <w:sz w:val="20"/>
                <w:szCs w:val="20"/>
                <w:color w:val="auto"/>
              </w:rPr>
            </w:pPr>
            <w:r>
              <w:rPr>
                <w:rFonts w:ascii="Arial" w:cs="Arial" w:eastAsia="Arial" w:hAnsi="Arial"/>
                <w:sz w:val="13"/>
                <w:szCs w:val="13"/>
                <w:b w:val="1"/>
                <w:bCs w:val="1"/>
                <w:color w:val="auto"/>
                <w:w w:val="83"/>
              </w:rPr>
              <w:t>Name of each exchange</w:t>
            </w:r>
          </w:p>
        </w:tc>
      </w:tr>
      <w:tr>
        <w:trPr>
          <w:trHeight w:val="153"/>
        </w:trPr>
        <w:tc>
          <w:tcPr>
            <w:tcW w:w="4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Title of each class</w:t>
            </w:r>
          </w:p>
        </w:tc>
        <w:tc>
          <w:tcPr>
            <w:tcW w:w="2320" w:type="dxa"/>
            <w:vAlign w:val="bottom"/>
            <w:gridSpan w:val="2"/>
          </w:tcPr>
          <w:p>
            <w:pPr>
              <w:ind w:left="960"/>
              <w:spacing w:after="0"/>
              <w:rPr>
                <w:sz w:val="20"/>
                <w:szCs w:val="20"/>
                <w:color w:val="auto"/>
              </w:rPr>
            </w:pPr>
            <w:r>
              <w:rPr>
                <w:rFonts w:ascii="Arial" w:cs="Arial" w:eastAsia="Arial" w:hAnsi="Arial"/>
                <w:sz w:val="13"/>
                <w:szCs w:val="13"/>
                <w:b w:val="1"/>
                <w:bCs w:val="1"/>
                <w:color w:val="auto"/>
              </w:rPr>
              <w:t>Symbol</w:t>
            </w:r>
          </w:p>
        </w:tc>
        <w:tc>
          <w:tcPr>
            <w:tcW w:w="4340" w:type="dxa"/>
            <w:vAlign w:val="bottom"/>
          </w:tcPr>
          <w:p>
            <w:pPr>
              <w:jc w:val="center"/>
              <w:ind w:left="71"/>
              <w:spacing w:after="0"/>
              <w:rPr>
                <w:sz w:val="20"/>
                <w:szCs w:val="20"/>
                <w:color w:val="auto"/>
              </w:rPr>
            </w:pPr>
            <w:r>
              <w:rPr>
                <w:rFonts w:ascii="Arial" w:cs="Arial" w:eastAsia="Arial" w:hAnsi="Arial"/>
                <w:sz w:val="13"/>
                <w:szCs w:val="13"/>
                <w:b w:val="1"/>
                <w:bCs w:val="1"/>
                <w:color w:val="auto"/>
                <w:w w:val="84"/>
              </w:rPr>
              <w:t>on which registered</w:t>
            </w:r>
          </w:p>
        </w:tc>
      </w:tr>
      <w:tr>
        <w:trPr>
          <w:trHeight w:val="20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$0.0001 per share</w:t>
            </w:r>
          </w:p>
        </w:tc>
        <w:tc>
          <w:tcPr>
            <w:tcW w:w="220" w:type="dxa"/>
            <w:vAlign w:val="bottom"/>
          </w:tcPr>
          <w:p>
            <w:pPr>
              <w:spacing w:after="0"/>
              <w:rPr>
                <w:sz w:val="17"/>
                <w:szCs w:val="17"/>
                <w:color w:val="auto"/>
              </w:rPr>
            </w:pPr>
          </w:p>
        </w:tc>
        <w:tc>
          <w:tcPr>
            <w:tcW w:w="2220" w:type="dxa"/>
            <w:vAlign w:val="bottom"/>
            <w:tcBorders>
              <w:top w:val="single" w:sz="8" w:color="auto"/>
            </w:tcBorders>
          </w:tcPr>
          <w:p>
            <w:pPr>
              <w:ind w:left="960"/>
              <w:spacing w:after="0"/>
              <w:rPr>
                <w:sz w:val="20"/>
                <w:szCs w:val="20"/>
                <w:color w:val="auto"/>
              </w:rPr>
            </w:pPr>
            <w:r>
              <w:rPr>
                <w:rFonts w:ascii="Arial" w:cs="Arial" w:eastAsia="Arial" w:hAnsi="Arial"/>
                <w:sz w:val="16"/>
                <w:szCs w:val="16"/>
                <w:b w:val="1"/>
                <w:bCs w:val="1"/>
                <w:color w:val="auto"/>
              </w:rPr>
              <w:t>RCEL</w:t>
            </w:r>
          </w:p>
        </w:tc>
        <w:tc>
          <w:tcPr>
            <w:tcW w:w="100" w:type="dxa"/>
            <w:vAlign w:val="bottom"/>
          </w:tcPr>
          <w:p>
            <w:pPr>
              <w:spacing w:after="0"/>
              <w:rPr>
                <w:sz w:val="17"/>
                <w:szCs w:val="17"/>
                <w:color w:val="auto"/>
              </w:rPr>
            </w:pPr>
          </w:p>
        </w:tc>
        <w:tc>
          <w:tcPr>
            <w:tcW w:w="4340" w:type="dxa"/>
            <w:vAlign w:val="bottom"/>
            <w:tcBorders>
              <w:top w:val="single" w:sz="8" w:color="auto"/>
            </w:tcBorders>
          </w:tcPr>
          <w:p>
            <w:pPr>
              <w:ind w:left="1080"/>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3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3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46"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$0.0001 par value common stock outstanding as of November 7, 2022 was 25,030,902</w:t>
      </w:r>
    </w:p>
    <w:p>
      <w:pPr>
        <w:spacing w:after="0" w:line="4" w:lineRule="exact"/>
        <w:rPr>
          <w:sz w:val="24"/>
          <w:szCs w:val="24"/>
          <w:color w:val="auto"/>
        </w:rPr>
      </w:pPr>
    </w:p>
    <w:p>
      <w:pPr>
        <w:spacing w:after="0"/>
        <w:rPr>
          <w:sz w:val="20"/>
          <w:szCs w:val="20"/>
          <w:color w:val="auto"/>
        </w:rPr>
      </w:pPr>
      <w:r>
        <w:rPr>
          <w:rFonts w:ascii="Arial" w:cs="Arial" w:eastAsia="Arial" w:hAnsi="Arial"/>
          <w:sz w:val="7"/>
          <w:szCs w:val="7"/>
          <w:color w:val="auto"/>
        </w:rPr>
        <w:t>DCP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60" w:type="dxa"/>
            <w:vAlign w:val="bottom"/>
            <w:gridSpan w:val="9"/>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392"/>
        </w:trPr>
        <w:tc>
          <w:tcPr>
            <w:tcW w:w="30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rPr>
              <w:t>FORWARD-LOOKING STATEMENT</w:t>
            </w:r>
          </w:p>
        </w:tc>
        <w:tc>
          <w:tcPr>
            <w:tcW w:w="764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7"/>
        </w:trPr>
        <w:tc>
          <w:tcPr>
            <w:tcW w:w="10660" w:type="dxa"/>
            <w:vAlign w:val="bottom"/>
            <w:gridSpan w:val="22"/>
          </w:tcPr>
          <w:p>
            <w:pPr>
              <w:spacing w:after="0"/>
              <w:rPr>
                <w:sz w:val="20"/>
                <w:szCs w:val="20"/>
                <w:color w:val="auto"/>
              </w:rPr>
            </w:pPr>
            <w:r>
              <w:rPr>
                <w:rFonts w:ascii="Arial" w:cs="Arial" w:eastAsia="Arial" w:hAnsi="Arial"/>
                <w:sz w:val="18"/>
                <w:szCs w:val="18"/>
                <w:b w:val="1"/>
                <w:bCs w:val="1"/>
                <w:color w:val="0000EE"/>
              </w:rPr>
              <w:t>PART I – FINANCIAL INFORMATION</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980" w:type="dxa"/>
            <w:vAlign w:val="bottom"/>
            <w:tcBorders>
              <w:top w:val="single" w:sz="8" w:color="0000EE"/>
            </w:tcBorders>
            <w:gridSpan w:val="2"/>
          </w:tcPr>
          <w:p>
            <w:pPr>
              <w:ind w:left="220"/>
              <w:spacing w:after="0"/>
              <w:rPr>
                <w:sz w:val="20"/>
                <w:szCs w:val="20"/>
                <w:color w:val="auto"/>
              </w:rPr>
            </w:pPr>
            <w:r>
              <w:rPr>
                <w:rFonts w:ascii="Arial" w:cs="Arial" w:eastAsia="Arial" w:hAnsi="Arial"/>
                <w:sz w:val="18"/>
                <w:szCs w:val="18"/>
                <w:color w:val="auto"/>
              </w:rPr>
              <w:t>Item 1.</w:t>
            </w:r>
          </w:p>
        </w:tc>
        <w:tc>
          <w:tcPr>
            <w:tcW w:w="16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88"/>
              </w:rPr>
              <w:t>Financial Statements</w:t>
            </w:r>
          </w:p>
        </w:tc>
        <w:tc>
          <w:tcPr>
            <w:tcW w:w="560" w:type="dxa"/>
            <w:vAlign w:val="bottom"/>
            <w:tcBorders>
              <w:top w:val="single" w:sz="8" w:color="0000EE"/>
            </w:tcBorders>
            <w:gridSpan w:val="4"/>
          </w:tcPr>
          <w:p>
            <w:pPr>
              <w:spacing w:after="0"/>
              <w:rPr>
                <w:sz w:val="24"/>
                <w:szCs w:val="24"/>
                <w:color w:val="auto"/>
              </w:rPr>
            </w:pPr>
          </w:p>
        </w:tc>
        <w:tc>
          <w:tcPr>
            <w:tcW w:w="750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Consolidated Balance Sheets – September 30, 2022 (unaudited) and December 31, 2021</w:t>
            </w:r>
          </w:p>
        </w:tc>
        <w:tc>
          <w:tcPr>
            <w:tcW w:w="332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Consolidated Statements of Operations for the three and nine-months ended September 30, 2022 and 2021 (unaudited)</w:t>
            </w:r>
          </w:p>
        </w:tc>
        <w:tc>
          <w:tcPr>
            <w:tcW w:w="11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Consolidated Statements of Comprehensive Loss for the three and nine-months ended September 30, 2022 and 2021 (unaudited)</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80" w:type="dxa"/>
            <w:vAlign w:val="bottom"/>
            <w:gridSpan w:val="20"/>
          </w:tcPr>
          <w:p>
            <w:pPr>
              <w:spacing w:after="0"/>
              <w:rPr>
                <w:sz w:val="20"/>
                <w:szCs w:val="20"/>
                <w:color w:val="auto"/>
              </w:rPr>
            </w:pPr>
            <w:r>
              <w:rPr>
                <w:rFonts w:ascii="Arial" w:cs="Arial" w:eastAsia="Arial" w:hAnsi="Arial"/>
                <w:sz w:val="18"/>
                <w:szCs w:val="18"/>
                <w:color w:val="0000EE"/>
                <w:w w:val="93"/>
              </w:rPr>
              <w:t>Consolidated Statements of Shareholders’ Equity for the three and nine-months ended September 30, 2022 and 2021 (unaudited)</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Consolidated Statements of Cash Flows for the nine-months ended September 30, 2022 and 2021 (unaudited)</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1"/>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180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2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1"/>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53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1"/>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Controls and Procedures</w:t>
            </w:r>
          </w:p>
        </w:tc>
        <w:tc>
          <w:tcPr>
            <w:tcW w:w="790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27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rPr>
              <w:t>Part II – OTHER INFORMATION</w:t>
            </w:r>
          </w:p>
        </w:tc>
        <w:tc>
          <w:tcPr>
            <w:tcW w:w="792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834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68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68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Defaults Upon Senior Securities</w:t>
            </w:r>
          </w:p>
        </w:tc>
        <w:tc>
          <w:tcPr>
            <w:tcW w:w="534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7"/>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3"/>
          </w:tcPr>
          <w:p>
            <w:pPr>
              <w:spacing w:after="0"/>
              <w:rPr>
                <w:sz w:val="24"/>
                <w:szCs w:val="24"/>
                <w:color w:val="auto"/>
              </w:rPr>
            </w:pPr>
          </w:p>
        </w:tc>
        <w:tc>
          <w:tcPr>
            <w:tcW w:w="736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Other Information</w:t>
            </w:r>
          </w:p>
        </w:tc>
        <w:tc>
          <w:tcPr>
            <w:tcW w:w="836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Exhibits</w:t>
            </w:r>
          </w:p>
        </w:tc>
        <w:tc>
          <w:tcPr>
            <w:tcW w:w="908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440" w:type="dxa"/>
            <w:vAlign w:val="bottom"/>
          </w:tcPr>
          <w:p>
            <w:pPr>
              <w:spacing w:after="0"/>
              <w:rPr>
                <w:sz w:val="24"/>
                <w:szCs w:val="24"/>
                <w:color w:val="auto"/>
              </w:rPr>
            </w:pPr>
          </w:p>
        </w:tc>
        <w:tc>
          <w:tcPr>
            <w:tcW w:w="10220" w:type="dxa"/>
            <w:vAlign w:val="bottom"/>
            <w:gridSpan w:val="21"/>
          </w:tcPr>
          <w:p>
            <w:pPr>
              <w:spacing w:after="0"/>
              <w:rPr>
                <w:sz w:val="20"/>
                <w:szCs w:val="20"/>
                <w:color w:val="auto"/>
              </w:rPr>
            </w:pPr>
            <w:r>
              <w:rPr>
                <w:rFonts w:ascii="Arial" w:cs="Arial" w:eastAsia="Arial" w:hAnsi="Arial"/>
                <w:sz w:val="18"/>
                <w:szCs w:val="18"/>
                <w:color w:val="0000EE"/>
              </w:rPr>
              <w:t>Signatures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013"/>
        </w:trPr>
        <w:tc>
          <w:tcPr>
            <w:tcW w:w="44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5560"/>
        <w:spacing w:after="0" w:line="377" w:lineRule="auto"/>
        <w:rPr>
          <w:sz w:val="20"/>
          <w:szCs w:val="20"/>
          <w:color w:val="auto"/>
        </w:rPr>
      </w:pPr>
      <w:r>
        <w:rPr>
          <w:rFonts w:ascii="Arial" w:cs="Arial" w:eastAsia="Arial" w:hAnsi="Arial"/>
          <w:sz w:val="18"/>
          <w:szCs w:val="18"/>
          <w:b w:val="1"/>
          <w:bCs w:val="1"/>
          <w:color w:val="auto"/>
        </w:rPr>
        <w:t>SPECIAL NOTE REGARDING FORWARD-LOOKING STATEMENTS FORWARD-LOOKING STATEMENT</w:t>
      </w:r>
    </w:p>
    <w:p>
      <w:pPr>
        <w:spacing w:after="0" w:line="2"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w:t>
      </w:r>
    </w:p>
    <w:p>
      <w:pPr>
        <w:spacing w:after="0" w:line="267" w:lineRule="auto"/>
        <w:rPr>
          <w:sz w:val="20"/>
          <w:szCs w:val="20"/>
          <w:color w:val="auto"/>
        </w:rPr>
      </w:pPr>
      <w:r>
        <w:rPr>
          <w:rFonts w:ascii="Arial" w:cs="Arial" w:eastAsia="Arial" w:hAnsi="Arial"/>
          <w:sz w:val="17"/>
          <w:szCs w:val="17"/>
          <w:i w:val="1"/>
          <w:iCs w:val="1"/>
          <w:color w:val="auto"/>
        </w:rPr>
        <w:t>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of the ongoing COVID-19 pandemic, including effects on the economy of existing and future variants on the original COVID-19 strain; tax and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70"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300" w:type="dxa"/>
            <w:vAlign w:val="bottom"/>
          </w:tcPr>
          <w:p>
            <w:pPr>
              <w:spacing w:after="0"/>
              <w:rPr>
                <w:sz w:val="13"/>
                <w:szCs w:val="13"/>
                <w:color w:val="auto"/>
              </w:rPr>
            </w:pPr>
          </w:p>
        </w:tc>
        <w:tc>
          <w:tcPr>
            <w:tcW w:w="156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September 30, 2022</w:t>
            </w: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December 31, 2021</w:t>
            </w:r>
          </w:p>
        </w:tc>
        <w:tc>
          <w:tcPr>
            <w:tcW w:w="120" w:type="dxa"/>
            <w:vAlign w:val="bottom"/>
          </w:tcPr>
          <w:p>
            <w:pPr>
              <w:spacing w:after="0"/>
              <w:rPr>
                <w:sz w:val="13"/>
                <w:szCs w:val="13"/>
                <w:color w:val="auto"/>
              </w:rPr>
            </w:pPr>
          </w:p>
        </w:tc>
      </w:tr>
      <w:tr>
        <w:trPr>
          <w:trHeight w:val="223"/>
        </w:trPr>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23,613</w:t>
            </w:r>
          </w:p>
        </w:tc>
        <w:tc>
          <w:tcPr>
            <w:tcW w:w="26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55,511</w:t>
            </w:r>
          </w:p>
        </w:tc>
        <w:tc>
          <w:tcPr>
            <w:tcW w:w="12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shd w:val="clear" w:color="auto" w:fill="CFF0FC"/>
          </w:tcPr>
          <w:p>
            <w:pPr>
              <w:spacing w:after="0"/>
              <w:rPr>
                <w:sz w:val="19"/>
                <w:szCs w:val="19"/>
                <w:color w:val="auto"/>
              </w:rPr>
            </w:pPr>
          </w:p>
        </w:tc>
      </w:tr>
      <w:tr>
        <w:trPr>
          <w:trHeight w:val="229"/>
        </w:trPr>
        <w:tc>
          <w:tcPr>
            <w:tcW w:w="83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9"/>
                <w:szCs w:val="19"/>
                <w:color w:val="auto"/>
              </w:rPr>
            </w:pPr>
          </w:p>
        </w:tc>
      </w:tr>
      <w:tr>
        <w:trPr>
          <w:trHeight w:val="230"/>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BARDA receivables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r>
      <w:tr>
        <w:trPr>
          <w:trHeight w:val="229"/>
        </w:trPr>
        <w:tc>
          <w:tcPr>
            <w:tcW w:w="8300" w:type="dxa"/>
            <w:vAlign w:val="bottom"/>
          </w:tcPr>
          <w:p>
            <w:pPr>
              <w:ind w:left="260"/>
              <w:spacing w:after="0"/>
              <w:rPr>
                <w:sz w:val="20"/>
                <w:szCs w:val="20"/>
                <w:color w:val="auto"/>
              </w:rPr>
            </w:pPr>
            <w:r>
              <w:rPr>
                <w:rFonts w:ascii="Arial" w:cs="Arial" w:eastAsia="Arial" w:hAnsi="Arial"/>
                <w:sz w:val="18"/>
                <w:szCs w:val="18"/>
                <w:color w:val="auto"/>
              </w:rPr>
              <w:t>Prepaids and other current assets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r>
      <w:tr>
        <w:trPr>
          <w:trHeight w:val="230"/>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r>
      <w:tr>
        <w:trPr>
          <w:trHeight w:val="229"/>
        </w:trPr>
        <w:tc>
          <w:tcPr>
            <w:tcW w:w="8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91,720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92,132</w:t>
            </w:r>
          </w:p>
        </w:tc>
        <w:tc>
          <w:tcPr>
            <w:tcW w:w="120" w:type="dxa"/>
            <w:vAlign w:val="bottom"/>
            <w:shd w:val="clear" w:color="auto" w:fill="CFF0FC"/>
          </w:tcPr>
          <w:p>
            <w:pPr>
              <w:spacing w:after="0"/>
              <w:rPr>
                <w:sz w:val="19"/>
                <w:szCs w:val="19"/>
                <w:color w:val="auto"/>
              </w:rPr>
            </w:pPr>
          </w:p>
        </w:tc>
      </w:tr>
      <w:tr>
        <w:trPr>
          <w:trHeight w:val="229"/>
        </w:trPr>
        <w:tc>
          <w:tcPr>
            <w:tcW w:w="8300" w:type="dxa"/>
            <w:vAlign w:val="bottom"/>
          </w:tcPr>
          <w:p>
            <w:pPr>
              <w:ind w:left="260"/>
              <w:spacing w:after="0"/>
              <w:rPr>
                <w:sz w:val="20"/>
                <w:szCs w:val="20"/>
                <w:color w:val="auto"/>
              </w:rPr>
            </w:pPr>
            <w:r>
              <w:rPr>
                <w:rFonts w:ascii="Arial" w:cs="Arial" w:eastAsia="Arial" w:hAnsi="Arial"/>
                <w:sz w:val="18"/>
                <w:szCs w:val="18"/>
                <w:color w:val="auto"/>
              </w:rPr>
              <w:t>Marketable securities, long-term</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Plant and equipment, net</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Corporate-owned life insurance asset</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29"/>
        </w:trPr>
        <w:tc>
          <w:tcPr>
            <w:tcW w:w="83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r>
      <w:tr>
        <w:trPr>
          <w:trHeight w:val="230"/>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FF0FC"/>
          </w:tcPr>
          <w:p>
            <w:pPr>
              <w:spacing w:after="0"/>
              <w:rPr>
                <w:sz w:val="19"/>
                <w:szCs w:val="19"/>
                <w:color w:val="auto"/>
              </w:rPr>
            </w:pPr>
          </w:p>
        </w:tc>
      </w:tr>
      <w:tr>
        <w:trPr>
          <w:trHeight w:val="223"/>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116,015</w:t>
            </w:r>
          </w:p>
        </w:tc>
        <w:tc>
          <w:tcPr>
            <w:tcW w:w="12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wages and fringe benefits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120" w:type="dxa"/>
            <w:vAlign w:val="bottom"/>
            <w:shd w:val="clear" w:color="auto" w:fill="CFF0FC"/>
          </w:tcPr>
          <w:p>
            <w:pPr>
              <w:spacing w:after="0"/>
              <w:rPr>
                <w:sz w:val="19"/>
                <w:szCs w:val="19"/>
                <w:color w:val="auto"/>
              </w:rPr>
            </w:pPr>
          </w:p>
        </w:tc>
      </w:tr>
      <w:tr>
        <w:trPr>
          <w:trHeight w:val="230"/>
        </w:trPr>
        <w:tc>
          <w:tcPr>
            <w:tcW w:w="8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12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 liability</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r>
      <w:tr>
        <w:trPr>
          <w:trHeight w:val="230"/>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Operating lease liabilities, long-term</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23"/>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Non-qualified deferred compensation plan share awards</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Contingencies (Note 12)</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830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200,000,000 shares authorized, 25,030,902 and</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24,925,743 shares issued and outstanding at September 30, 2022 and December 31, 2021,</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15"/>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per share, 10,000,000 shares authorized, no shares issued or</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September 30, 2022 and December 31, 2021</w:t>
            </w: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Company common stock held by the non-qualified deferred compensation plan</w:t>
            </w:r>
          </w:p>
        </w:tc>
        <w:tc>
          <w:tcPr>
            <w:tcW w:w="3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332,484</w:t>
            </w:r>
          </w:p>
        </w:tc>
        <w:tc>
          <w:tcPr>
            <w:tcW w:w="12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8,060</w:t>
            </w:r>
          </w:p>
        </w:tc>
        <w:tc>
          <w:tcPr>
            <w:tcW w:w="120" w:type="dxa"/>
            <w:vAlign w:val="bottom"/>
          </w:tcPr>
          <w:p>
            <w:pPr>
              <w:spacing w:after="0"/>
              <w:rPr>
                <w:sz w:val="19"/>
                <w:szCs w:val="19"/>
                <w:color w:val="auto"/>
              </w:rPr>
            </w:pPr>
          </w:p>
        </w:tc>
      </w:tr>
      <w:tr>
        <w:trPr>
          <w:trHeight w:val="230"/>
        </w:trPr>
        <w:tc>
          <w:tcPr>
            <w:tcW w:w="8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(257,235)</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(235,923)</w:t>
            </w:r>
          </w:p>
        </w:tc>
      </w:tr>
      <w:tr>
        <w:trPr>
          <w:trHeight w:val="223"/>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87,986</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104,624</w:t>
            </w:r>
          </w:p>
        </w:tc>
        <w:tc>
          <w:tcPr>
            <w:tcW w:w="120" w:type="dxa"/>
            <w:vAlign w:val="bottom"/>
            <w:tcBorders>
              <w:bottom w:val="single" w:sz="8" w:color="CFF0FC"/>
            </w:tcBorders>
          </w:tcPr>
          <w:p>
            <w:pPr>
              <w:spacing w:after="0"/>
              <w:rPr>
                <w:sz w:val="19"/>
                <w:szCs w:val="19"/>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99,932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6"/>
              </w:rPr>
              <w:t>Three-Months Ended September 30,</w:t>
            </w:r>
          </w:p>
        </w:tc>
        <w:tc>
          <w:tcPr>
            <w:tcW w:w="220" w:type="dxa"/>
            <w:vAlign w:val="bottom"/>
          </w:tcPr>
          <w:p>
            <w:pPr>
              <w:spacing w:after="0"/>
              <w:rPr>
                <w:sz w:val="14"/>
                <w:szCs w:val="14"/>
                <w:color w:val="auto"/>
              </w:rPr>
            </w:pPr>
          </w:p>
        </w:tc>
        <w:tc>
          <w:tcPr>
            <w:tcW w:w="2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Nine-Months Ended September 30,</w:t>
            </w:r>
          </w:p>
        </w:tc>
        <w:tc>
          <w:tcPr>
            <w:tcW w:w="0" w:type="dxa"/>
            <w:vAlign w:val="bottom"/>
          </w:tcPr>
          <w:p>
            <w:pPr>
              <w:spacing w:after="0"/>
              <w:rPr>
                <w:sz w:val="1"/>
                <w:szCs w:val="1"/>
                <w:color w:val="auto"/>
              </w:rPr>
            </w:pPr>
          </w:p>
        </w:tc>
      </w:tr>
      <w:tr>
        <w:trPr>
          <w:trHeight w:val="156"/>
        </w:trPr>
        <w:tc>
          <w:tcPr>
            <w:tcW w:w="39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BARDA income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Sales and marketing expenses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(5,349)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(18,009)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(16,046)</w:t>
            </w: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(3,388)</w:t>
            </w: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(10,478)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(11,471)</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(12,255)</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Operating loss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0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(0.22)</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(0.85)</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(0.85)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25,006,995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24,905,403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24,972,331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24,174,811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25,006,995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24,905,403</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24,972,331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24,174,811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Three-Months Ended September 30,</w:t>
            </w:r>
          </w:p>
        </w:tc>
        <w:tc>
          <w:tcPr>
            <w:tcW w:w="140" w:type="dxa"/>
            <w:vAlign w:val="bottom"/>
          </w:tcPr>
          <w:p>
            <w:pPr>
              <w:spacing w:after="0"/>
              <w:rPr>
                <w:sz w:val="14"/>
                <w:szCs w:val="14"/>
                <w:color w:val="auto"/>
              </w:rPr>
            </w:pPr>
          </w:p>
        </w:tc>
        <w:tc>
          <w:tcPr>
            <w:tcW w:w="2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Nine-Months Ended September 30,</w:t>
            </w:r>
          </w:p>
        </w:tc>
      </w:tr>
      <w:tr>
        <w:trPr>
          <w:trHeight w:val="156"/>
        </w:trPr>
        <w:tc>
          <w:tcPr>
            <w:tcW w:w="522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(5,588)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8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Change in foreign currency translation loss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9"/>
              </w:rPr>
              <w:t>Change in net unrealized loss on marketable securities, net of tax</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Comprehensive loss</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(5,774)</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(16,753)</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Three-Months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1420" w:type="dxa"/>
            <w:vAlign w:val="bottom"/>
            <w:tcBorders>
              <w:top w:val="single" w:sz="8" w:color="auto"/>
              <w:bottom w:val="single" w:sz="8" w:color="auto"/>
            </w:tcBorders>
            <w:gridSpan w:val="2"/>
          </w:tcPr>
          <w:p>
            <w:pPr>
              <w:ind w:left="560"/>
              <w:spacing w:after="0" w:line="142" w:lineRule="exact"/>
              <w:rPr>
                <w:sz w:val="20"/>
                <w:szCs w:val="20"/>
                <w:color w:val="auto"/>
              </w:rPr>
            </w:pPr>
            <w:r>
              <w:rPr>
                <w:rFonts w:ascii="Arial" w:cs="Arial" w:eastAsia="Arial" w:hAnsi="Arial"/>
                <w:sz w:val="13"/>
                <w:szCs w:val="13"/>
                <w:b w:val="1"/>
                <w:bCs w:val="1"/>
                <w:color w:val="auto"/>
                <w:w w:val="88"/>
              </w:rPr>
              <w:t>Common Stock</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Company common</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vMerge w:val="restart"/>
          </w:tcPr>
          <w:p>
            <w:pPr>
              <w:jc w:val="center"/>
              <w:ind w:right="13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stock held by the</w:t>
            </w:r>
          </w:p>
        </w:tc>
        <w:tc>
          <w:tcPr>
            <w:tcW w:w="140" w:type="dxa"/>
            <w:vAlign w:val="bottom"/>
          </w:tcPr>
          <w:p>
            <w:pPr>
              <w:spacing w:after="0"/>
              <w:rPr>
                <w:sz w:val="11"/>
                <w:szCs w:val="11"/>
                <w:color w:val="auto"/>
              </w:rPr>
            </w:pPr>
          </w:p>
        </w:tc>
        <w:tc>
          <w:tcPr>
            <w:tcW w:w="124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2022</w:t>
            </w:r>
          </w:p>
        </w:tc>
        <w:tc>
          <w:tcPr>
            <w:tcW w:w="1420" w:type="dxa"/>
            <w:vAlign w:val="bottom"/>
            <w:gridSpan w:val="2"/>
          </w:tcPr>
          <w:p>
            <w:pPr>
              <w:ind w:left="4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NQDC</w:t>
            </w:r>
          </w:p>
        </w:tc>
        <w:tc>
          <w:tcPr>
            <w:tcW w:w="14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Paid-in 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FF0FC"/>
            </w:tcBorders>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25,003,088</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336,668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7,536</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(251,647)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92,560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(5,588)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(5,588)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units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9,887</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40" w:type="dxa"/>
            <w:vAlign w:val="bottom"/>
          </w:tcPr>
          <w:p>
            <w:pPr>
              <w:spacing w:after="0" w:line="143" w:lineRule="exact"/>
              <w:rPr>
                <w:sz w:val="20"/>
                <w:szCs w:val="20"/>
                <w:color w:val="auto"/>
              </w:rPr>
            </w:pPr>
            <w:r>
              <w:rPr>
                <w:rFonts w:ascii="Arial" w:cs="Arial" w:eastAsia="Arial" w:hAnsi="Arial"/>
                <w:sz w:val="14"/>
                <w:szCs w:val="14"/>
                <w:color w:val="auto"/>
              </w:rPr>
              <w:t>Company common stock held by</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the NQDC</w:t>
            </w:r>
          </w:p>
        </w:tc>
        <w:tc>
          <w:tcPr>
            <w:tcW w:w="1220" w:type="dxa"/>
            <w:vAlign w:val="bottom"/>
          </w:tcPr>
          <w:p>
            <w:pPr>
              <w:jc w:val="right"/>
              <w:spacing w:after="0"/>
              <w:rPr>
                <w:sz w:val="20"/>
                <w:szCs w:val="20"/>
                <w:color w:val="auto"/>
              </w:rPr>
            </w:pPr>
            <w:r>
              <w:rPr>
                <w:rFonts w:ascii="Arial" w:cs="Arial" w:eastAsia="Arial" w:hAnsi="Arial"/>
                <w:sz w:val="14"/>
                <w:szCs w:val="14"/>
                <w:color w:val="auto"/>
              </w:rPr>
              <w:t>17,927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redemption value of</w:t>
            </w: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share awards in NQDC plan</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56"/>
        </w:trPr>
        <w:tc>
          <w:tcPr>
            <w:tcW w:w="22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2022</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25,030,902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337,995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7,350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(257,235)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87,986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Three-Months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wp:posOffset>
            </wp:positionV>
            <wp:extent cx="564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14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92"/>
              </w:rPr>
              <w:t>Common Stock</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auto"/>
                <w:w w:val="87"/>
              </w:rPr>
              <w:t>Company common</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0"/>
              </w:rPr>
              <w:t>Accumulated 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left="13"/>
              <w:spacing w:after="0" w:line="135" w:lineRule="exact"/>
              <w:rPr>
                <w:sz w:val="20"/>
                <w:szCs w:val="20"/>
                <w:color w:val="auto"/>
              </w:rPr>
            </w:pPr>
            <w:r>
              <w:rPr>
                <w:rFonts w:ascii="Arial" w:cs="Arial" w:eastAsia="Arial" w:hAnsi="Arial"/>
                <w:sz w:val="13"/>
                <w:szCs w:val="13"/>
                <w:b w:val="1"/>
                <w:bCs w:val="1"/>
                <w:color w:val="auto"/>
                <w:w w:val="84"/>
              </w:rPr>
              <w:t>stock held by the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250"/>
              <w:spacing w:after="0" w:line="135" w:lineRule="exact"/>
              <w:rPr>
                <w:sz w:val="20"/>
                <w:szCs w:val="20"/>
                <w:color w:val="auto"/>
              </w:rPr>
            </w:pPr>
            <w:r>
              <w:rPr>
                <w:rFonts w:ascii="Arial" w:cs="Arial" w:eastAsia="Arial" w:hAnsi="Arial"/>
                <w:sz w:val="13"/>
                <w:szCs w:val="13"/>
                <w:b w:val="1"/>
                <w:bCs w:val="1"/>
                <w:color w:val="auto"/>
              </w:rPr>
              <w:t>Additional</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1"/>
                <w:szCs w:val="11"/>
                <w:color w:val="auto"/>
              </w:rPr>
            </w:pPr>
          </w:p>
        </w:tc>
        <w:tc>
          <w:tcPr>
            <w:tcW w:w="132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0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2021</w:t>
            </w:r>
          </w:p>
        </w:tc>
        <w:tc>
          <w:tcPr>
            <w:tcW w:w="1460" w:type="dxa"/>
            <w:vAlign w:val="bottom"/>
            <w:gridSpan w:val="2"/>
          </w:tcPr>
          <w:p>
            <w:pPr>
              <w:ind w:left="42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NQDC</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30"/>
              <w:spacing w:after="0"/>
              <w:rPr>
                <w:sz w:val="20"/>
                <w:szCs w:val="20"/>
                <w:color w:val="auto"/>
              </w:rPr>
            </w:pPr>
            <w:r>
              <w:rPr>
                <w:rFonts w:ascii="Arial" w:cs="Arial" w:eastAsia="Arial" w:hAnsi="Arial"/>
                <w:sz w:val="13"/>
                <w:szCs w:val="13"/>
                <w:b w:val="1"/>
                <w:bCs w:val="1"/>
                <w:color w:val="auto"/>
                <w:w w:val="95"/>
              </w:rPr>
              <w:t>Paid-in Capital</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Gain (Loss)</w:t>
            </w:r>
          </w:p>
        </w:tc>
        <w:tc>
          <w:tcPr>
            <w:tcW w:w="160" w:type="dxa"/>
            <w:vAlign w:val="bottom"/>
          </w:tcPr>
          <w:p>
            <w:pPr>
              <w:spacing w:after="0"/>
              <w:rPr>
                <w:sz w:val="13"/>
                <w:szCs w:val="13"/>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FF0FC"/>
            </w:tcBorders>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24,895,864</w:t>
            </w: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953"/>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328,889</w:t>
            </w:r>
          </w:p>
        </w:tc>
        <w:tc>
          <w:tcPr>
            <w:tcW w:w="260" w:type="dxa"/>
            <w:vAlign w:val="bottom"/>
            <w:tcBorders>
              <w:bottom w:val="single" w:sz="8" w:color="CFF0FC"/>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8,259</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(221,496)</w:t>
            </w:r>
          </w:p>
        </w:tc>
        <w:tc>
          <w:tcPr>
            <w:tcW w:w="24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115,655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(5,948)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(5,948)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220" w:type="dxa"/>
            <w:vAlign w:val="bottom"/>
          </w:tcPr>
          <w:p>
            <w:pPr>
              <w:jc w:val="right"/>
              <w:spacing w:after="0"/>
              <w:rPr>
                <w:sz w:val="20"/>
                <w:szCs w:val="20"/>
                <w:color w:val="auto"/>
              </w:rPr>
            </w:pPr>
            <w:r>
              <w:rPr>
                <w:rFonts w:ascii="Arial" w:cs="Arial" w:eastAsia="Arial" w:hAnsi="Arial"/>
                <w:sz w:val="14"/>
                <w:szCs w:val="14"/>
                <w:color w:val="auto"/>
              </w:rPr>
              <w:t>28,754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2021</w:t>
            </w: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220" w:type="dxa"/>
            <w:vAlign w:val="bottom"/>
            <w:vMerge w:val="continue"/>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24,925,118</w:t>
            </w:r>
          </w:p>
        </w:tc>
        <w:tc>
          <w:tcPr>
            <w:tcW w:w="240" w:type="dxa"/>
            <w:vAlign w:val="bottom"/>
          </w:tcPr>
          <w:p>
            <w:pPr>
              <w:spacing w:after="0"/>
              <w:rPr>
                <w:sz w:val="14"/>
                <w:szCs w:val="14"/>
                <w:color w:val="auto"/>
              </w:rPr>
            </w:pPr>
          </w:p>
        </w:tc>
        <w:tc>
          <w:tcPr>
            <w:tcW w:w="2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76"/>
              </w:rPr>
              <w:t>$</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vMerge w:val="restart"/>
          </w:tcPr>
          <w:p>
            <w:pPr>
              <w:spacing w:after="0"/>
              <w:rPr>
                <w:sz w:val="14"/>
                <w:szCs w:val="14"/>
                <w:color w:val="auto"/>
              </w:rPr>
            </w:pPr>
          </w:p>
        </w:tc>
        <w:tc>
          <w:tcPr>
            <w:tcW w:w="110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w w:val="76"/>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2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330,734</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8,199</w:t>
            </w:r>
          </w:p>
        </w:tc>
        <w:tc>
          <w:tcPr>
            <w:tcW w:w="220" w:type="dxa"/>
            <w:vAlign w:val="bottom"/>
          </w:tcPr>
          <w:p>
            <w:pPr>
              <w:spacing w:after="0"/>
              <w:rPr>
                <w:sz w:val="14"/>
                <w:szCs w:val="14"/>
                <w:color w:val="auto"/>
              </w:rPr>
            </w:pP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(227,444)</w:t>
            </w:r>
          </w:p>
        </w:tc>
        <w:tc>
          <w:tcPr>
            <w:tcW w:w="1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111,492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2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Nine-Months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17145</wp:posOffset>
            </wp:positionV>
            <wp:extent cx="5648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40" w:type="dxa"/>
            <w:vAlign w:val="bottom"/>
          </w:tcPr>
          <w:p>
            <w:pPr>
              <w:spacing w:after="0"/>
              <w:rPr>
                <w:sz w:val="13"/>
                <w:szCs w:val="13"/>
                <w:color w:val="auto"/>
              </w:rPr>
            </w:pP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88"/>
              </w:rPr>
              <w:t>Common Stock</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Company common</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stock held by the</w:t>
            </w:r>
          </w:p>
        </w:tc>
        <w:tc>
          <w:tcPr>
            <w:tcW w:w="140" w:type="dxa"/>
            <w:vAlign w:val="bottom"/>
          </w:tcPr>
          <w:p>
            <w:pPr>
              <w:spacing w:after="0"/>
              <w:rPr>
                <w:sz w:val="11"/>
                <w:szCs w:val="11"/>
                <w:color w:val="auto"/>
              </w:rPr>
            </w:pPr>
          </w:p>
        </w:tc>
        <w:tc>
          <w:tcPr>
            <w:tcW w:w="124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2021</w:t>
            </w:r>
          </w:p>
        </w:tc>
        <w:tc>
          <w:tcPr>
            <w:tcW w:w="1420" w:type="dxa"/>
            <w:vAlign w:val="bottom"/>
            <w:gridSpan w:val="2"/>
          </w:tcPr>
          <w:p>
            <w:pPr>
              <w:ind w:left="4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NQDC</w:t>
            </w:r>
          </w:p>
        </w:tc>
        <w:tc>
          <w:tcPr>
            <w:tcW w:w="14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Paid-in 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FF0FC"/>
            </w:tcBorders>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24,925,743</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332,484</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8,060</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(235,923)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104,624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(21,312)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(21,312)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220" w:type="dxa"/>
            <w:vAlign w:val="bottom"/>
          </w:tcPr>
          <w:p>
            <w:pPr>
              <w:jc w:val="right"/>
              <w:spacing w:after="0"/>
              <w:rPr>
                <w:sz w:val="20"/>
                <w:szCs w:val="20"/>
                <w:color w:val="auto"/>
              </w:rPr>
            </w:pPr>
            <w:r>
              <w:rPr>
                <w:rFonts w:ascii="Arial" w:cs="Arial" w:eastAsia="Arial" w:hAnsi="Arial"/>
                <w:sz w:val="14"/>
                <w:szCs w:val="14"/>
                <w:color w:val="auto"/>
              </w:rPr>
              <w:t>87,107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Company common stock held by</w:t>
            </w: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the NQDC</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17,927</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40" w:type="dxa"/>
            <w:vAlign w:val="bottom"/>
          </w:tcPr>
          <w:p>
            <w:pPr>
              <w:spacing w:after="0" w:line="143" w:lineRule="exact"/>
              <w:rPr>
                <w:sz w:val="20"/>
                <w:szCs w:val="20"/>
                <w:color w:val="auto"/>
              </w:rPr>
            </w:pPr>
            <w:r>
              <w:rPr>
                <w:rFonts w:ascii="Arial" w:cs="Arial" w:eastAsia="Arial" w:hAnsi="Arial"/>
                <w:sz w:val="14"/>
                <w:szCs w:val="14"/>
                <w:color w:val="auto"/>
              </w:rPr>
              <w:t>Change in classification of deferred</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compensation share awards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redemption value of</w:t>
            </w: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share awards in NQDC plan</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(710)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55"/>
        </w:trPr>
        <w:tc>
          <w:tcPr>
            <w:tcW w:w="22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2022</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25,030,902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337,995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7,350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(257,235)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87,986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Nine-Months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14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92"/>
              </w:rPr>
              <w:t>Common Stock</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auto"/>
                <w:w w:val="87"/>
              </w:rPr>
              <w:t>Company common</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0"/>
              </w:rPr>
              <w:t>Accumulated 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left="13"/>
              <w:spacing w:after="0" w:line="135" w:lineRule="exact"/>
              <w:rPr>
                <w:sz w:val="20"/>
                <w:szCs w:val="20"/>
                <w:color w:val="auto"/>
              </w:rPr>
            </w:pPr>
            <w:r>
              <w:rPr>
                <w:rFonts w:ascii="Arial" w:cs="Arial" w:eastAsia="Arial" w:hAnsi="Arial"/>
                <w:sz w:val="13"/>
                <w:szCs w:val="13"/>
                <w:b w:val="1"/>
                <w:bCs w:val="1"/>
                <w:color w:val="auto"/>
                <w:w w:val="84"/>
              </w:rPr>
              <w:t>stock held by the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1"/>
                <w:szCs w:val="11"/>
                <w:color w:val="auto"/>
              </w:rPr>
            </w:pPr>
          </w:p>
        </w:tc>
        <w:tc>
          <w:tcPr>
            <w:tcW w:w="132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0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2020</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NQDC</w:t>
            </w:r>
          </w:p>
        </w:tc>
        <w:tc>
          <w:tcPr>
            <w:tcW w:w="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5"/>
              </w:rPr>
              <w:t>Paid-in Capital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9"/>
              </w:rPr>
              <w:t>Gain (Loss)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20" w:type="dxa"/>
            <w:vAlign w:val="bottom"/>
            <w:vMerge w:val="continue"/>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21,625,058</w:t>
            </w:r>
          </w:p>
        </w:tc>
        <w:tc>
          <w:tcPr>
            <w:tcW w:w="240" w:type="dxa"/>
            <w:vAlign w:val="bottom"/>
          </w:tcPr>
          <w:p>
            <w:pPr>
              <w:spacing w:after="0"/>
              <w:rPr>
                <w:sz w:val="14"/>
                <w:szCs w:val="14"/>
                <w:color w:val="auto"/>
              </w:rPr>
            </w:pPr>
          </w:p>
        </w:tc>
        <w:tc>
          <w:tcPr>
            <w:tcW w:w="2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76"/>
              </w:rPr>
              <w:t>$</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vMerge w:val="restart"/>
          </w:tcPr>
          <w:p>
            <w:pPr>
              <w:spacing w:after="0"/>
              <w:rPr>
                <w:sz w:val="14"/>
                <w:szCs w:val="14"/>
                <w:color w:val="auto"/>
              </w:rPr>
            </w:pPr>
          </w:p>
        </w:tc>
        <w:tc>
          <w:tcPr>
            <w:tcW w:w="110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w w:val="76"/>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2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262,086</w:t>
            </w:r>
          </w:p>
        </w:tc>
        <w:tc>
          <w:tcPr>
            <w:tcW w:w="16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8,289</w:t>
            </w:r>
          </w:p>
        </w:tc>
        <w:tc>
          <w:tcPr>
            <w:tcW w:w="220" w:type="dxa"/>
            <w:vAlign w:val="bottom"/>
          </w:tcPr>
          <w:p>
            <w:pPr>
              <w:spacing w:after="0"/>
              <w:rPr>
                <w:sz w:val="14"/>
                <w:szCs w:val="14"/>
                <w:color w:val="auto"/>
              </w:rPr>
            </w:pP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(210,781)</w:t>
            </w:r>
          </w:p>
        </w:tc>
        <w:tc>
          <w:tcPr>
            <w:tcW w:w="1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59,597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2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2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(16,663)</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(16,663)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20"/>
                <w:szCs w:val="20"/>
                <w:color w:val="auto"/>
              </w:rPr>
            </w:pPr>
            <w:r>
              <w:rPr>
                <w:rFonts w:ascii="Arial" w:cs="Arial" w:eastAsia="Arial" w:hAnsi="Arial"/>
                <w:sz w:val="14"/>
                <w:szCs w:val="14"/>
                <w:color w:val="auto"/>
              </w:rPr>
              <w:t>direct placement</w:t>
            </w:r>
          </w:p>
        </w:tc>
        <w:tc>
          <w:tcPr>
            <w:tcW w:w="1220" w:type="dxa"/>
            <w:vAlign w:val="bottom"/>
          </w:tcPr>
          <w:p>
            <w:pPr>
              <w:jc w:val="right"/>
              <w:spacing w:after="0"/>
              <w:rPr>
                <w:sz w:val="20"/>
                <w:szCs w:val="20"/>
                <w:color w:val="auto"/>
              </w:rPr>
            </w:pPr>
            <w:r>
              <w:rPr>
                <w:rFonts w:ascii="Arial" w:cs="Arial" w:eastAsia="Arial" w:hAnsi="Arial"/>
                <w:sz w:val="14"/>
                <w:szCs w:val="14"/>
                <w:color w:val="auto"/>
              </w:rPr>
              <w:t>3,214,250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69,106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69,106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costs associated with</w:t>
            </w: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direct placement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(5,109)</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(5,109)</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Vesting of RSU awards</w:t>
            </w:r>
          </w:p>
        </w:tc>
        <w:tc>
          <w:tcPr>
            <w:tcW w:w="1220" w:type="dxa"/>
            <w:vAlign w:val="bottom"/>
          </w:tcPr>
          <w:p>
            <w:pPr>
              <w:jc w:val="right"/>
              <w:spacing w:after="0"/>
              <w:rPr>
                <w:sz w:val="20"/>
                <w:szCs w:val="20"/>
                <w:color w:val="auto"/>
              </w:rPr>
            </w:pPr>
            <w:r>
              <w:rPr>
                <w:rFonts w:ascii="Arial" w:cs="Arial" w:eastAsia="Arial" w:hAnsi="Arial"/>
                <w:sz w:val="14"/>
                <w:szCs w:val="14"/>
                <w:color w:val="auto"/>
              </w:rPr>
              <w:t>76,260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(90)</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24,925,118</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953"/>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330,734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8,199</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(227,444)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111,492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5"/>
          </w:tcPr>
          <w:p>
            <w:pPr>
              <w:jc w:val="right"/>
              <w:ind w:right="1360"/>
              <w:spacing w:after="0"/>
              <w:rPr>
                <w:sz w:val="20"/>
                <w:szCs w:val="20"/>
                <w:color w:val="auto"/>
              </w:rPr>
            </w:pPr>
            <w:r>
              <w:rPr>
                <w:rFonts w:ascii="Arial" w:cs="Arial" w:eastAsia="Arial" w:hAnsi="Arial"/>
                <w:sz w:val="16"/>
                <w:szCs w:val="16"/>
                <w:b w:val="1"/>
                <w:bCs w:val="1"/>
                <w:color w:val="auto"/>
              </w:rPr>
              <w:t>Nine-Months Ended</w:t>
            </w:r>
          </w:p>
        </w:tc>
        <w:tc>
          <w:tcPr>
            <w:tcW w:w="0" w:type="dxa"/>
            <w:vAlign w:val="bottom"/>
          </w:tcPr>
          <w:p>
            <w:pPr>
              <w:spacing w:after="0"/>
              <w:rPr>
                <w:sz w:val="1"/>
                <w:szCs w:val="1"/>
                <w:color w:val="auto"/>
              </w:rPr>
            </w:pPr>
          </w:p>
        </w:tc>
      </w:tr>
      <w:tr>
        <w:trPr>
          <w:trHeight w:val="207"/>
        </w:trPr>
        <w:tc>
          <w:tcPr>
            <w:tcW w:w="7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w w:val="92"/>
              </w:rPr>
              <w:t>September 30, 2022</w:t>
            </w: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September 30,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(21,312)</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(16,663)</w:t>
            </w:r>
          </w:p>
        </w:tc>
        <w:tc>
          <w:tcPr>
            <w:tcW w:w="0" w:type="dxa"/>
            <w:vAlign w:val="bottom"/>
          </w:tcPr>
          <w:p>
            <w:pPr>
              <w:spacing w:after="0"/>
              <w:rPr>
                <w:sz w:val="1"/>
                <w:szCs w:val="1"/>
                <w:color w:val="auto"/>
              </w:rPr>
            </w:pPr>
          </w:p>
        </w:tc>
      </w:tr>
      <w:tr>
        <w:trPr>
          <w:trHeight w:val="213"/>
        </w:trPr>
        <w:tc>
          <w:tcPr>
            <w:tcW w:w="724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5,782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lease expense</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Loss on fixed asset disposal</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Patent impairment loss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Remeasurement and foreign currency transaction gain</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(121)</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Excess and obsolete inventory related charges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BARDA deferred costs</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cost amortization</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Provision for doubtful accounts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of marketable securities</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Non-cash changes in the fair value of NQDC plan</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Changes in operating assets and liabilities: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Trade and other receivables</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(449)</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BARDA receivables</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(484)</w:t>
            </w: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Prepaids and other current assets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Operating lease liability</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(531)</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Corporate-owned life insurance asset</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(840)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Other long-term assets</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(163)</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Accrued wages and fringe benefits</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(570)</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Non-qualified deferred compensation plan liability</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(212)</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operations</w:t>
            </w: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(15,654)</w:t>
            </w: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(13,129)</w:t>
            </w:r>
          </w:p>
        </w:tc>
        <w:tc>
          <w:tcPr>
            <w:tcW w:w="0" w:type="dxa"/>
            <w:vAlign w:val="bottom"/>
          </w:tcPr>
          <w:p>
            <w:pPr>
              <w:spacing w:after="0"/>
              <w:rPr>
                <w:sz w:val="1"/>
                <w:szCs w:val="1"/>
                <w:color w:val="auto"/>
              </w:rPr>
            </w:pPr>
          </w:p>
        </w:tc>
      </w:tr>
      <w:tr>
        <w:trPr>
          <w:trHeight w:val="213"/>
        </w:trPr>
        <w:tc>
          <w:tcPr>
            <w:tcW w:w="72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marketable securities</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(59,408)</w:t>
            </w: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(49,550)</w:t>
            </w: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Maturities of marketable securities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43,669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property and equipment</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(382)</w:t>
            </w: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Cash paid for patent filing fees</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(16,174)</w:t>
            </w: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(50,182)</w:t>
            </w:r>
          </w:p>
        </w:tc>
        <w:tc>
          <w:tcPr>
            <w:tcW w:w="0" w:type="dxa"/>
            <w:vAlign w:val="bottom"/>
          </w:tcPr>
          <w:p>
            <w:pPr>
              <w:spacing w:after="0"/>
              <w:rPr>
                <w:sz w:val="1"/>
                <w:szCs w:val="1"/>
                <w:color w:val="auto"/>
              </w:rPr>
            </w:pPr>
          </w:p>
        </w:tc>
      </w:tr>
      <w:tr>
        <w:trPr>
          <w:trHeight w:val="213"/>
        </w:trPr>
        <w:tc>
          <w:tcPr>
            <w:tcW w:w="7240" w:type="dxa"/>
            <w:vAlign w:val="bottom"/>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direct placement of common stock</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60"/>
              <w:spacing w:after="0"/>
              <w:rPr>
                <w:sz w:val="20"/>
                <w:szCs w:val="20"/>
                <w:color w:val="auto"/>
              </w:rPr>
            </w:pPr>
            <w:r>
              <w:rPr>
                <w:rFonts w:ascii="Arial" w:cs="Arial" w:eastAsia="Arial" w:hAnsi="Arial"/>
                <w:sz w:val="16"/>
                <w:szCs w:val="16"/>
                <w:color w:val="auto"/>
              </w:rPr>
              <w:t>Issuance cost associated with direct placement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repayment of finance lease</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spacing w:after="0"/>
              <w:rPr>
                <w:sz w:val="20"/>
                <w:szCs w:val="20"/>
                <w:color w:val="auto"/>
              </w:rPr>
            </w:pPr>
            <w:r>
              <w:rPr>
                <w:rFonts w:ascii="Arial" w:cs="Arial" w:eastAsia="Arial" w:hAnsi="Arial"/>
                <w:sz w:val="16"/>
                <w:szCs w:val="16"/>
                <w:color w:val="auto"/>
              </w:rPr>
              <w:t>Effect of foreign exchange rate on cash and restricted cash</w:t>
            </w:r>
          </w:p>
        </w:tc>
        <w:tc>
          <w:tcPr>
            <w:tcW w:w="14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increase/(decrease) in cash and cash equivalents and restricted cash</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(31,897)</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 beginning of the period</w:t>
            </w:r>
          </w:p>
        </w:tc>
        <w:tc>
          <w:tcPr>
            <w:tcW w:w="1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55,712</w:t>
            </w:r>
          </w:p>
        </w:tc>
        <w:tc>
          <w:tcPr>
            <w:tcW w:w="3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59,966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 end of the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23,815</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Plant and equipment purchases not yet paid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3"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The AVITA group of companies (comprising AVITA Medical, Inc. (“</w:t>
      </w:r>
      <w:r>
        <w:rPr>
          <w:rFonts w:ascii="Arial" w:cs="Arial" w:eastAsia="Arial" w:hAnsi="Arial"/>
          <w:sz w:val="16"/>
          <w:szCs w:val="16"/>
          <w:b w:val="1"/>
          <w:bCs w:val="1"/>
          <w:color w:val="auto"/>
        </w:rPr>
        <w:t>AVITA</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including AVITA Medical Pty Limited, previously known as AVITA Medical Limited (“</w:t>
      </w:r>
      <w:r>
        <w:rPr>
          <w:rFonts w:ascii="Arial" w:cs="Arial" w:eastAsia="Arial" w:hAnsi="Arial"/>
          <w:sz w:val="16"/>
          <w:szCs w:val="16"/>
          <w:b w:val="1"/>
          <w:bCs w:val="1"/>
          <w:color w:val="auto"/>
        </w:rPr>
        <w:t>AVITA Medical</w:t>
      </w:r>
      <w:r>
        <w:rPr>
          <w:rFonts w:ascii="Arial" w:cs="Arial" w:eastAsia="Arial" w:hAnsi="Arial"/>
          <w:sz w:val="16"/>
          <w:szCs w:val="16"/>
          <w:color w:val="auto"/>
        </w:rPr>
        <w:t>”)) (collectively, “AVITA Group” or “we”, “us”, or “our”), is a regenerative medicine company leading the development and commercialization of devices and autologous cellular therapies for skin restoration. The Company’s RECELL® System technology platform harnesses the regenerative properties of a patient’s own skin to create Spray-On Skin™ cells. In September 2018, the United States Food &amp; Drug Administration (“</w:t>
      </w:r>
      <w:r>
        <w:rPr>
          <w:rFonts w:ascii="Arial" w:cs="Arial" w:eastAsia="Arial" w:hAnsi="Arial"/>
          <w:sz w:val="16"/>
          <w:szCs w:val="16"/>
          <w:b w:val="1"/>
          <w:bCs w:val="1"/>
          <w:color w:val="auto"/>
        </w:rPr>
        <w:t>FDA</w:t>
      </w:r>
      <w:r>
        <w:rPr>
          <w:rFonts w:ascii="Arial" w:cs="Arial" w:eastAsia="Arial" w:hAnsi="Arial"/>
          <w:sz w:val="16"/>
          <w:szCs w:val="16"/>
          <w:color w:val="auto"/>
        </w:rPr>
        <w:t>”) granted premarket approval (“</w:t>
      </w:r>
      <w:r>
        <w:rPr>
          <w:rFonts w:ascii="Arial" w:cs="Arial" w:eastAsia="Arial" w:hAnsi="Arial"/>
          <w:sz w:val="16"/>
          <w:szCs w:val="16"/>
          <w:b w:val="1"/>
          <w:bCs w:val="1"/>
          <w:color w:val="auto"/>
        </w:rPr>
        <w:t>PMA</w:t>
      </w:r>
      <w:r>
        <w:rPr>
          <w:rFonts w:ascii="Arial" w:cs="Arial" w:eastAsia="Arial" w:hAnsi="Arial"/>
          <w:sz w:val="16"/>
          <w:szCs w:val="16"/>
          <w:color w:val="auto"/>
        </w:rPr>
        <w:t>”) to the RECELL System for use in the treatment of acute partial-thickness thermal burns in patients eighteen years and older. Following receipt of our original PMA, we commenced commercialization of the RECELL System in January 2019 in the United States. In June 2021, the FDA approved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In addition, the FDA has granted the Company Investigational Device Exemptions (“</w:t>
      </w:r>
      <w:r>
        <w:rPr>
          <w:rFonts w:ascii="Arial" w:cs="Arial" w:eastAsia="Arial" w:hAnsi="Arial"/>
          <w:sz w:val="16"/>
          <w:szCs w:val="16"/>
          <w:b w:val="1"/>
          <w:bCs w:val="1"/>
          <w:color w:val="auto"/>
        </w:rPr>
        <w:t>IDEs</w:t>
      </w:r>
      <w:r>
        <w:rPr>
          <w:rFonts w:ascii="Arial" w:cs="Arial" w:eastAsia="Arial" w:hAnsi="Arial"/>
          <w:sz w:val="16"/>
          <w:szCs w:val="16"/>
          <w:color w:val="auto"/>
        </w:rPr>
        <w:t>”), which have enabled the Company to initiate pivotal clinical trials to further expand the indications of the RECELL System for the treatment of soft tissue repair and vitiligo. Enrollment of those clinical trials is complete, with topline results recently announced for both the soft tissue repair and vitiligo trials. Results from those studies are intended to support the Company’s pursuit of FDA approval to market the RECELL System in the United States for those indications.</w:t>
      </w:r>
    </w:p>
    <w:p>
      <w:pPr>
        <w:spacing w:after="0" w:line="168"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February 2019, we entered into a collaboration with COSMOTEC, an M3 Group company, to market and distribute the RECELL System in Japan. We worked with COSMOTEC to advance our application for approval of the RECELL System in Japan pursuant to Japan’s Pharmaceuticals and Medical Devices Act (“</w:t>
      </w:r>
      <w:r>
        <w:rPr>
          <w:rFonts w:ascii="Arial" w:cs="Arial" w:eastAsia="Arial" w:hAnsi="Arial"/>
          <w:sz w:val="18"/>
          <w:szCs w:val="18"/>
          <w:b w:val="1"/>
          <w:bCs w:val="1"/>
          <w:color w:val="auto"/>
        </w:rPr>
        <w:t>PMDA</w:t>
      </w:r>
      <w:r>
        <w:rPr>
          <w:rFonts w:ascii="Arial" w:cs="Arial" w:eastAsia="Arial" w:hAnsi="Arial"/>
          <w:sz w:val="18"/>
          <w:szCs w:val="18"/>
          <w:color w:val="auto"/>
        </w:rPr>
        <w:t>”). In February 2022, COSMOTEC’s application for regulatory approval was approved by the PMDA initially with labelling for burns only. In September 2022, COSMOTEC commercially launched RECELL in Japan following Japan’s Ministry of Health, Labor, and Welfare approval of reimbursement pricing. Once data from the soft tissue repair and vitiligo trials are available from the Company’s related U.S. clinical trials, COSMOTEC plans to submit a further application for soft tissue repair and vitiligo indications.</w:t>
      </w:r>
    </w:p>
    <w:p>
      <w:pPr>
        <w:spacing w:after="0" w:line="188"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We continue to closely monitor the impact surrounding the spread and potential resurgence of COVID-19 due to existing and future variants. As of the date of this filing, with the continued overall decrease in COVID-19 infections and hospitalizations and government imposed restrictions having been lifted, we continue to be unable to predict the full impact that the ongoing COVID-19 pandemic will have on our future results of operations, liquidity, and financial condition due to numerous uncertainties, including the duration of the pandemic and the actions that may be taken in the future by government authorities across the United States in response to new variants.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September 30, 2022, and through the date of this report.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 However, we do not currently believe that COVID-19 will result in any significant changes in costs going forward. We will continue to monitor the performance of our business and reassess the impacts of COVID-19 and its variants.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generally accepted accounting principles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for interim financial information and with the instructions to Form 10-Q and Article 10 of Regulation S-X of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Transition Report on Form 10-KT for the transition period ended December 31, 2021 filed with the SEC on February 28, 2022 (United States) and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March 01, 2022 (Australia) (the “</w:t>
      </w:r>
      <w:r>
        <w:rPr>
          <w:rFonts w:ascii="Arial" w:cs="Arial" w:eastAsia="Arial" w:hAnsi="Arial"/>
          <w:sz w:val="18"/>
          <w:szCs w:val="18"/>
          <w:b w:val="1"/>
          <w:bCs w:val="1"/>
          <w:color w:val="auto"/>
        </w:rPr>
        <w:t>Transition Report</w:t>
      </w:r>
      <w:r>
        <w:rPr>
          <w:rFonts w:ascii="Arial" w:cs="Arial" w:eastAsia="Arial" w:hAnsi="Arial"/>
          <w:sz w:val="18"/>
          <w:szCs w:val="18"/>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160" w:firstLine="749"/>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as described in the Transition Report on Form 10-KT that have had a material impact on the Company’s consolidated financial statements. See the summary of the Company’s significant accounting policies set forth in the notes to its consolidated financial statements included in the Transition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Presentation</w:t>
      </w:r>
    </w:p>
    <w:p>
      <w:pPr>
        <w:spacing w:after="0" w:line="117" w:lineRule="exact"/>
        <w:rPr>
          <w:sz w:val="20"/>
          <w:szCs w:val="20"/>
          <w:color w:val="auto"/>
        </w:rPr>
      </w:pPr>
    </w:p>
    <w:p>
      <w:pPr>
        <w:ind w:right="260" w:firstLine="577"/>
        <w:spacing w:after="0" w:line="286" w:lineRule="auto"/>
        <w:rPr>
          <w:sz w:val="20"/>
          <w:szCs w:val="20"/>
          <w:color w:val="auto"/>
        </w:rPr>
      </w:pPr>
      <w:r>
        <w:rPr>
          <w:rFonts w:ascii="Arial" w:cs="Arial" w:eastAsia="Arial" w:hAnsi="Arial"/>
          <w:sz w:val="17"/>
          <w:szCs w:val="17"/>
          <w:color w:val="auto"/>
        </w:rPr>
        <w:t>Certain prior year amounts within other long-term assets and other long-term liabilities have been reclassified to Corporate-owned life insurance asset and Non-qualified deferred compensation plan liability, respectively, in the Consolidated Balance Sheets, for consistency with current period presentation. These reclassifications had no effect on the reported results of operations or financial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assets, the useful lives of long-lived assets, accounting for marketable securities, income taxes, share-based compensation, and the stand-alone selling price for the BARDA contract) and related disclosures. Estimates have been prepared on the basis of the current and available information. However, actual results could differ from estimated amounts.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right="140" w:firstLine="749"/>
        <w:spacing w:after="0" w:line="272" w:lineRule="auto"/>
        <w:rPr>
          <w:sz w:val="20"/>
          <w:szCs w:val="20"/>
          <w:color w:val="auto"/>
        </w:rPr>
      </w:pPr>
      <w:r>
        <w:rPr>
          <w:rFonts w:ascii="Arial" w:cs="Arial" w:eastAsia="Arial" w:hAnsi="Arial"/>
          <w:sz w:val="17"/>
          <w:szCs w:val="17"/>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a gain of $76,000 and $41,000 for the three-months ended September 30, 2022 and 2021, respectively. Foreign currency transactions were a gain of $123,000 and $58,000 for the nine-months ended September 30, 2022 and 2021, respectively.</w:t>
      </w:r>
    </w:p>
    <w:p>
      <w:pPr>
        <w:spacing w:after="0" w:line="177" w:lineRule="exact"/>
        <w:rPr>
          <w:sz w:val="20"/>
          <w:szCs w:val="20"/>
          <w:color w:val="auto"/>
        </w:rPr>
      </w:pPr>
    </w:p>
    <w:p>
      <w:pPr>
        <w:ind w:right="300" w:firstLine="749"/>
        <w:spacing w:after="0" w:line="257" w:lineRule="auto"/>
        <w:rPr>
          <w:sz w:val="20"/>
          <w:szCs w:val="20"/>
          <w:color w:val="auto"/>
        </w:rPr>
      </w:pPr>
      <w:r>
        <w:rPr>
          <w:rFonts w:ascii="Arial" w:cs="Arial" w:eastAsia="Arial" w:hAnsi="Arial"/>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During the three-months ended September 30, 2022 and 2021, the Company recorded gains of $6,000 and a loss of $14,000, respectively. The Company recorded losses of $2,000 and $30,000 for the nine-months ended September 30, 2022 and 2021,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components of comprehensive loss consist of net loss, foreign currency translation adjustments from its subsidiaries not using the U.S. dollar as their functional currency and unrealized gains and losses in investments available for sale. The Company did not have reclassifications from other comprehensive loss to net loss during the three and nine-months ended September 30,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Company recognizes revenue when its customers obtain control of promised goods or services, in an amount that reflects the consideration which the Company expects to be entitled in exchange for those goods or services.</w:t>
      </w:r>
    </w:p>
    <w:p>
      <w:pPr>
        <w:spacing w:after="0" w:line="17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To determine revenue recognition for arrangements that are within the scope of Accounting Standard Codification (“ASC”) Topic 606, Revenue Recognition, the Company performs the following five steps:</w:t>
      </w:r>
    </w:p>
    <w:p>
      <w:pPr>
        <w:spacing w:after="0" w:line="170"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Statements of Operations and are accounted for under IAS 20. For further details refer to BARDA Income and Receivables below.</w:t>
      </w:r>
    </w:p>
    <w:p>
      <w:pPr>
        <w:spacing w:after="0" w:line="16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66"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For revenues related to the BARDA contract within the scope of ASC 606, the Company identified two performance obligations: (i) the procurement of 5,614 RECELL units; and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78"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Statements of Operations and $1.6 million to the emergency deployment services which is classified as Revenues when recognized in the Consolidated Statements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SEC Interpretation</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Guidance regarding Accounting for Sale of Vaccines and BioTerror Countermeasures to the Federal Government for Placement into the Pediatric Vaccine Stockpile or the Strategic National Stockpile (SNS). </w:t>
      </w:r>
      <w:r>
        <w:rPr>
          <w:rFonts w:ascii="Arial" w:cs="Arial" w:eastAsia="Arial" w:hAnsi="Arial"/>
          <w:sz w:val="16"/>
          <w:szCs w:val="16"/>
          <w:color w:val="auto"/>
        </w:rPr>
        <w:t>Under this guidance, revenue is recognized when product is placed in the BARDA</w:t>
      </w:r>
      <w:r>
        <w:rPr>
          <w:rFonts w:ascii="Arial" w:cs="Arial" w:eastAsia="Arial" w:hAnsi="Arial"/>
          <w:sz w:val="16"/>
          <w:szCs w:val="16"/>
          <w:i w:val="1"/>
          <w:iCs w:val="1"/>
          <w:color w:val="auto"/>
        </w:rPr>
        <w:t xml:space="preserve"> </w:t>
      </w:r>
      <w:r>
        <w:rPr>
          <w:rFonts w:ascii="Arial" w:cs="Arial" w:eastAsia="Arial" w:hAnsi="Arial"/>
          <w:sz w:val="16"/>
          <w:szCs w:val="16"/>
          <w:color w:val="auto"/>
        </w:rPr>
        <w:t>vendor-managed inventory as control of the product has been transferred to the customer at the time of delivery to the VMI. RECELL units that have been delivered to BARDA have a product replacement obligation at no 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$52,000 and $64,000 as of September 30, 2022 and December 31, 2021, respectively, for the rotation cost of the product. Such amounts are recorded in other current liabilities and other long-term liabilities as of September 30, 2022, and December 31, 2021, respectively.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statements of operations. Contract costs to fulfil the performance obligations are incremental and expected to be recovered are capitalized and amortized on a straight-line basis over the term of the contract. Contract costs are included in Other long-term assets in the Consolidated Balance Sheets.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Sheets.</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Consists of cash held at deposit institutions and cash equivalents. Cash equivalents consist of short-term highly liquid investments with original maturities of three-months or less from the date of purchase and consist primarily of money market funds. The Company holds cash at deposit institutions in the amount of $6.2 million and $4.4 million of which $296,000 and $203,000 is denominated in foreign currencies in foreign institutions as of September 30, 2022 and December 31, 2021, respectively. As of September 30, 2022 and December 31, 2021, the Company held cash equivalents in the amount of $17.4 million and $51.1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Pursuant to a contractual agreement to maintain the business credit card, the Company must maintain restricted cash deposits which amounted to approximately $202,000 and $201,000 as of September 30, 2022 and December 31,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marketable securities, trade receivables, BARDA receivables and other receivables. As of September 30, 2022 and December 31, 2021,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157" w:lineRule="exact"/>
        <w:rPr>
          <w:sz w:val="20"/>
          <w:szCs w:val="20"/>
          <w:color w:val="auto"/>
        </w:rPr>
      </w:pPr>
    </w:p>
    <w:p>
      <w:pPr>
        <w:ind w:right="80" w:firstLine="749"/>
        <w:spacing w:after="0" w:line="262" w:lineRule="auto"/>
        <w:rPr>
          <w:sz w:val="20"/>
          <w:szCs w:val="20"/>
          <w:color w:val="auto"/>
        </w:rPr>
      </w:pPr>
      <w:r>
        <w:rPr>
          <w:rFonts w:ascii="Arial" w:cs="Arial" w:eastAsia="Arial" w:hAnsi="Arial"/>
          <w:sz w:val="18"/>
          <w:szCs w:val="18"/>
          <w:color w:val="auto"/>
        </w:rPr>
        <w:t>As of September 30, 2022, no single commercial customer accounted for more than 10% of total net accounts receivable. As of December 31, 2021, one commercial customer accounted for approximately 10% of net accounts receivable. For the three-months ended September 30, 2022 and 2021, no single customer accounted for more than 10% of revenues. For the nine-months ended September 30, 2022, one customer accounted for more than 10% of total revenue. For the nine-months ended September 30, 2021, no single customer accounted for more than 10% of revenues. BARDA revenue for emergency deployment accounted for approximately 1% and 1% of total revenues for the three-months ended September 30, 2022 and 2021, respectively. For the nine-months ended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right="100"/>
        <w:spacing w:after="0" w:line="263" w:lineRule="auto"/>
        <w:rPr>
          <w:sz w:val="20"/>
          <w:szCs w:val="20"/>
          <w:color w:val="auto"/>
        </w:rPr>
      </w:pPr>
      <w:r>
        <w:rPr>
          <w:rFonts w:ascii="Arial" w:cs="Arial" w:eastAsia="Arial" w:hAnsi="Arial"/>
          <w:sz w:val="18"/>
          <w:szCs w:val="18"/>
          <w:color w:val="auto"/>
        </w:rPr>
        <w:t>September 30, 2022 and 2021, BARDA revenue for emergency deployment accounted for approximately 1% and 30% of total revenues, respectively. BARDA receivables for emergency preparedness services accounted for 2% and 3% of total BARDA receivables as of September 30, 2022 and December 31, 2021, respectively. See table below for breakdown of BARDA receivables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BARDA procurement and emergency preparedness services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BARDA expense reimbursements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BARDA receivables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792</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40" w:firstLine="749"/>
        <w:spacing w:after="0" w:line="255" w:lineRule="auto"/>
        <w:rPr>
          <w:sz w:val="20"/>
          <w:szCs w:val="20"/>
          <w:color w:val="auto"/>
        </w:rPr>
      </w:pPr>
      <w:r>
        <w:rPr>
          <w:rFonts w:ascii="Arial" w:cs="Arial" w:eastAsia="Arial" w:hAnsi="Arial"/>
          <w:sz w:val="18"/>
          <w:szCs w:val="18"/>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w:t>
      </w:r>
    </w:p>
    <w:p>
      <w:pPr>
        <w:spacing w:after="0" w:line="192"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All marketable securities, which consist of corporate debt securities, U.S government agency obligations,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shareholders equity until realized. Realized gains and losses on marketable securities are included in other income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78"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asset backed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65"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The AVITA Group was awarded a Biomedical Advance Research and Development Authority (“</w:t>
      </w:r>
      <w:r>
        <w:rPr>
          <w:rFonts w:ascii="Arial" w:cs="Arial" w:eastAsia="Arial" w:hAnsi="Arial"/>
          <w:sz w:val="17"/>
          <w:szCs w:val="17"/>
          <w:b w:val="1"/>
          <w:bCs w:val="1"/>
          <w:color w:val="auto"/>
        </w:rPr>
        <w:t>BARDA</w:t>
      </w:r>
      <w:r>
        <w:rPr>
          <w:rFonts w:ascii="Arial" w:cs="Arial" w:eastAsia="Arial" w:hAnsi="Arial"/>
          <w:sz w:val="17"/>
          <w:szCs w:val="17"/>
          <w:color w:val="auto"/>
        </w:rPr>
        <w:t>”) contract in September 2015. The contract with BARDA expires December 31, 2023. Under this arrangement BARDA supported the Company’s research and development for the Company’s product, including the U.S. clinical regulatory program targeted towards PMA, the Company's compassionate use program, clinical and health economics research. Currently, the BARDA contract is supporting the Company’s clinical trial in soft-tissue reconstruction. 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0" w:firstLine="749"/>
        <w:spacing w:after="0" w:line="293" w:lineRule="auto"/>
        <w:rPr>
          <w:sz w:val="20"/>
          <w:szCs w:val="20"/>
          <w:color w:val="auto"/>
        </w:rPr>
      </w:pPr>
      <w:r>
        <w:rPr>
          <w:rFonts w:ascii="Arial" w:cs="Arial" w:eastAsia="Arial" w:hAnsi="Arial"/>
          <w:sz w:val="16"/>
          <w:szCs w:val="16"/>
          <w:color w:val="auto"/>
        </w:rPr>
        <w:t xml:space="preserve">The Company has concluded that grants under the BARDA arrangement are not within the scope of ASC 606, as it does not meet the definition of a contract with a “customer.” The Company has further concluded that Subtopic 958-605, </w:t>
      </w:r>
      <w:r>
        <w:rPr>
          <w:rFonts w:ascii="Arial" w:cs="Arial" w:eastAsia="Arial" w:hAnsi="Arial"/>
          <w:sz w:val="16"/>
          <w:szCs w:val="16"/>
          <w:i w:val="1"/>
          <w:iCs w:val="1"/>
          <w:color w:val="auto"/>
        </w:rPr>
        <w:t>Not-for-Profit-Entities-Revenue Recognition</w:t>
      </w:r>
      <w:r>
        <w:rPr>
          <w:rFonts w:ascii="Arial" w:cs="Arial" w:eastAsia="Arial" w:hAnsi="Arial"/>
          <w:sz w:val="16"/>
          <w:szCs w:val="16"/>
          <w:color w:val="auto"/>
        </w:rPr>
        <w:t xml:space="preserve"> also does not apply, as the Company is a business entity and the payments are with governmental agencies or units. With respect to the BARDA arrangement, we considered the guidance in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 Company has operating leases for corporate office space, manufacturing and a warehouse facility. The Company’s operating leases have remaining lease terms of one year to two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Sheets.</w:t>
      </w:r>
    </w:p>
    <w:p>
      <w:pPr>
        <w:spacing w:after="0" w:line="153"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Right-of-use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the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93"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Company records compensation expense for stock options based on the fair market value of the awards on the date of grant. The fair value of share-based compensation awards is amortized over the vesting period of the award. Compensation expense for performance-based awards is evaluated based on the number of shares ultimately expected to vest, estimated at each grant date based on management’s expectations regarding the relevant performance criteria, if any. The Black-Scholes option pricing model and Monte Carlo Simulation were used to estimate the fair value of the time-based and performance-based options, respectively. To estimate the grant date fair value of the performance vesting employee stock options, we utilized a Monte Carlo simulation-based approach to capture the holder’s expected post-vesting exercise behavior. Specifically, we simulated the Company’s stock price from the valuation date to the maturity of the options on a daily basis using Geometric Brownian Motion, whereby the options are assumed to be early exercised if the simulated stock price exceeded a certain exercise threshold estimated based on empirical research. Under ASU 2016-09,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 (“ASC 718”) Improvements to Employee Share-Based Payment Accounting</w:t>
      </w:r>
      <w:r>
        <w:rPr>
          <w:rFonts w:ascii="Arial" w:cs="Arial" w:eastAsia="Arial" w:hAnsi="Arial"/>
          <w:sz w:val="17"/>
          <w:szCs w:val="17"/>
          <w:color w:val="auto"/>
        </w:rPr>
        <w:t>, the Company elected to account for forfeitures as they</w:t>
      </w:r>
      <w:r>
        <w:rPr>
          <w:rFonts w:ascii="Arial" w:cs="Arial" w:eastAsia="Arial" w:hAnsi="Arial"/>
          <w:sz w:val="17"/>
          <w:szCs w:val="17"/>
          <w:i w:val="1"/>
          <w:iCs w:val="1"/>
          <w:color w:val="auto"/>
        </w:rPr>
        <w:t xml:space="preserve"> </w:t>
      </w:r>
      <w:r>
        <w:rPr>
          <w:rFonts w:ascii="Arial" w:cs="Arial" w:eastAsia="Arial" w:hAnsi="Arial"/>
          <w:sz w:val="17"/>
          <w:szCs w:val="17"/>
          <w:color w:val="auto"/>
        </w:rPr>
        <w:t>occur. The following assumptions were used in the valuation of stock options.</w:t>
      </w:r>
    </w:p>
    <w:p>
      <w:pPr>
        <w:spacing w:after="0" w:line="77" w:lineRule="exact"/>
        <w:rPr>
          <w:sz w:val="20"/>
          <w:szCs w:val="20"/>
          <w:color w:val="auto"/>
        </w:rPr>
      </w:pPr>
    </w:p>
    <w:p>
      <w:pPr>
        <w:ind w:left="740" w:right="60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62"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62" w:lineRule="exact"/>
        <w:rPr>
          <w:rFonts w:ascii="Arial" w:cs="Arial" w:eastAsia="Arial" w:hAnsi="Arial"/>
          <w:sz w:val="18"/>
          <w:szCs w:val="18"/>
          <w:color w:val="auto"/>
        </w:rPr>
      </w:pPr>
    </w:p>
    <w:p>
      <w:pPr>
        <w:ind w:left="740" w:right="1540" w:hanging="368"/>
        <w:spacing w:after="0" w:line="31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left="740" w:right="40"/>
        <w:spacing w:after="0" w:line="257" w:lineRule="auto"/>
        <w:rPr>
          <w:sz w:val="20"/>
          <w:szCs w:val="20"/>
          <w:color w:val="auto"/>
        </w:rPr>
      </w:pPr>
      <w:r>
        <w:rPr>
          <w:rFonts w:ascii="Arial" w:cs="Arial" w:eastAsia="Arial" w:hAnsi="Arial"/>
          <w:sz w:val="18"/>
          <w:szCs w:val="18"/>
          <w:color w:val="auto"/>
        </w:rPr>
        <w:t>operating history of awards granted, with the first plan being established in 2016 which was primarily used for executive awards. Further, the Company does not have sufficient history of exercises in the U.S. market given the AVITA Group's recent redomiciliation from Australia to the United States in 2020. The initial term input of options with a performance condition was set to the contractual term of 10 years for the modeling process, while the expected term within each simulation path was determined by the early exercise mechanism discussed above within the Monte Carlo simulation model.</w:t>
      </w:r>
    </w:p>
    <w:p>
      <w:pPr>
        <w:spacing w:after="0" w:line="80" w:lineRule="exact"/>
        <w:rPr>
          <w:sz w:val="20"/>
          <w:szCs w:val="20"/>
          <w:color w:val="auto"/>
        </w:rPr>
      </w:pPr>
    </w:p>
    <w:p>
      <w:pPr>
        <w:ind w:left="740" w:right="4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decision-maker is its Chief Executive Officer. To date, the Company has viewed its operations and manages its business as one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 Liability and Corporate-Owned Life Insurance Asset</w:t>
      </w:r>
    </w:p>
    <w:p>
      <w:pPr>
        <w:spacing w:after="0" w:line="2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Company’s non-qualified deferred compensation plan (the "</w:t>
      </w:r>
      <w:r>
        <w:rPr>
          <w:rFonts w:ascii="Arial" w:cs="Arial" w:eastAsia="Arial" w:hAnsi="Arial"/>
          <w:sz w:val="17"/>
          <w:szCs w:val="17"/>
          <w:b w:val="1"/>
          <w:bCs w:val="1"/>
          <w:color w:val="auto"/>
        </w:rPr>
        <w:t>NQDC plan</w:t>
      </w:r>
      <w:r>
        <w:rPr>
          <w:rFonts w:ascii="Arial" w:cs="Arial" w:eastAsia="Arial" w:hAnsi="Arial"/>
          <w:sz w:val="17"/>
          <w:szCs w:val="17"/>
          <w:color w:val="auto"/>
        </w:rPr>
        <w:t xml:space="preserve">"), which became effective in October 2021, allows highly compensated key employees to elect to defer a portion of their salary, bonus, commissions and RSU awards to later years. Management determined that the cash deferrals under the NQDC plan shall be accounted for similarly to a defined benefit plan under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compensation liability with a corresponding credit to cash. The Company funds the NQDC plan through a Corporate-Owned Life Insurance (“COLI”). Per the ASC 325-30-25-1A, </w:t>
      </w:r>
      <w:r>
        <w:rPr>
          <w:rFonts w:ascii="Arial" w:cs="Arial" w:eastAsia="Arial" w:hAnsi="Arial"/>
          <w:sz w:val="17"/>
          <w:szCs w:val="17"/>
          <w:i w:val="1"/>
          <w:iCs w:val="1"/>
          <w:color w:val="auto"/>
        </w:rPr>
        <w:t>Investments – Other</w:t>
      </w:r>
      <w:r>
        <w:rPr>
          <w:rFonts w:ascii="Arial" w:cs="Arial" w:eastAsia="Arial" w:hAnsi="Arial"/>
          <w:sz w:val="17"/>
          <w:szCs w:val="17"/>
          <w:color w:val="auto"/>
        </w:rPr>
        <w:t>, COLI is recorded as an asset in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statements of operations in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25"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During April 2022, we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w:t>
      </w:r>
    </w:p>
    <w:p>
      <w:pPr>
        <w:spacing w:after="0" w:line="176"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NQDC plan permits diversification of vested shares (common stock) into other equity securities subject to a six-month and one day holding period subsequent to vesting. Per ASC 710-10-25-15,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w:t>
      </w:r>
    </w:p>
    <w:p>
      <w:pPr>
        <w:spacing w:after="0" w:line="187"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For common stock that have not been diversified, the employer stock held in the rabbi trust is classified in a manner similar to treasury stock and presented separately on the Consolidated Balance Sheets as Company common stock held by the non-qualified deferred compensation plan. Common stock will be recorded at fair value of the stock at the time it vested, subsequent changes in the value of the common stock will not be recognized. The deferred compensation obligation is measured independently at fair value of the common stock with a corresponding charge or credit to compensation cost. Fair value is determined as the product of the common stock and the closing price of the stock each reporting period.</w:t>
      </w:r>
    </w:p>
    <w:p>
      <w:pPr>
        <w:spacing w:after="0" w:line="176"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Under plan type D, assets held by the rabbi trust are subject to applicable GAAP. As diversified common stock will be invested in mutual funds, assets held by the rabbi trust will be subject to accounting in ASC 321 - Investments - Equity Securities. The deferred compensation obligation is measured independently at fair value of the underlying assets. As of September 30, 2022, deferred common stock has not been diversified.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Non-qualified deferred compensation share awards</w:t>
      </w:r>
    </w:p>
    <w:p>
      <w:pPr>
        <w:spacing w:after="0" w:line="225"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In accordance with ASC 718, Compensation — Stock Compensation, the deferred RSU awards under the NQDC plan are classified as an equity instrument and changes in fair value of the amount owed to the participant are not recognized. As the plan permits diversification, presentation outside of permanent equity in accordance with ASR 268, Redeemable Preferred Stock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w:t>
      </w:r>
    </w:p>
    <w:p>
      <w:pPr>
        <w:spacing w:after="0" w:line="18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As of September 30, 2022, a total of 253,048 shares awards have been deferred with a redemption value of $272,000 and are recorded outside of equity as Non-qualified deferred compensation share awards. During the three-months ended September 30, 2022, 2022, 17,927 shares vested and were contributed to the rabbi trust at the vested value of $127,000. For further details refer to Note 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Assistance</w:t>
      </w:r>
      <w:r>
        <w:rPr>
          <w:rFonts w:ascii="Arial" w:cs="Arial" w:eastAsia="Arial" w:hAnsi="Arial"/>
          <w:sz w:val="17"/>
          <w:szCs w:val="17"/>
          <w:color w:val="auto"/>
        </w:rPr>
        <w:t>.” ASC 832 requires business entities to provide certain disclosures when they (1) have received government assistance and (2) use a grant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accounting model by analogy to other accounting guidance. The guidance will require business entities to disclose the nature of the transactions, accounting policies used to account for the transactions, and state which line items on the balance sheet and income statement are affected by these transactions and the amount applicable to each financial statement line. Business entities will also have to disclose significant terms and conditions of transactions with a government such as the duration of the agreement, any commitments made by either side, provisions, and contingencies. The guidance in ASU 2021-10 is effective for all entities for fiscal years beginning after December 15, 2021. Entities may apply the provision either (1) prospectively to all transactions within the scope of ASC 832 that are reflected in the financial statements as of the adoption date and all new transactions entered into after the date of adoption or (2) retrospectively. The Company adopted this standard as of January 1, 2022. The adoption did not have a material impact on the consolidated financial statements or disclosures.</w:t>
      </w:r>
    </w:p>
    <w:p>
      <w:pPr>
        <w:spacing w:after="0" w:line="2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or ASU 2019-12, which includes amendments to simplify the accounting for income taxes by removing certain exceptions to the general principles in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adopted this standard as of January 1, 2022. The adoption did not have a material impact on the consolidated financial statements.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other newly issued but not yet effective accounting pronouncements have been deemed to be not applicable or immaterial to the Company.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amortized cost and estimated fair values of debt securities available for sale: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8"/>
                <w:szCs w:val="18"/>
                <w:b w:val="1"/>
                <w:bCs w:val="1"/>
                <w:color w:val="auto"/>
              </w:rPr>
              <w:t>As of September 30, 2022</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center"/>
              <w:ind w:left="193"/>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left="293"/>
              <w:spacing w:after="0"/>
              <w:rPr>
                <w:sz w:val="20"/>
                <w:szCs w:val="20"/>
                <w:color w:val="auto"/>
              </w:rPr>
            </w:pPr>
            <w:r>
              <w:rPr>
                <w:rFonts w:ascii="Arial" w:cs="Arial" w:eastAsia="Arial" w:hAnsi="Arial"/>
                <w:sz w:val="16"/>
                <w:szCs w:val="16"/>
                <w:b w:val="1"/>
                <w:bCs w:val="1"/>
                <w:color w:val="auto"/>
                <w:w w:val="86"/>
              </w:rPr>
              <w:t>Gross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center"/>
              <w:ind w:left="193"/>
              <w:spacing w:after="0"/>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left="273"/>
              <w:spacing w:after="0"/>
              <w:rPr>
                <w:sz w:val="20"/>
                <w:szCs w:val="20"/>
                <w:color w:val="auto"/>
              </w:rPr>
            </w:pPr>
            <w:r>
              <w:rPr>
                <w:rFonts w:ascii="Arial" w:cs="Arial" w:eastAsia="Arial" w:hAnsi="Arial"/>
                <w:sz w:val="16"/>
                <w:szCs w:val="16"/>
                <w:b w:val="1"/>
                <w:bCs w:val="1"/>
                <w:color w:val="auto"/>
                <w:w w:val="91"/>
              </w:rPr>
              <w:t>Unrealized</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center"/>
              <w:ind w:left="193"/>
              <w:spacing w:after="0"/>
              <w:rPr>
                <w:sz w:val="20"/>
                <w:szCs w:val="20"/>
                <w:color w:val="auto"/>
              </w:rPr>
            </w:pPr>
            <w:r>
              <w:rPr>
                <w:rFonts w:ascii="Arial" w:cs="Arial" w:eastAsia="Arial" w:hAnsi="Arial"/>
                <w:sz w:val="16"/>
                <w:szCs w:val="16"/>
                <w:b w:val="1"/>
                <w:bCs w:val="1"/>
                <w:color w:val="auto"/>
                <w:w w:val="93"/>
              </w:rPr>
              <w:t>Holding</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left="293"/>
              <w:spacing w:after="0"/>
              <w:rPr>
                <w:sz w:val="20"/>
                <w:szCs w:val="20"/>
                <w:color w:val="auto"/>
              </w:rPr>
            </w:pPr>
            <w:r>
              <w:rPr>
                <w:rFonts w:ascii="Arial" w:cs="Arial" w:eastAsia="Arial" w:hAnsi="Arial"/>
                <w:sz w:val="16"/>
                <w:szCs w:val="16"/>
                <w:b w:val="1"/>
                <w:bCs w:val="1"/>
                <w:color w:val="auto"/>
                <w:w w:val="93"/>
              </w:rPr>
              <w:t>Holding</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center"/>
              <w:ind w:left="499"/>
              <w:spacing w:after="0"/>
              <w:rPr>
                <w:sz w:val="20"/>
                <w:szCs w:val="20"/>
                <w:color w:val="auto"/>
              </w:rPr>
            </w:pPr>
            <w:r>
              <w:rPr>
                <w:rFonts w:ascii="Arial" w:cs="Arial" w:eastAsia="Arial" w:hAnsi="Arial"/>
                <w:sz w:val="16"/>
                <w:szCs w:val="16"/>
                <w:b w:val="1"/>
                <w:bCs w:val="1"/>
                <w:color w:val="auto"/>
                <w:w w:val="89"/>
              </w:rPr>
              <w:t>Cost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center"/>
              <w:ind w:left="193"/>
              <w:spacing w:after="0"/>
              <w:rPr>
                <w:sz w:val="20"/>
                <w:szCs w:val="20"/>
                <w:color w:val="auto"/>
              </w:rPr>
            </w:pPr>
            <w:r>
              <w:rPr>
                <w:rFonts w:ascii="Arial" w:cs="Arial" w:eastAsia="Arial" w:hAnsi="Arial"/>
                <w:sz w:val="16"/>
                <w:szCs w:val="16"/>
                <w:b w:val="1"/>
                <w:bCs w:val="1"/>
                <w:color w:val="auto"/>
                <w:w w:val="89"/>
              </w:rPr>
              <w:t>Gains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left="273"/>
              <w:spacing w:after="0"/>
              <w:rPr>
                <w:sz w:val="20"/>
                <w:szCs w:val="20"/>
                <w:color w:val="auto"/>
              </w:rPr>
            </w:pPr>
            <w:r>
              <w:rPr>
                <w:rFonts w:ascii="Arial" w:cs="Arial" w:eastAsia="Arial" w:hAnsi="Arial"/>
                <w:sz w:val="16"/>
                <w:szCs w:val="16"/>
                <w:b w:val="1"/>
                <w:bCs w:val="1"/>
                <w:color w:val="auto"/>
                <w:w w:val="83"/>
              </w:rPr>
              <w:t>Losses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17,425</w:t>
            </w:r>
          </w:p>
        </w:tc>
        <w:tc>
          <w:tcPr>
            <w:tcW w:w="1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040" w:type="dxa"/>
            <w:vAlign w:val="bottom"/>
            <w:gridSpan w:val="2"/>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44,875</w:t>
            </w:r>
          </w:p>
        </w:tc>
        <w:tc>
          <w:tcPr>
            <w:tcW w:w="1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(539)</w:t>
            </w:r>
          </w:p>
        </w:tc>
        <w:tc>
          <w:tcPr>
            <w:tcW w:w="38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44,337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Obligations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2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0"/>
              </w:rPr>
              <w:t>(591)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60,559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marketable securities: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040" w:type="dxa"/>
            <w:vAlign w:val="bottom"/>
            <w:gridSpan w:val="2"/>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2,887</w:t>
            </w:r>
          </w:p>
        </w:tc>
        <w:tc>
          <w:tcPr>
            <w:tcW w:w="1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38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10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8"/>
                <w:szCs w:val="18"/>
                <w:b w:val="1"/>
                <w:bCs w:val="1"/>
                <w:color w:val="auto"/>
              </w:rPr>
              <w:t>As of December 31, 2021</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center"/>
              <w:ind w:left="193"/>
              <w:spacing w:after="0" w:line="205" w:lineRule="exact"/>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left="253"/>
              <w:spacing w:after="0" w:line="205"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center"/>
              <w:ind w:left="193"/>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left="253"/>
              <w:spacing w:after="0"/>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center"/>
              <w:ind w:left="173"/>
              <w:spacing w:after="0"/>
              <w:rPr>
                <w:sz w:val="20"/>
                <w:szCs w:val="20"/>
                <w:color w:val="auto"/>
              </w:rPr>
            </w:pPr>
            <w:r>
              <w:rPr>
                <w:rFonts w:ascii="Arial" w:cs="Arial" w:eastAsia="Arial" w:hAnsi="Arial"/>
                <w:sz w:val="18"/>
                <w:szCs w:val="18"/>
                <w:b w:val="1"/>
                <w:bCs w:val="1"/>
                <w:color w:val="auto"/>
                <w:w w:val="92"/>
              </w:rPr>
              <w:t>Holding</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left="273"/>
              <w:spacing w:after="0"/>
              <w:rPr>
                <w:sz w:val="20"/>
                <w:szCs w:val="20"/>
                <w:color w:val="auto"/>
              </w:rPr>
            </w:pPr>
            <w:r>
              <w:rPr>
                <w:rFonts w:ascii="Arial" w:cs="Arial" w:eastAsia="Arial" w:hAnsi="Arial"/>
                <w:sz w:val="18"/>
                <w:szCs w:val="18"/>
                <w:b w:val="1"/>
                <w:bCs w:val="1"/>
                <w:color w:val="auto"/>
                <w:w w:val="92"/>
              </w:rPr>
              <w:t>Holding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center"/>
              <w:ind w:left="459"/>
              <w:spacing w:after="0"/>
              <w:rPr>
                <w:sz w:val="20"/>
                <w:szCs w:val="20"/>
                <w:color w:val="auto"/>
              </w:rPr>
            </w:pPr>
            <w:r>
              <w:rPr>
                <w:rFonts w:ascii="Arial" w:cs="Arial" w:eastAsia="Arial" w:hAnsi="Arial"/>
                <w:sz w:val="18"/>
                <w:szCs w:val="18"/>
                <w:b w:val="1"/>
                <w:bCs w:val="1"/>
                <w:color w:val="auto"/>
                <w:w w:val="89"/>
              </w:rPr>
              <w:t>Cost</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jc w:val="center"/>
              <w:ind w:left="173"/>
              <w:spacing w:after="0"/>
              <w:rPr>
                <w:sz w:val="20"/>
                <w:szCs w:val="20"/>
                <w:color w:val="auto"/>
              </w:rPr>
            </w:pPr>
            <w:r>
              <w:rPr>
                <w:rFonts w:ascii="Arial" w:cs="Arial" w:eastAsia="Arial" w:hAnsi="Arial"/>
                <w:sz w:val="18"/>
                <w:szCs w:val="18"/>
                <w:b w:val="1"/>
                <w:bCs w:val="1"/>
                <w:color w:val="auto"/>
                <w:w w:val="91"/>
              </w:rPr>
              <w:t>Gains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left="273"/>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(in thousands)</w:t>
            </w:r>
          </w:p>
        </w:tc>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51,112</w:t>
            </w:r>
          </w:p>
        </w:tc>
        <w:tc>
          <w:tcPr>
            <w:tcW w:w="1780" w:type="dxa"/>
            <w:vAlign w:val="bottom"/>
            <w:gridSpan w:val="3"/>
          </w:tcPr>
          <w:p>
            <w:pPr>
              <w:jc w:val="right"/>
              <w:ind w:right="133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51,112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Commercial paper</w:t>
            </w:r>
          </w:p>
        </w:tc>
        <w:tc>
          <w:tcPr>
            <w:tcW w:w="1040" w:type="dxa"/>
            <w:vAlign w:val="bottom"/>
            <w:gridSpan w:val="2"/>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19,586</w:t>
            </w:r>
          </w:p>
        </w:tc>
        <w:tc>
          <w:tcPr>
            <w:tcW w:w="1780" w:type="dxa"/>
            <w:vAlign w:val="bottom"/>
            <w:gridSpan w:val="3"/>
          </w:tcPr>
          <w:p>
            <w:pPr>
              <w:jc w:val="right"/>
              <w:ind w:right="133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19,586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04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29,656</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33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3"/>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Long-term marketable securities: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04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18,043</w:t>
            </w:r>
          </w:p>
        </w:tc>
        <w:tc>
          <w:tcPr>
            <w:tcW w:w="1780" w:type="dxa"/>
            <w:vAlign w:val="bottom"/>
            <w:gridSpan w:val="3"/>
            <w:shd w:val="clear" w:color="auto" w:fill="CFF0FC"/>
          </w:tcPr>
          <w:p>
            <w:pPr>
              <w:jc w:val="right"/>
              <w:ind w:right="13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73"/>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(89)</w:t>
            </w:r>
          </w:p>
        </w:tc>
        <w:tc>
          <w:tcPr>
            <w:tcW w:w="380" w:type="dxa"/>
            <w:vAlign w:val="bottom"/>
            <w:gridSpan w:val="3"/>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040" w:type="dxa"/>
            <w:vAlign w:val="bottom"/>
            <w:tcBorders>
              <w:top w:val="single" w:sz="8" w:color="auto"/>
              <w:bottom w:val="single" w:sz="8" w:color="auto"/>
            </w:tcBorders>
            <w:gridSpan w:val="2"/>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19,789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gridSpan w:val="2"/>
            <w:shd w:val="clear" w:color="auto" w:fill="CFF0FC"/>
          </w:tcPr>
          <w:p>
            <w:pPr>
              <w:jc w:val="right"/>
              <w:ind w:right="133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107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3"/>
          </w:tcPr>
          <w:p>
            <w:pPr>
              <w:ind w:left="30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380" w:firstLine="749"/>
        <w:spacing w:after="0" w:line="277" w:lineRule="auto"/>
        <w:rPr>
          <w:sz w:val="20"/>
          <w:szCs w:val="20"/>
          <w:color w:val="auto"/>
        </w:rPr>
      </w:pPr>
      <w:r>
        <w:rPr>
          <w:rFonts w:ascii="Arial" w:cs="Arial" w:eastAsia="Arial" w:hAnsi="Arial"/>
          <w:sz w:val="18"/>
          <w:szCs w:val="18"/>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3"/>
          </w:tcPr>
          <w:p>
            <w:pPr>
              <w:jc w:val="right"/>
              <w:ind w:right="363"/>
              <w:spacing w:after="0"/>
              <w:rPr>
                <w:sz w:val="20"/>
                <w:szCs w:val="20"/>
                <w:color w:val="auto"/>
              </w:rPr>
            </w:pPr>
            <w:r>
              <w:rPr>
                <w:rFonts w:ascii="Arial" w:cs="Arial" w:eastAsia="Arial" w:hAnsi="Arial"/>
                <w:sz w:val="16"/>
                <w:szCs w:val="16"/>
                <w:b w:val="1"/>
                <w:bCs w:val="1"/>
                <w:color w:val="auto"/>
              </w:rPr>
              <w:t>As of September 30, 2022</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5"/>
          </w:tcPr>
          <w:p>
            <w:pPr>
              <w:ind w:left="540"/>
              <w:spacing w:after="0"/>
              <w:rPr>
                <w:sz w:val="20"/>
                <w:szCs w:val="20"/>
                <w:color w:val="auto"/>
              </w:rPr>
            </w:pPr>
            <w:r>
              <w:rPr>
                <w:rFonts w:ascii="Arial" w:cs="Arial" w:eastAsia="Arial" w:hAnsi="Arial"/>
                <w:sz w:val="18"/>
                <w:szCs w:val="18"/>
                <w:b w:val="1"/>
                <w:bCs w:val="1"/>
                <w:color w:val="auto"/>
              </w:rPr>
              <w:t>As of December 31, 2021</w:t>
            </w:r>
          </w:p>
        </w:tc>
      </w:tr>
      <w:tr>
        <w:trPr>
          <w:trHeight w:val="196"/>
        </w:trPr>
        <w:tc>
          <w:tcPr>
            <w:tcW w:w="36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6"/>
                <w:szCs w:val="16"/>
                <w:b w:val="1"/>
                <w:bCs w:val="1"/>
                <w:color w:val="auto"/>
                <w:w w:val="94"/>
              </w:rPr>
              <w:t>Amortized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Carrying</w:t>
            </w: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Amortized</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215"/>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Cost</w:t>
            </w:r>
          </w:p>
        </w:tc>
        <w:tc>
          <w:tcPr>
            <w:tcW w:w="1260" w:type="dxa"/>
            <w:vAlign w:val="bottom"/>
          </w:tcPr>
          <w:p>
            <w:pPr>
              <w:jc w:val="right"/>
              <w:ind w:right="103"/>
              <w:spacing w:after="0"/>
              <w:rPr>
                <w:sz w:val="20"/>
                <w:szCs w:val="20"/>
                <w:color w:val="auto"/>
              </w:rPr>
            </w:pPr>
            <w:r>
              <w:rPr>
                <w:rFonts w:ascii="Arial" w:cs="Arial" w:eastAsia="Arial" w:hAnsi="Arial"/>
                <w:sz w:val="16"/>
                <w:szCs w:val="16"/>
                <w:b w:val="1"/>
                <w:bCs w:val="1"/>
                <w:color w:val="auto"/>
              </w:rPr>
              <w:t>Value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574"/>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61,149</w:t>
            </w: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10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60,559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4,048</w:t>
            </w:r>
          </w:p>
        </w:tc>
        <w:tc>
          <w:tcPr>
            <w:tcW w:w="280" w:type="dxa"/>
            <w:vAlign w:val="bottom"/>
          </w:tcPr>
          <w:p>
            <w:pPr>
              <w:spacing w:after="0"/>
              <w:rPr>
                <w:sz w:val="20"/>
                <w:szCs w:val="20"/>
                <w:color w:val="auto"/>
              </w:rPr>
            </w:pPr>
          </w:p>
        </w:tc>
        <w:tc>
          <w:tcPr>
            <w:tcW w:w="1260" w:type="dxa"/>
            <w:vAlign w:val="bottom"/>
          </w:tcPr>
          <w:p>
            <w:pPr>
              <w:jc w:val="right"/>
              <w:ind w:right="110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4,012</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19,789</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Gross unrealized gains and losses on the Company’s marketable securities were an unrealized gain of $1,000 and an unrealized loss of $627,000 as of September 30, 2022, which resulted in a net unrealized loss of $626,000. Gross unrealized gains and losses on the Company’s marketable securities were an unrealized gain of $0 and an unrealized loss of $104,000 as of December 31, 2021 which resulted in a net unrealized loss of $104,000. As of September 30, 2022, and December 31, 2021, the Company did not recognize credit losses. The Company has accrued interest income of $146,000 and $72,000 as of September 30, 2022, and December 31, 2021, respectively, recorded in prepaids and other current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0" w:lineRule="exact"/>
        <w:rPr>
          <w:sz w:val="20"/>
          <w:szCs w:val="20"/>
          <w:color w:val="auto"/>
        </w:rPr>
      </w:pPr>
    </w:p>
    <w:p>
      <w:pPr>
        <w:ind w:left="760" w:right="64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can access at the measurement date.</w:t>
      </w:r>
    </w:p>
    <w:p>
      <w:pPr>
        <w:spacing w:after="0" w:line="62" w:lineRule="exact"/>
        <w:rPr>
          <w:sz w:val="20"/>
          <w:szCs w:val="20"/>
          <w:color w:val="auto"/>
        </w:rPr>
      </w:pPr>
    </w:p>
    <w:p>
      <w:pPr>
        <w:ind w:left="760" w:right="720"/>
        <w:spacing w:after="0" w:line="277"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0"/>
              </w:rPr>
              <w:t>As of September 30, 2022</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3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17,425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17,425</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equivalents</w:t>
            </w:r>
          </w:p>
        </w:tc>
        <w:tc>
          <w:tcPr>
            <w:tcW w:w="3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17,425</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b w:val="1"/>
                <w:bCs w:val="1"/>
                <w:color w:val="auto"/>
              </w:rPr>
              <w:t>Short-term marketable securities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44,337</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11,055</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Agency Obligations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short-term marketable securities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60,559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60,559</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b w:val="1"/>
                <w:bCs w:val="1"/>
                <w:color w:val="auto"/>
              </w:rPr>
              <w:t>Long-term investments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Asset backed securities</w:t>
            </w: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4,012</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17,425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64,571</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8"/>
                <w:szCs w:val="18"/>
                <w:b w:val="1"/>
                <w:bCs w:val="1"/>
                <w:color w:val="auto"/>
                <w:w w:val="91"/>
              </w:rPr>
              <w:t>As of December 31, 2021</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ind w:right="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5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51,112</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cash equivalents</w:t>
            </w:r>
          </w:p>
        </w:tc>
        <w:tc>
          <w:tcPr>
            <w:tcW w:w="5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51,112</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51,112</w:t>
            </w:r>
          </w:p>
        </w:tc>
        <w:tc>
          <w:tcPr>
            <w:tcW w:w="12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marketable securities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Commercial paper</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19,586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FF0FC"/>
          </w:tcPr>
          <w:p>
            <w:pPr>
              <w:spacing w:after="0"/>
              <w:rPr>
                <w:sz w:val="19"/>
                <w:szCs w:val="19"/>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Asset-backed securities</w:t>
            </w:r>
          </w:p>
        </w:tc>
        <w:tc>
          <w:tcPr>
            <w:tcW w:w="5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short-term marketable securities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29,649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29,649</w:t>
            </w:r>
          </w:p>
        </w:tc>
        <w:tc>
          <w:tcPr>
            <w:tcW w:w="12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b w:val="1"/>
                <w:bCs w:val="1"/>
                <w:color w:val="auto"/>
              </w:rPr>
              <w:t>Long-term investments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shd w:val="clear" w:color="auto" w:fill="CFF0FC"/>
          </w:tcPr>
          <w:p>
            <w:pPr>
              <w:spacing w:after="0"/>
              <w:rPr>
                <w:sz w:val="19"/>
                <w:szCs w:val="19"/>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debt securities</w:t>
            </w:r>
          </w:p>
        </w:tc>
        <w:tc>
          <w:tcPr>
            <w:tcW w:w="5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19,692</w:t>
            </w:r>
          </w:p>
        </w:tc>
        <w:tc>
          <w:tcPr>
            <w:tcW w:w="3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19,692</w:t>
            </w:r>
          </w:p>
        </w:tc>
        <w:tc>
          <w:tcPr>
            <w:tcW w:w="120" w:type="dxa"/>
            <w:vAlign w:val="bottom"/>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5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51,112</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49,341</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100,453</w:t>
            </w:r>
          </w:p>
        </w:tc>
        <w:tc>
          <w:tcPr>
            <w:tcW w:w="1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Company’s Level 1 assets include money market instruments and are valued based upon observable market prices. Level 2 assets consist of commercial paper, U.S Government agency obligations, corporate debt securities, asset backed securities and U.S Treasury securities. Level 2 securities are valued based upon observable inputs that include reported trades, broker/dealer quotes, bids and offers. As of September 30, 2022 and December 31, 2021, the Company had no investments that were measured using unobservable (Level 3) inputs. There were no transfers between fair value measurement levels as of September 30, 2022 or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w:t>
      </w:r>
    </w:p>
    <w:p>
      <w:pPr>
        <w:spacing w:after="0" w:line="184"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The following table sets forth the Company’s operating lease expenses which are included in general and administrative expenses in the consolidated statements of operations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Three-months ended</w:t>
            </w:r>
          </w:p>
        </w:tc>
        <w:tc>
          <w:tcPr>
            <w:tcW w:w="18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Nine-months ended</w:t>
            </w:r>
          </w:p>
        </w:tc>
      </w:tr>
      <w:tr>
        <w:trPr>
          <w:trHeight w:val="17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39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Supplemental cash flow information related to operating leases for the three and nine-months ended September 30, 2022 and 2021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Three-months ended</w:t>
            </w: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Nine-months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09"/>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w w:val="90"/>
              </w:rPr>
              <w:t>Cash paid for amounts included in the measurement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of lease liabilities: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w w:val="94"/>
              </w:rPr>
              <w:t>Operating cash outflows from operating leases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20"/>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0" w:name="page21"/>
    <w:bookmarkEnd w:id="20"/>
    <w:p>
      <w:pPr>
        <w:ind w:right="440" w:firstLine="749"/>
        <w:spacing w:after="0" w:line="277" w:lineRule="auto"/>
        <w:rPr>
          <w:sz w:val="20"/>
          <w:szCs w:val="20"/>
          <w:color w:val="auto"/>
        </w:rPr>
      </w:pPr>
      <w:r>
        <w:rPr>
          <w:rFonts w:ascii="Arial" w:cs="Arial" w:eastAsia="Arial" w:hAnsi="Arial"/>
          <w:sz w:val="18"/>
          <w:szCs w:val="18"/>
          <w:color w:val="auto"/>
        </w:rPr>
        <w:t>Supplemental balance sheet information, as of September 30, 2022 and December 31, 2021 related to operating leases was as follows (in thousands):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short-term</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 term</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 term</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(years)</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weighted average discount rate</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2022, maturities of the Company’s operating lease liabilities are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7"/>
          </w:tcPr>
          <w:p>
            <w:pPr>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gridSpan w:val="2"/>
          </w:tcPr>
          <w:p>
            <w:pPr>
              <w:ind w:left="560"/>
              <w:spacing w:after="0"/>
              <w:rPr>
                <w:sz w:val="20"/>
                <w:szCs w:val="20"/>
                <w:color w:val="auto"/>
              </w:rPr>
            </w:pPr>
            <w:r>
              <w:rPr>
                <w:rFonts w:ascii="Arial" w:cs="Arial" w:eastAsia="Arial" w:hAnsi="Arial"/>
                <w:sz w:val="18"/>
                <w:szCs w:val="18"/>
                <w:color w:val="auto"/>
              </w:rPr>
              <w:t>Total lease payments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gridSpan w:val="2"/>
          </w:tcPr>
          <w:p>
            <w:pPr>
              <w:ind w:left="560"/>
              <w:spacing w:after="0"/>
              <w:rPr>
                <w:sz w:val="20"/>
                <w:szCs w:val="20"/>
                <w:color w:val="auto"/>
              </w:rPr>
            </w:pPr>
            <w:r>
              <w:rPr>
                <w:rFonts w:ascii="Arial" w:cs="Arial" w:eastAsia="Arial" w:hAnsi="Arial"/>
                <w:sz w:val="18"/>
                <w:szCs w:val="18"/>
                <w:color w:val="auto"/>
              </w:rPr>
              <w:t>Total operating lease liabilities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ind w:left="760"/>
              <w:spacing w:after="0"/>
              <w:rPr>
                <w:sz w:val="20"/>
                <w:szCs w:val="20"/>
                <w:color w:val="auto"/>
              </w:rPr>
            </w:pPr>
            <w:r>
              <w:rPr>
                <w:rFonts w:ascii="Arial" w:cs="Arial" w:eastAsia="Arial" w:hAnsi="Arial"/>
                <w:sz w:val="18"/>
                <w:szCs w:val="18"/>
                <w:color w:val="auto"/>
                <w:w w:val="89"/>
              </w:rPr>
              <w:t>As of September 30, 2022, there were no leases entered into that had not yet commenced.</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7. Inventory</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40" w:type="dxa"/>
            <w:vAlign w:val="bottom"/>
            <w:gridSpan w:val="3"/>
          </w:tcPr>
          <w:p>
            <w:pPr>
              <w:ind w:left="760"/>
              <w:spacing w:after="0"/>
              <w:rPr>
                <w:sz w:val="20"/>
                <w:szCs w:val="20"/>
                <w:color w:val="auto"/>
              </w:rPr>
            </w:pPr>
            <w:r>
              <w:rPr>
                <w:rFonts w:ascii="Arial" w:cs="Arial" w:eastAsia="Arial" w:hAnsi="Arial"/>
                <w:sz w:val="18"/>
                <w:szCs w:val="18"/>
                <w:color w:val="auto"/>
              </w:rPr>
              <w:t>The composition of inventory is as follows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55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23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gridSpan w:val="3"/>
          </w:tcPr>
          <w:p>
            <w:pPr>
              <w:ind w:left="1140"/>
              <w:spacing w:after="0"/>
              <w:rPr>
                <w:sz w:val="20"/>
                <w:szCs w:val="20"/>
                <w:color w:val="auto"/>
              </w:rPr>
            </w:pPr>
            <w:r>
              <w:rPr>
                <w:rFonts w:ascii="Arial" w:cs="Arial" w:eastAsia="Arial" w:hAnsi="Arial"/>
                <w:sz w:val="18"/>
                <w:szCs w:val="18"/>
                <w:color w:val="auto"/>
              </w:rPr>
              <w:t>Total inventory</w:t>
            </w:r>
          </w:p>
        </w:tc>
        <w:tc>
          <w:tcPr>
            <w:tcW w:w="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Company has reduced the carrying value of its inventories to reflect the lower of cost or net realizable value. Charges for estimated excess and obsolescence are recorded in cost of sales in the consolidated statements of operations and were $125,000 and $46,000, for the three-months ended September 30, 2022 and 2021, respectively. Charges for estimated excess and obsolescence were $284,000 and $288,000 for the nine-months ended September 30, 2022 and 2021, respectively.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98" w:right="5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intangible assets, net is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451"/>
              <w:spacing w:after="0"/>
              <w:rPr>
                <w:sz w:val="20"/>
                <w:szCs w:val="20"/>
                <w:color w:val="auto"/>
              </w:rPr>
            </w:pPr>
            <w:r>
              <w:rPr>
                <w:rFonts w:ascii="Arial" w:cs="Arial" w:eastAsia="Arial" w:hAnsi="Arial"/>
                <w:sz w:val="16"/>
                <w:szCs w:val="16"/>
                <w:b w:val="1"/>
                <w:bCs w:val="1"/>
                <w:color w:val="auto"/>
              </w:rPr>
              <w:t>As of September 30, 2022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ind w:left="500"/>
              <w:spacing w:after="0"/>
              <w:rPr>
                <w:sz w:val="20"/>
                <w:szCs w:val="20"/>
                <w:color w:val="auto"/>
              </w:rPr>
            </w:pPr>
            <w:r>
              <w:rPr>
                <w:rFonts w:ascii="Arial" w:cs="Arial" w:eastAsia="Arial" w:hAnsi="Arial"/>
                <w:sz w:val="16"/>
                <w:szCs w:val="16"/>
                <w:b w:val="1"/>
                <w:bCs w:val="1"/>
                <w:color w:val="auto"/>
                <w:w w:val="96"/>
              </w:rPr>
              <w:t>As of December 31, 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1"/>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2180" w:type="dxa"/>
            <w:vAlign w:val="bottom"/>
          </w:tcPr>
          <w:p>
            <w:pPr>
              <w:jc w:val="right"/>
              <w:ind w:right="152"/>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Gross</w:t>
            </w:r>
          </w:p>
        </w:tc>
        <w:tc>
          <w:tcPr>
            <w:tcW w:w="2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580" w:type="dxa"/>
            <w:vAlign w:val="bottom"/>
          </w:tcPr>
          <w:p>
            <w:pPr>
              <w:jc w:val="center"/>
              <w:ind w:right="31"/>
              <w:spacing w:after="0"/>
              <w:rPr>
                <w:sz w:val="20"/>
                <w:szCs w:val="20"/>
                <w:color w:val="auto"/>
              </w:rPr>
            </w:pPr>
            <w:r>
              <w:rPr>
                <w:rFonts w:ascii="Arial" w:cs="Arial" w:eastAsia="Arial" w:hAnsi="Arial"/>
                <w:sz w:val="16"/>
                <w:szCs w:val="16"/>
                <w:b w:val="1"/>
                <w:bCs w:val="1"/>
                <w:color w:val="auto"/>
              </w:rPr>
              <w:t>Carry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720" w:type="dxa"/>
            <w:vAlign w:val="bottom"/>
            <w:gridSpan w:val="3"/>
          </w:tcPr>
          <w:p>
            <w:pPr>
              <w:ind w:left="100"/>
              <w:spacing w:after="0"/>
              <w:rPr>
                <w:sz w:val="20"/>
                <w:szCs w:val="20"/>
                <w:color w:val="auto"/>
              </w:rPr>
            </w:pPr>
            <w:r>
              <w:rPr>
                <w:rFonts w:ascii="Arial" w:cs="Arial" w:eastAsia="Arial" w:hAnsi="Arial"/>
                <w:sz w:val="16"/>
                <w:szCs w:val="16"/>
                <w:b w:val="1"/>
                <w:bCs w:val="1"/>
                <w:color w:val="auto"/>
              </w:rPr>
              <w:t>Carry</w:t>
            </w:r>
          </w:p>
        </w:tc>
      </w:tr>
      <w:tr>
        <w:trPr>
          <w:trHeight w:val="213"/>
        </w:trPr>
        <w:tc>
          <w:tcPr>
            <w:tcW w:w="2880" w:type="dxa"/>
            <w:vAlign w:val="bottom"/>
          </w:tcPr>
          <w:p>
            <w:pPr>
              <w:spacing w:after="0"/>
              <w:rPr>
                <w:sz w:val="18"/>
                <w:szCs w:val="18"/>
                <w:color w:val="auto"/>
              </w:rPr>
            </w:pPr>
          </w:p>
        </w:tc>
        <w:tc>
          <w:tcPr>
            <w:tcW w:w="2180" w:type="dxa"/>
            <w:vAlign w:val="bottom"/>
          </w:tcPr>
          <w:p>
            <w:pPr>
              <w:jc w:val="right"/>
              <w:ind w:right="32"/>
              <w:spacing w:after="0"/>
              <w:rPr>
                <w:sz w:val="20"/>
                <w:szCs w:val="20"/>
                <w:color w:val="auto"/>
              </w:rPr>
            </w:pPr>
            <w:r>
              <w:rPr>
                <w:rFonts w:ascii="Arial" w:cs="Arial" w:eastAsia="Arial" w:hAnsi="Arial"/>
                <w:sz w:val="16"/>
                <w:szCs w:val="16"/>
                <w:b w:val="1"/>
                <w:bCs w:val="1"/>
                <w:color w:val="auto"/>
              </w:rPr>
              <w:t>Average Life</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Amortization</w:t>
            </w:r>
          </w:p>
        </w:tc>
        <w:tc>
          <w:tcPr>
            <w:tcW w:w="8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r>
      <w:tr>
        <w:trPr>
          <w:trHeight w:val="233"/>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1</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0"/>
                <w:szCs w:val="20"/>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Patent 2</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3</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Patent 5</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6</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Patent 7</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8</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Patent 10</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11</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Trademarks</w:t>
            </w:r>
          </w:p>
        </w:tc>
        <w:tc>
          <w:tcPr>
            <w:tcW w:w="218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Indefinite</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23"/>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2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803"/>
        <w:spacing w:after="0" w:line="273" w:lineRule="auto"/>
        <w:rPr>
          <w:sz w:val="20"/>
          <w:szCs w:val="20"/>
          <w:color w:val="auto"/>
        </w:rPr>
      </w:pPr>
      <w:r>
        <w:rPr>
          <w:rFonts w:ascii="Arial" w:cs="Arial" w:eastAsia="Arial" w:hAnsi="Arial"/>
          <w:sz w:val="17"/>
          <w:szCs w:val="17"/>
          <w:color w:val="auto"/>
        </w:rPr>
        <w:t>During the three and nine-months ended September 30, 2022, the Company did not identify any events or changes in circumstances that indicated that the carrying value of its intangibles may not be recoverable. As such, there was no impairment of intangibles assets recognized for the three and nine-months ended September 30, 2022. During the three and nine-months ended September 30, 2021, the Company recorded an impairment charge of $19,000 for an abandoned patent. Amortization expense of intangibles included in the consolidated statements of operations was $8,000 and $27,000 for the three-months ended September 30, 2022 and 2021, respectively. Amortization expense of intangibles included in the consolidated statements of operations was $50,000 and $88,000 for the nine-months ended September 30, 2022 and 2021, respectively</w:t>
      </w:r>
      <w:r>
        <w:rPr>
          <w:rFonts w:ascii="Arial" w:cs="Arial" w:eastAsia="Arial" w:hAnsi="Arial"/>
          <w:sz w:val="20"/>
          <w:szCs w:val="20"/>
          <w:color w:val="auto"/>
        </w:rPr>
        <w:t>.</w:t>
      </w:r>
    </w:p>
    <w:p>
      <w:pPr>
        <w:spacing w:after="0" w:line="3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expects the future amortization of amortizable intangible assets held at September 30, 2022 to be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420" w:type="dxa"/>
            <w:vAlign w:val="bottom"/>
            <w:gridSpan w:val="4"/>
          </w:tcPr>
          <w:p>
            <w:pPr>
              <w:jc w:val="center"/>
              <w:ind w:left="4330"/>
              <w:spacing w:after="0"/>
              <w:rPr>
                <w:sz w:val="20"/>
                <w:szCs w:val="20"/>
                <w:color w:val="auto"/>
              </w:rPr>
            </w:pPr>
            <w:r>
              <w:rPr>
                <w:rFonts w:ascii="Arial" w:cs="Arial" w:eastAsia="Arial" w:hAnsi="Arial"/>
                <w:sz w:val="18"/>
                <w:szCs w:val="18"/>
                <w:b w:val="1"/>
                <w:bCs w:val="1"/>
                <w:color w:val="auto"/>
                <w:w w:val="91"/>
              </w:rPr>
              <w:t>Estimated Amortization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Expense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140"/>
              <w:spacing w:after="0"/>
              <w:rPr>
                <w:sz w:val="20"/>
                <w:szCs w:val="20"/>
                <w:color w:val="auto"/>
              </w:rPr>
            </w:pPr>
            <w:r>
              <w:rPr>
                <w:rFonts w:ascii="Arial" w:cs="Arial" w:eastAsia="Arial" w:hAnsi="Arial"/>
                <w:sz w:val="18"/>
                <w:szCs w:val="18"/>
                <w:color w:val="auto"/>
              </w:rPr>
              <w:t>2023</w:t>
            </w:r>
          </w:p>
        </w:tc>
        <w:tc>
          <w:tcPr>
            <w:tcW w:w="49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2025</w:t>
            </w: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2027</w:t>
            </w: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w:t>
            </w:r>
          </w:p>
        </w:tc>
        <w:tc>
          <w:tcPr>
            <w:tcW w:w="46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680" w:type="dxa"/>
            <w:vAlign w:val="bottom"/>
            <w:vMerge w:val="restart"/>
          </w:tcPr>
          <w:p>
            <w:pPr>
              <w:jc w:val="right"/>
              <w:ind w:right="257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9. Plant and Equipment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6"/>
              </w:rPr>
              <w:t>Useful Lives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Computer software</w:t>
            </w:r>
          </w:p>
        </w:tc>
        <w:tc>
          <w:tcPr>
            <w:tcW w:w="920" w:type="dxa"/>
            <w:vAlign w:val="bottom"/>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tcPr>
          <w:p>
            <w:pPr>
              <w:jc w:val="right"/>
              <w:spacing w:after="0"/>
              <w:rPr>
                <w:sz w:val="20"/>
                <w:szCs w:val="20"/>
                <w:color w:val="auto"/>
              </w:rPr>
            </w:pPr>
            <w:r>
              <w:rPr>
                <w:rFonts w:ascii="Arial" w:cs="Arial" w:eastAsia="Arial" w:hAnsi="Arial"/>
                <w:sz w:val="18"/>
                <w:szCs w:val="18"/>
                <w:color w:val="auto"/>
              </w:rPr>
              <w:t>Lesser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life or lease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term</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RECELL Moulds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plant and equipment, net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Depreciation expense related to plant and equipment for the three-months ended September 30, 2022 and 2021 was $130,000 and $147,000, respectively. Depreciation expense related to plant and equipment for the nine-months ended September 30, 2022 and 2021 was $388,000 and $429,000,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Current and Long-Term Assets and Liabilities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September 30, 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Lease deposits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Accrued investment income</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prepaids and other current assets</w:t>
            </w:r>
          </w:p>
        </w:tc>
        <w:tc>
          <w:tcPr>
            <w:tcW w:w="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760"/>
              <w:spacing w:after="0"/>
              <w:rPr>
                <w:sz w:val="20"/>
                <w:szCs w:val="20"/>
                <w:color w:val="auto"/>
              </w:rPr>
            </w:pPr>
            <w:r>
              <w:rPr>
                <w:rFonts w:ascii="Arial" w:cs="Arial" w:eastAsia="Arial" w:hAnsi="Arial"/>
                <w:sz w:val="18"/>
                <w:szCs w:val="18"/>
                <w:color w:val="auto"/>
                <w:w w:val="99"/>
              </w:rPr>
              <w:t>Prepaid expenses primarily consist of prepaid benefits and insurance.</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ind w:left="760"/>
              <w:spacing w:after="0"/>
              <w:rPr>
                <w:sz w:val="20"/>
                <w:szCs w:val="20"/>
                <w:color w:val="auto"/>
              </w:rPr>
            </w:pPr>
            <w:r>
              <w:rPr>
                <w:rFonts w:ascii="Arial" w:cs="Arial" w:eastAsia="Arial" w:hAnsi="Arial"/>
                <w:sz w:val="18"/>
                <w:szCs w:val="18"/>
                <w:color w:val="auto"/>
              </w:rPr>
              <w:t>Other long-term assets consisted of the following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September 30, 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BARDA contract costs</w:t>
            </w:r>
          </w:p>
        </w:tc>
        <w:tc>
          <w:tcPr>
            <w:tcW w:w="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Long-term lease deposits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prepaids</w:t>
            </w:r>
          </w:p>
        </w:tc>
        <w:tc>
          <w:tcPr>
            <w:tcW w:w="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140"/>
              <w:spacing w:after="0"/>
              <w:rPr>
                <w:sz w:val="20"/>
                <w:szCs w:val="20"/>
                <w:color w:val="auto"/>
              </w:rPr>
            </w:pPr>
            <w:r>
              <w:rPr>
                <w:rFonts w:ascii="Arial" w:cs="Arial" w:eastAsia="Arial" w:hAnsi="Arial"/>
                <w:sz w:val="18"/>
                <w:szCs w:val="18"/>
                <w:color w:val="auto"/>
              </w:rPr>
              <w:t>Total other long-term assets</w:t>
            </w: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76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September 30, 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Unsettled investment trade payable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140"/>
              <w:spacing w:after="0"/>
              <w:rPr>
                <w:sz w:val="20"/>
                <w:szCs w:val="20"/>
                <w:color w:val="auto"/>
              </w:rPr>
            </w:pPr>
            <w:r>
              <w:rPr>
                <w:rFonts w:ascii="Arial" w:cs="Arial" w:eastAsia="Arial" w:hAnsi="Arial"/>
                <w:sz w:val="18"/>
                <w:szCs w:val="18"/>
                <w:color w:val="auto"/>
              </w:rPr>
              <w:t>Total other current liabilities</w:t>
            </w: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554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Reporting Segment and Geographic Information</w:t>
      </w:r>
    </w:p>
    <w:p>
      <w:pPr>
        <w:spacing w:after="0" w:line="121" w:lineRule="exact"/>
        <w:rPr>
          <w:sz w:val="20"/>
          <w:szCs w:val="20"/>
          <w:color w:val="auto"/>
        </w:rPr>
      </w:pPr>
    </w:p>
    <w:p>
      <w:pPr>
        <w:ind w:right="340" w:firstLine="749"/>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are primarily located in the United States as of September 30, 2022, and December 31, 2021 with an insignificant amount located in Australia and the United Kingdom.</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Revenue by region for the three and nine-months ended September 30, 2022, and 2021 were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Nine-months ended</w:t>
            </w:r>
          </w:p>
        </w:tc>
      </w:tr>
      <w:tr>
        <w:trPr>
          <w:trHeight w:val="171"/>
        </w:trPr>
        <w:tc>
          <w:tcPr>
            <w:tcW w:w="2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8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United States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6,924</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24,672</w:t>
            </w:r>
          </w:p>
        </w:tc>
        <w:tc>
          <w:tcPr>
            <w:tcW w:w="16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25,888</w:t>
            </w:r>
          </w:p>
        </w:tc>
        <w:tc>
          <w:tcPr>
            <w:tcW w:w="10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Australia</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1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26,089</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Revenue and cost of sales by customer type for the three and nine-months ended September 30, 2022, and 2021 were as follows (in thousands):</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2"/>
              </w:rPr>
              <w:t>Three-months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Nine-months ended</w:t>
            </w:r>
          </w:p>
        </w:tc>
      </w:tr>
      <w:tr>
        <w:trPr>
          <w:trHeight w:val="171"/>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6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Commercial sales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8,999</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6,928</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24,687</w:t>
            </w:r>
          </w:p>
        </w:tc>
        <w:tc>
          <w:tcPr>
            <w:tcW w:w="18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Services for emergency preparedness</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26,089</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2"/>
              </w:rPr>
              <w:t>Three-months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Nine-months ended</w:t>
            </w:r>
          </w:p>
        </w:tc>
      </w:tr>
      <w:tr>
        <w:trPr>
          <w:trHeight w:val="171"/>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6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Commercial cost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1,446</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Product cost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Emergency preparedness service cost</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2022 and December 31, 2021, the Company did not have any outstanding or threatened litigation that would have a material impact to the financial statements.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Common and Preferred Stock</w:t>
      </w:r>
    </w:p>
    <w:p>
      <w:pPr>
        <w:spacing w:after="0" w:line="22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Company’s CHESS Depositary Interests (“CDIs”) are quoted on the ASX under the ticker code, “AVH”. The Company’s shares of common stock are quoted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ticker code, “RCEL”. One share of common stock on NASDAQ is equivalent to five CDIs on the ASX.</w:t>
      </w:r>
    </w:p>
    <w:p>
      <w:pPr>
        <w:spacing w:after="0" w:line="184"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As a result of the ‘implicit consolidation’ that occurred under the AVITA group’s redomiciliation from Australia to the United States of America in 2020 (the “Redomiciliation”), the number of shares of common stock on issue in the Company (as set out in the consolidated financial statements) is less than the number of ordinary shares in AVITA Medical (the prior parent company of the AVITA group) that was previously set out in the consolidated financial statements of AVITA Medical. All common share amounts included in the consolidated financial statements have been retroactively reduced by a factor of one hundred and all per share amounts have been increased by a factor or one hundred, with the exception of the Company’s common stock par value.</w:t>
      </w:r>
    </w:p>
    <w:p>
      <w:pPr>
        <w:spacing w:after="0" w:line="19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September 30, 2022, and December 31, 2021, 25,030,902 and 24,925,743 shares of common stock, respectively, were issued and outstanding and no shares of preferred stock were outstanding.</w:t>
      </w:r>
    </w:p>
    <w:p>
      <w:pPr>
        <w:spacing w:after="0" w:line="17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On March 1, 2021, the Company issued 3,214,250 shares of common stock at the offering price of $21.50 per share. The gross proceeds from the offering were approximately $69.1 million while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It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(“commercial customers”) and to BARDA (collectively “</w:t>
      </w:r>
      <w:r>
        <w:rPr>
          <w:rFonts w:ascii="Arial" w:cs="Arial" w:eastAsia="Arial" w:hAnsi="Arial"/>
          <w:sz w:val="18"/>
          <w:szCs w:val="18"/>
          <w:b w:val="1"/>
          <w:bCs w:val="1"/>
          <w:color w:val="auto"/>
        </w:rPr>
        <w:t>customers</w:t>
      </w:r>
      <w:r>
        <w:rPr>
          <w:rFonts w:ascii="Arial" w:cs="Arial" w:eastAsia="Arial" w:hAnsi="Arial"/>
          <w:sz w:val="18"/>
          <w:szCs w:val="18"/>
          <w:color w:val="auto"/>
        </w:rPr>
        <w:t>”), predominately in the United States. In addition, the Company records service revenue for the emergency preparedness services provided to BARDA.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For commercial contracts, we identified the hospital or treatment center as the customer in Step 1 of the 5-step model of ASC 606 and have determined a contract exists with those customers. As these contracts typically have a single performance obligation (i.e. product delivery), no allocation of the transaction price is required in Step 4 of the model. Control of the product is transferred to the customer at a point in time, at the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is imposed by governmental authorities.</w:t>
      </w:r>
    </w:p>
    <w:p>
      <w:pPr>
        <w:spacing w:after="0" w:line="161" w:lineRule="exact"/>
        <w:rPr>
          <w:sz w:val="20"/>
          <w:szCs w:val="20"/>
          <w:color w:val="auto"/>
        </w:rPr>
      </w:pPr>
    </w:p>
    <w:p>
      <w:pPr>
        <w:ind w:right="60" w:firstLine="749"/>
        <w:spacing w:after="0" w:line="284" w:lineRule="auto"/>
        <w:rPr>
          <w:sz w:val="20"/>
          <w:szCs w:val="20"/>
          <w:color w:val="auto"/>
        </w:rPr>
      </w:pPr>
      <w:r>
        <w:rPr>
          <w:rFonts w:ascii="Arial" w:cs="Arial" w:eastAsia="Arial" w:hAnsi="Arial"/>
          <w:sz w:val="16"/>
          <w:szCs w:val="16"/>
          <w:color w:val="auto"/>
        </w:rPr>
        <w:t>For the contract with BARDA, the Company identified two performance obligations (i) the procurement of 5,614 RECELL units; and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$52,000 and $64,000 as of September 30, 2022 and December 31, 2021, respectively, for the rotation cost of the product. Such amounts are recorded in other current liabilities and other long-term liabilities as of September 30, 2022, and December 31, 2021, respectively. The emergency preparedness services performance obligation is satisfied over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time. Revenue for the emergency deployment will be recognized on a straight-line basis during the term of the contract as services are consumed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Services recognized for the three-months ended September 30, 2022 and 2021 were $93,000 and $92,000, respectively, and are included in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the consolidated statements of operations. Services recognized for the nine-months ended September 30, 2022 and 2021 were $279,000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$246,000, respectively. Contract costs to fulfil the performance obligation are incremental and expected to be recovered are capitalized and amortized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straight-line basis over the term of the contract. As of September 30, 2022 and December 31, 2021 contract costs of $315,000 and $504,000 are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320" w:firstLine="749"/>
        <w:spacing w:after="0" w:line="287"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$740,000 and $952,000 as of September 30, 2022 and December 31, 2021,</w:t>
      </w:r>
    </w:p>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respectively. Approximately $308,000 for September 30, 2022 and $517,000 for December 31, 2021 of the total balance relates to our July 2020 contract with BARDA for the purchase, delivery and storage of RECELL Systems for emergency response preparedness for a period of three years. The Company expects to recognize this amount as services are provided to BARDA. For the remaining balance of $432,000 and $435,000 as of September 30, 2022 and December 31, 2021, respectively, the Company expects to recognize revenue on a straight-line basis over the term of the contract commencing with the generation of commercial sales to COSMOTEC. We are contracted to manage this inventory of product until the federal government requests shipment or at contract termination on December 31,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ind w:right="340" w:firstLine="749"/>
        <w:spacing w:after="0" w:line="301"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the period ended September 30, 2022 and December 31, 2021, the Company does not have any contract assets.</w:t>
      </w:r>
    </w:p>
    <w:p>
      <w:pPr>
        <w:spacing w:after="0" w:line="184"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Contract liabilities are recorded when the Company receives payment prior to satisfying its obligation to transfer goods to a customer. The Company had $740,000 and $952,000 of contract liabilities as of September 30, 2022 and December 31, 2021, respectively. The balance relates to the unsatisfied performance obligation for emergency preparedness under the BARDA contract and COSMOTEC. The performance obligation will be satisfied, and revenue will be recognized over time over the term of the contract. For the three-months ended September 30, 2022 and 2021, the Company recognized $93,000 and $92,000 of revenue from BARDA and $3,000 and $0 for COSMOTEC of the amounts included in the beginning balance of contract liabilities. For the nine-months ended September 30, 2022, and 2021, the Company recognized $279,000 and $246,000 of revenue from BARDA and $3,000 and $0 for COSMOTEC from amounts included in the beginning balance of contract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11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Commercial 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Contract Costs</w:t>
      </w:r>
    </w:p>
    <w:p>
      <w:pPr>
        <w:spacing w:after="0" w:line="117" w:lineRule="exact"/>
        <w:rPr>
          <w:sz w:val="20"/>
          <w:szCs w:val="20"/>
          <w:color w:val="auto"/>
        </w:rPr>
      </w:pPr>
    </w:p>
    <w:p>
      <w:pPr>
        <w:ind w:right="160" w:firstLine="749"/>
        <w:spacing w:after="0" w:line="254" w:lineRule="auto"/>
        <w:rPr>
          <w:sz w:val="20"/>
          <w:szCs w:val="20"/>
          <w:color w:val="auto"/>
        </w:rPr>
      </w:pPr>
      <w:r>
        <w:rPr>
          <w:rFonts w:ascii="Arial" w:cs="Arial" w:eastAsia="Arial" w:hAnsi="Arial"/>
          <w:sz w:val="18"/>
          <w:szCs w:val="18"/>
          <w:color w:val="auto"/>
        </w:rPr>
        <w:t>Cost to fulfill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September 30, 2022, and December 31, 2021, the Company had $315,000 and $504,000 of contracts costs included in other long-term assets. Amortization expense related to deferred contract costs were $84,000 and $82,000, during the three-months ended September 30, 2022, and 2021, respectively, and are classified as cost of sales on the accompanying consolidated statements of operations. Amortization expense related to deferred contract costs were $253,000 and $211,000, during the nine-months ended September 30, 2022, and 2021, respectively. There was no impairment loss in relation to deferred contract costs during the three-months ended September 30, 2022, and 2021, or the nine-months ended September 30, 2022 and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15.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3" w:lineRule="exact"/>
        <w:rPr>
          <w:sz w:val="20"/>
          <w:szCs w:val="20"/>
          <w:color w:val="auto"/>
        </w:rPr>
      </w:pPr>
    </w:p>
    <w:p>
      <w:pPr>
        <w:ind w:firstLine="749"/>
        <w:spacing w:after="0" w:line="276" w:lineRule="auto"/>
        <w:rPr>
          <w:sz w:val="20"/>
          <w:szCs w:val="20"/>
          <w:color w:val="auto"/>
        </w:rPr>
      </w:pPr>
      <w:r>
        <w:rPr>
          <w:rFonts w:ascii="Arial" w:cs="Arial" w:eastAsia="Arial" w:hAnsi="Arial"/>
          <w:sz w:val="17"/>
          <w:szCs w:val="17"/>
          <w:color w:val="auto"/>
        </w:rPr>
        <w:t>Our former parent company, AVITA Medical, adopted the Employee Share Plan and the Incentive Option Plan (collectively, the “</w:t>
      </w:r>
      <w:r>
        <w:rPr>
          <w:rFonts w:ascii="Arial" w:cs="Arial" w:eastAsia="Arial" w:hAnsi="Arial"/>
          <w:sz w:val="17"/>
          <w:szCs w:val="17"/>
          <w:b w:val="1"/>
          <w:bCs w:val="1"/>
          <w:color w:val="auto"/>
        </w:rPr>
        <w:t>2016 Plans</w:t>
      </w:r>
      <w:r>
        <w:rPr>
          <w:rFonts w:ascii="Arial" w:cs="Arial" w:eastAsia="Arial" w:hAnsi="Arial"/>
          <w:sz w:val="17"/>
          <w:szCs w:val="17"/>
          <w:color w:val="auto"/>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in relation to the 2016 Plans has been presented on a reverse stock split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Arial" w:cs="Arial" w:eastAsia="Arial" w:hAnsi="Arial"/>
          <w:sz w:val="17"/>
          <w:szCs w:val="17"/>
          <w:b w:val="1"/>
          <w:bCs w:val="1"/>
          <w:color w:val="auto"/>
        </w:rPr>
        <w:t>2020 Plan</w:t>
      </w:r>
      <w:r>
        <w:rPr>
          <w:rFonts w:ascii="Arial" w:cs="Arial" w:eastAsia="Arial" w:hAnsi="Arial"/>
          <w:sz w:val="17"/>
          <w:szCs w:val="17"/>
          <w:color w:val="auto"/>
        </w:rPr>
        <w:t>”). On December 22, 2021, the Company’s stockholders approved the issuance of options and awards to the Board of Directors and the Company's former CEO ("</w:t>
      </w:r>
      <w:r>
        <w:rPr>
          <w:rFonts w:ascii="Arial" w:cs="Arial" w:eastAsia="Arial" w:hAnsi="Arial"/>
          <w:sz w:val="17"/>
          <w:szCs w:val="17"/>
          <w:b w:val="1"/>
          <w:bCs w:val="1"/>
          <w:color w:val="auto"/>
        </w:rPr>
        <w:t>Former CEO</w:t>
      </w:r>
      <w:r>
        <w:rPr>
          <w:rFonts w:ascii="Arial" w:cs="Arial" w:eastAsia="Arial" w:hAnsi="Arial"/>
          <w:sz w:val="17"/>
          <w:szCs w:val="17"/>
          <w:color w:val="auto"/>
        </w:rPr>
        <w:t>"). These awards are subject to the vesting and performance conditions as denoted in the individual agreements.</w:t>
      </w:r>
    </w:p>
    <w:p>
      <w:pPr>
        <w:spacing w:after="0" w:line="177" w:lineRule="exact"/>
        <w:rPr>
          <w:sz w:val="20"/>
          <w:szCs w:val="20"/>
          <w:color w:val="auto"/>
        </w:rPr>
      </w:pPr>
    </w:p>
    <w:p>
      <w:pPr>
        <w:ind w:right="200" w:firstLine="749"/>
        <w:spacing w:after="0" w:line="291" w:lineRule="auto"/>
        <w:rPr>
          <w:sz w:val="20"/>
          <w:szCs w:val="20"/>
          <w:color w:val="auto"/>
        </w:rPr>
      </w:pPr>
      <w:r>
        <w:rPr>
          <w:rFonts w:ascii="Arial" w:cs="Arial" w:eastAsia="Arial" w:hAnsi="Arial"/>
          <w:sz w:val="16"/>
          <w:szCs w:val="16"/>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6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contractual term of awards granted under the 2020 Plan is ten years from the date of its grant. Unless otherwise specified, the vesting period of awards granted under the 2020 Plan was: (i) vest over a four-year period in four equal installments, 25% at the end of each year from the date of grant, and /or (ii) subject to other performance criteria and hurdles, as determined by the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right="140" w:firstLine="749"/>
        <w:spacing w:after="0" w:line="272" w:lineRule="auto"/>
        <w:rPr>
          <w:sz w:val="20"/>
          <w:szCs w:val="20"/>
          <w:color w:val="auto"/>
        </w:rPr>
      </w:pPr>
      <w:r>
        <w:rPr>
          <w:rFonts w:ascii="Arial" w:cs="Arial" w:eastAsia="Arial" w:hAnsi="Arial"/>
          <w:sz w:val="17"/>
          <w:szCs w:val="17"/>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 ("ASU 2016”09"). During the three-months ended September 30, 2022, and 2021, the Company recorded share-based compensation expense of $1.4 million, and $1.8 million, respectively. During the nine-months ended September 30, 2022, and 2021, the Company recorded share-based compensation expense of $5.8 million, and $4.6 million, respectively. No income tax benefit was recognized in the consolidated statements of operations for share-based payment arrangements for the three-months ended September 30, 2022, and 2021, or the nine-months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-700405</wp:posOffset>
            </wp:positionV>
            <wp:extent cx="2540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Nine-months ended</w:t>
            </w:r>
          </w:p>
        </w:tc>
        <w:tc>
          <w:tcPr>
            <w:tcW w:w="11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46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80" w:type="dxa"/>
            <w:vAlign w:val="bottom"/>
            <w:gridSpan w:val="2"/>
          </w:tcPr>
          <w:p>
            <w:pPr>
              <w:jc w:val="right"/>
              <w:ind w:right="47"/>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760"/>
        <w:spacing w:after="0"/>
        <w:rPr>
          <w:sz w:val="20"/>
          <w:szCs w:val="20"/>
          <w:color w:val="auto"/>
        </w:rPr>
      </w:pPr>
      <w:r>
        <w:rPr>
          <w:rFonts w:ascii="Arial" w:cs="Arial" w:eastAsia="Arial" w:hAnsi="Arial"/>
          <w:sz w:val="18"/>
          <w:szCs w:val="18"/>
          <w:color w:val="auto"/>
        </w:rPr>
        <w:t>A summary of share option activity as of September 30, 2022, and changes during the period ended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90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Service Only</w:t>
            </w: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Performance</w:t>
            </w:r>
          </w:p>
        </w:tc>
        <w:tc>
          <w:tcPr>
            <w:tcW w:w="150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Market</w:t>
            </w: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Total Share</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8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7"/>
              </w:rPr>
              <w:t>Based Share</w:t>
            </w:r>
          </w:p>
        </w:tc>
        <w:tc>
          <w:tcPr>
            <w:tcW w:w="15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90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Share Options</w:t>
            </w:r>
          </w:p>
        </w:tc>
        <w:tc>
          <w:tcPr>
            <w:tcW w:w="1880" w:type="dxa"/>
            <w:vAlign w:val="bottom"/>
            <w:gridSpan w:val="2"/>
            <w:vMerge w:val="continue"/>
          </w:tcPr>
          <w:p>
            <w:pPr>
              <w:spacing w:after="0"/>
              <w:rPr>
                <w:sz w:val="9"/>
                <w:szCs w:val="9"/>
                <w:color w:val="auto"/>
              </w:rPr>
            </w:pP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rPr>
              <w:t>Awards</w:t>
            </w:r>
          </w:p>
        </w:tc>
        <w:tc>
          <w:tcPr>
            <w:tcW w:w="13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8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8"/>
              </w:rPr>
              <w:t>Options</w:t>
            </w:r>
          </w:p>
        </w:tc>
        <w:tc>
          <w:tcPr>
            <w:tcW w:w="150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shares at December 31, 2021</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1,129,126</w:t>
            </w:r>
          </w:p>
        </w:tc>
        <w:tc>
          <w:tcPr>
            <w:tcW w:w="4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599,994</w:t>
            </w:r>
          </w:p>
        </w:tc>
        <w:tc>
          <w:tcPr>
            <w:tcW w:w="3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3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1,756,720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456,300</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(125)</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Expired</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(5,025)</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(6,900)</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(27,600)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(39,525)</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(41,175)</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(41,175)</w:t>
            </w:r>
          </w:p>
        </w:tc>
        <w:tc>
          <w:tcPr>
            <w:tcW w:w="0" w:type="dxa"/>
            <w:vAlign w:val="bottom"/>
          </w:tcPr>
          <w:p>
            <w:pPr>
              <w:spacing w:after="0"/>
              <w:rPr>
                <w:sz w:val="1"/>
                <w:szCs w:val="1"/>
                <w:color w:val="auto"/>
              </w:rPr>
            </w:pPr>
          </w:p>
        </w:tc>
      </w:tr>
      <w:tr>
        <w:trPr>
          <w:trHeight w:val="26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shares at September 30, 2022</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1,539,101</w:t>
            </w:r>
          </w:p>
        </w:tc>
        <w:tc>
          <w:tcPr>
            <w:tcW w:w="440" w:type="dxa"/>
            <w:vAlign w:val="bottom"/>
            <w:tcBorders>
              <w:bottom w:val="single" w:sz="8" w:color="CFF0FC"/>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593,094</w:t>
            </w:r>
          </w:p>
        </w:tc>
        <w:tc>
          <w:tcPr>
            <w:tcW w:w="38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2,132,195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September 30, 2022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668,137</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364,258</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1,032,395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are granted to executives as part of their long-term incentive compensation. RSUs granted prior to the 2020 Plan arise out of contracts between the Company’s former parent company, AVITA Medical and the holders of such securities. RSUs granted as a result of stockholder approval at the December 22, 2021 Annual General Meeting (“</w:t>
      </w:r>
      <w:r>
        <w:rPr>
          <w:rFonts w:ascii="Arial" w:cs="Arial" w:eastAsia="Arial" w:hAnsi="Arial"/>
          <w:sz w:val="16"/>
          <w:szCs w:val="16"/>
          <w:b w:val="1"/>
          <w:bCs w:val="1"/>
          <w:color w:val="auto"/>
        </w:rPr>
        <w:t>AGM</w:t>
      </w:r>
      <w:r>
        <w:rPr>
          <w:rFonts w:ascii="Arial" w:cs="Arial" w:eastAsia="Arial" w:hAnsi="Arial"/>
          <w:sz w:val="16"/>
          <w:szCs w:val="16"/>
          <w:color w:val="auto"/>
        </w:rPr>
        <w:t>”) arise out of contracts between the Company and the holders of such securities. These RSU awards were approved by the Compensation Committee as determined necessary. All RSU awards have a contractual term of 10 years and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post Redomiciliation and ASX prior to the Redomiciliation). RSUs primarily consist of awards to the Former CEO and other executives as well as Non-Executive Directors (as occurred following the 2021 AGM). The Former CEO RSU awards are described below.</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status of the Company’s unvested RSUs as of September 30, 2022, and changes that occurred during the year is presented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Service</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Performance</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Market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Total RSU's</w:t>
            </w:r>
          </w:p>
        </w:tc>
        <w:tc>
          <w:tcPr>
            <w:tcW w:w="0" w:type="dxa"/>
            <w:vAlign w:val="bottom"/>
          </w:tcPr>
          <w:p>
            <w:pPr>
              <w:spacing w:after="0"/>
              <w:rPr>
                <w:sz w:val="1"/>
                <w:szCs w:val="1"/>
                <w:color w:val="auto"/>
              </w:rPr>
            </w:pPr>
          </w:p>
        </w:tc>
      </w:tr>
      <w:tr>
        <w:trPr>
          <w:trHeight w:val="126"/>
        </w:trPr>
        <w:tc>
          <w:tcPr>
            <w:tcW w:w="5100" w:type="dxa"/>
            <w:vAlign w:val="bottom"/>
          </w:tcPr>
          <w:p>
            <w:pPr>
              <w:spacing w:after="0"/>
              <w:rPr>
                <w:sz w:val="10"/>
                <w:szCs w:val="10"/>
                <w:color w:val="auto"/>
              </w:rPr>
            </w:pPr>
          </w:p>
        </w:tc>
        <w:tc>
          <w:tcPr>
            <w:tcW w:w="17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7"/>
              </w:rPr>
              <w:t>Condition RSU</w:t>
            </w:r>
          </w:p>
        </w:tc>
        <w:tc>
          <w:tcPr>
            <w:tcW w:w="17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Condition RSU</w:t>
            </w: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Condition</w:t>
            </w: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114,757</w:t>
            </w:r>
          </w:p>
        </w:tc>
        <w:tc>
          <w:tcPr>
            <w:tcW w:w="4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135,093</w:t>
            </w:r>
          </w:p>
        </w:tc>
        <w:tc>
          <w:tcPr>
            <w:tcW w:w="3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47,640</w:t>
            </w:r>
          </w:p>
        </w:tc>
        <w:tc>
          <w:tcPr>
            <w:tcW w:w="3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334,450</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(47,507)</w:t>
            </w: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(57,527)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(105,034)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(5,850)</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(11,920)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(47,640)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(65,410)</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September 30,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395,850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Former CEO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November 2019, the equivalent of 395,542 RSUs were issued to the Former CEO with the following vesting terms:</w:t>
      </w:r>
    </w:p>
    <w:p>
      <w:pPr>
        <w:spacing w:after="0" w:line="117" w:lineRule="exact"/>
        <w:rPr>
          <w:sz w:val="20"/>
          <w:szCs w:val="20"/>
          <w:color w:val="auto"/>
        </w:rPr>
      </w:pPr>
    </w:p>
    <w:p>
      <w:pPr>
        <w:ind w:left="1140" w:right="120" w:hanging="498"/>
        <w:spacing w:after="0" w:line="26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Tenure – the equivalent of 142,521 RSUs with a vesting period of three-years commencing on September 1, 2020. On September 1, 2022, the last tranche of 47,507 RSUs vested and were appropriately released. As of September 30, 2022, no RSUs are outstanding from this award.</w:t>
      </w:r>
    </w:p>
    <w:p>
      <w:pPr>
        <w:spacing w:after="0" w:line="75" w:lineRule="exact"/>
        <w:rPr>
          <w:rFonts w:ascii="Arial" w:cs="Arial" w:eastAsia="Arial" w:hAnsi="Arial"/>
          <w:sz w:val="18"/>
          <w:szCs w:val="18"/>
          <w:color w:val="auto"/>
        </w:rPr>
      </w:pPr>
    </w:p>
    <w:p>
      <w:pPr>
        <w:jc w:val="both"/>
        <w:ind w:left="1140" w:right="100" w:hanging="498"/>
        <w:spacing w:after="0" w:line="26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Milestone performance – 253,021 of the RSUs would vest upon satisfaction of various performance conditions. During the first quarter of 2022 the last performance milestone was achieved, the RSUs vested and were appropriately released. As of September 30, 2022, no RSUs are outstanding from this award.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AGM Awards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On December 22, 2021, as part of the Company’s 2021 AGM, the Company’s stockholders approved the grant of stock option awards and RSUs to the Former CEO and the Board of Directors. These awards are referred to as the 2021 AGM Awards.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Awards to the Former CEO under the 2021 AGM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December 22, 2021, the Former CEO was issued an aggregate 150,480 options and RSUs comprising:</w:t>
      </w:r>
    </w:p>
    <w:p>
      <w:pPr>
        <w:spacing w:after="0" w:line="117" w:lineRule="exact"/>
        <w:rPr>
          <w:sz w:val="20"/>
          <w:szCs w:val="20"/>
          <w:color w:val="auto"/>
        </w:rPr>
      </w:pPr>
    </w:p>
    <w:p>
      <w:pPr>
        <w:ind w:left="740" w:right="2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37,600 tenure-based options and RSUs (23,800 RSUs and 13,800 options) with 25% of those options and RSUs vesting annually commencing on December 14, 2022.</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37,640 performance-based options and RSUs (23,840 RSUs and 13,800 options) that vest upon satisfaction of the below conditions:</w:t>
      </w:r>
    </w:p>
    <w:p>
      <w:pPr>
        <w:spacing w:after="0" w:line="129" w:lineRule="exact"/>
        <w:rPr>
          <w:sz w:val="20"/>
          <w:szCs w:val="20"/>
          <w:color w:val="auto"/>
        </w:rPr>
      </w:pPr>
    </w:p>
    <w:p>
      <w:pPr>
        <w:ind w:left="1500" w:right="140" w:hanging="372"/>
        <w:spacing w:after="0" w:line="25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9,410 awards (5,960 RSUs and 3,450 options) - Achieve Centers for Medicare and Medicaid Services reimbursement for out-patient transitional pass-through payment code (“</w:t>
      </w:r>
      <w:r>
        <w:rPr>
          <w:rFonts w:ascii="Arial" w:cs="Arial" w:eastAsia="Arial" w:hAnsi="Arial"/>
          <w:sz w:val="18"/>
          <w:szCs w:val="18"/>
          <w:b w:val="1"/>
          <w:bCs w:val="1"/>
          <w:color w:val="auto"/>
        </w:rPr>
        <w:t>TPT</w:t>
      </w:r>
      <w:r>
        <w:rPr>
          <w:rFonts w:ascii="Arial" w:cs="Arial" w:eastAsia="Arial" w:hAnsi="Arial"/>
          <w:sz w:val="18"/>
          <w:szCs w:val="18"/>
          <w:color w:val="auto"/>
        </w:rPr>
        <w:t>”) by June30, 2022. This performance condition was met during the quarter ended March 31, 2022 resulting in the 5,960 RSUs vesting and 5,960 shares of common stock being issued in respect of those vested RSUs, as well as the 3,450 options vesting (although those vested options have not been exercised by the Former CEO as at the date of this Form 10-Q).</w:t>
      </w:r>
    </w:p>
    <w:p>
      <w:pPr>
        <w:spacing w:after="0" w:line="79" w:lineRule="exact"/>
        <w:rPr>
          <w:rFonts w:ascii="Arial" w:cs="Arial" w:eastAsia="Arial" w:hAnsi="Arial"/>
          <w:sz w:val="18"/>
          <w:szCs w:val="18"/>
          <w:color w:val="auto"/>
        </w:rPr>
      </w:pPr>
    </w:p>
    <w:p>
      <w:pPr>
        <w:ind w:left="1500" w:hanging="372"/>
        <w:spacing w:after="0"/>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9,410 awards (5,960 RSUs and 3,450 options) - Achieve Japanese approval from Pharmaceuticals and Medical Device Agency</w:t>
      </w:r>
    </w:p>
    <w:p>
      <w:pPr>
        <w:spacing w:after="0" w:line="34" w:lineRule="exact"/>
        <w:rPr>
          <w:rFonts w:ascii="Arial" w:cs="Arial" w:eastAsia="Arial" w:hAnsi="Arial"/>
          <w:sz w:val="17"/>
          <w:szCs w:val="17"/>
          <w:color w:val="auto"/>
        </w:rPr>
      </w:pPr>
    </w:p>
    <w:p>
      <w:pPr>
        <w:jc w:val="both"/>
        <w:ind w:left="1500" w:right="40"/>
        <w:spacing w:after="0" w:line="302"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PMDA</w:t>
      </w:r>
      <w:r>
        <w:rPr>
          <w:rFonts w:ascii="Arial" w:cs="Arial" w:eastAsia="Arial" w:hAnsi="Arial"/>
          <w:sz w:val="16"/>
          <w:szCs w:val="16"/>
          <w:color w:val="auto"/>
        </w:rPr>
        <w:t>”) and reimbursement code by September 30, 2022. This performance condition was met during the quarter ended September 30, 2022, resulting in the RSUs vesting and 5,960 shares of common stock being issued in respect of those vested RSUs, as well as the 3,450 options vesting (although those vested options have not been exercised by the Former CEO as at the date of this Form 10-Q).</w:t>
      </w:r>
    </w:p>
    <w:p>
      <w:pPr>
        <w:spacing w:after="0" w:line="47" w:lineRule="exact"/>
        <w:rPr>
          <w:rFonts w:ascii="Arial" w:cs="Arial" w:eastAsia="Arial" w:hAnsi="Arial"/>
          <w:sz w:val="17"/>
          <w:szCs w:val="17"/>
          <w:color w:val="auto"/>
        </w:rPr>
      </w:pPr>
    </w:p>
    <w:p>
      <w:pPr>
        <w:ind w:left="1500" w:hanging="372"/>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9,410 awards (5,960 RSUs and 3,450 options) - Achieve profitability of the Company’s Burns business for two consecutive quarters by March 31, 2023. These awards were unvested as at the date of termination of the Former CEO's employment.</w:t>
      </w:r>
    </w:p>
    <w:p>
      <w:pPr>
        <w:spacing w:after="0" w:line="62" w:lineRule="exact"/>
        <w:rPr>
          <w:rFonts w:ascii="Arial" w:cs="Arial" w:eastAsia="Arial" w:hAnsi="Arial"/>
          <w:sz w:val="18"/>
          <w:szCs w:val="18"/>
          <w:color w:val="auto"/>
        </w:rPr>
      </w:pPr>
    </w:p>
    <w:p>
      <w:pPr>
        <w:ind w:left="1500" w:right="40" w:hanging="372"/>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9,410 awards (5,960 RSUs and 3,450 options) - Achieve US FDA approval of vitiligo indication by December 31, 2023. These awards were unvested as at the date of termination of the Former CEO's employment.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75,240 stretch-performance based options and RSUs (47,640 RSUs and 27,600 options) that vest upon satisfaction of the below conditions:</w:t>
      </w:r>
    </w:p>
    <w:p>
      <w:pPr>
        <w:spacing w:after="0" w:line="136" w:lineRule="exact"/>
        <w:rPr>
          <w:rFonts w:ascii="Arial" w:cs="Arial" w:eastAsia="Arial" w:hAnsi="Arial"/>
          <w:sz w:val="16"/>
          <w:szCs w:val="16"/>
          <w:color w:val="auto"/>
        </w:rPr>
      </w:pPr>
    </w:p>
    <w:p>
      <w:pPr>
        <w:ind w:left="1500" w:right="180" w:hanging="372"/>
        <w:spacing w:after="0" w:line="289"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37,620 (23,820 RSUs and 13,800 options) - Achieve a doubling based on a 10-day volume-weighted average price (“</w:t>
      </w:r>
      <w:r>
        <w:rPr>
          <w:rFonts w:ascii="Arial" w:cs="Arial" w:eastAsia="Arial" w:hAnsi="Arial"/>
          <w:sz w:val="17"/>
          <w:szCs w:val="17"/>
          <w:b w:val="1"/>
          <w:bCs w:val="1"/>
          <w:color w:val="auto"/>
        </w:rPr>
        <w:t>VWAP</w:t>
      </w:r>
      <w:r>
        <w:rPr>
          <w:rFonts w:ascii="Arial" w:cs="Arial" w:eastAsia="Arial" w:hAnsi="Arial"/>
          <w:sz w:val="17"/>
          <w:szCs w:val="17"/>
          <w:color w:val="auto"/>
        </w:rPr>
        <w:t>”) of the Company’s share price as of the date of the 2021 Annual Meeting (being December 14, 2021) by September 30, 2023. The target share price is $25.74. These awards were unvested as at the date of termination of the Former CEO's employment.</w:t>
      </w:r>
    </w:p>
    <w:p>
      <w:pPr>
        <w:spacing w:after="0" w:line="53" w:lineRule="exact"/>
        <w:rPr>
          <w:rFonts w:ascii="Arial" w:cs="Arial" w:eastAsia="Arial" w:hAnsi="Arial"/>
          <w:sz w:val="17"/>
          <w:szCs w:val="17"/>
          <w:color w:val="auto"/>
        </w:rPr>
      </w:pPr>
    </w:p>
    <w:p>
      <w:pPr>
        <w:ind w:left="1500" w:right="40" w:hanging="372"/>
        <w:spacing w:after="0" w:line="259"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37,620 (23,820 RSUs and 13,800 options) - Achieve a market capitalization of the Company of greater than or equal to US$1.25 billion (as compared to market capitalization of ~US$435M as of October 14, 2021) and maintain that market capitalization for at least 30 consecutive calendar days on or before December 31, 2024. These awards were unvested as at the date of termination of the Former CEO's employment.</w:t>
      </w:r>
    </w:p>
    <w:p>
      <w:pPr>
        <w:spacing w:after="0" w:line="7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accordance with the terms of the RSU Agreement and Option Agreements with the Former CEO, unvested performance-based and market condition RSUs were forfeited on the date of termination and unvested performance-based and market conditions options expired on the date of termination. Per the terms of the RSU and Option Agreements, RSUs and options that were granted and are tenure-based only will continue to vest as long as the Former CEO continues to provide services to the Company as a Board Member.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2021 AGM Awards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Board of Director awards that were granted in 2021 consist of an aggregate 68,600 options and RSUs as follows:</w:t>
      </w:r>
    </w:p>
    <w:p>
      <w:pPr>
        <w:spacing w:after="0" w:line="131"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41,400 tenure-based options and RSUs (15,300 options and 26,100 RSUs) vesting 12 months from the grant date</w:t>
      </w:r>
    </w:p>
    <w:p>
      <w:pPr>
        <w:spacing w:after="0" w:line="117" w:lineRule="exact"/>
        <w:rPr>
          <w:sz w:val="20"/>
          <w:szCs w:val="20"/>
          <w:color w:val="auto"/>
        </w:rPr>
      </w:pPr>
    </w:p>
    <w:p>
      <w:pPr>
        <w:ind w:left="1500" w:right="200" w:hanging="372"/>
        <w:spacing w:after="0" w:line="277"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6,900 tenure-based options and RSUs (4,350 RSUs and 2,550 options) were granted to each of the six non-executive board members based on the vesting terms detailed above.</w:t>
      </w:r>
    </w:p>
    <w:p>
      <w:pPr>
        <w:spacing w:after="0" w:line="75" w:lineRule="exact"/>
        <w:rPr>
          <w:rFonts w:ascii="Arial" w:cs="Arial" w:eastAsia="Arial" w:hAnsi="Arial"/>
          <w:sz w:val="18"/>
          <w:szCs w:val="18"/>
          <w:color w:val="auto"/>
        </w:rPr>
      </w:pPr>
    </w:p>
    <w:p>
      <w:pPr>
        <w:jc w:val="both"/>
        <w:ind w:left="740" w:right="280" w:hanging="368"/>
        <w:spacing w:after="0" w:line="291"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p>
      <w:pPr>
        <w:ind w:left="1140" w:right="140" w:hanging="9"/>
        <w:spacing w:after="0" w:line="260" w:lineRule="auto"/>
        <w:tabs>
          <w:tab w:leader="none" w:pos="18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13,600 tenure-based options and RSUs (8,675 RSUs and 4,925 options) were granted to Jan Stern Reed and James Corbett as an initial grant in connection with their appointment to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16. Income Taxes</w:t>
      </w:r>
    </w:p>
    <w:p>
      <w:pPr>
        <w:spacing w:after="0" w:line="256"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At December 31, 2021, the Company and its subsidiaries had net operating loss carryforwards for federal, state, United Kingdom, and Australian income tax purposes of $122.0 million, $79.7 million, $31.9 million and $38.2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state carryforwards begin to expire between 2026 through 2041. The remaining carryforwards have no expiration. The Company is forecasting current year losses and has full valuation allowances against its deferred tax assets. Tax expense for the three-months ended September 30, 2022 and 2021 of $4,000 and $6,000, respectively, is related to state minimum taxes. Tax expense for the nine-months ended September 30, 2022 and 2021, is $12,000 and $23,000, respectively.</w:t>
      </w:r>
    </w:p>
    <w:p>
      <w:pPr>
        <w:spacing w:after="0" w:line="166"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$51.3 million and $46.9 million as of December 31, 2021 and 2020, respectively. The deferred tax assets are primarily net operating loss carryforwards for which management has determined it is more likely than not that the deferred tax assets will not be realized.</w:t>
      </w:r>
    </w:p>
    <w:p>
      <w:pPr>
        <w:spacing w:after="0" w:line="196"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September 30, 2022 or December 31, 2021.</w:t>
      </w:r>
    </w:p>
    <w:p>
      <w:pPr>
        <w:spacing w:after="0" w:line="225"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2018 through June 30, 2021, and for certain other U.S. state and local income taxes generally for the fiscal years ended June 30, 2018 through June 30,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Three-Months Ended September</w:t>
            </w:r>
          </w:p>
        </w:tc>
        <w:tc>
          <w:tcPr>
            <w:tcW w:w="24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Nine-Months Ended September 30,</w:t>
            </w: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w w:val="93"/>
              </w:rPr>
              <w:t>Weighted-average common shares – outstanding,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25,007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24,905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24,972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60" w:type="dxa"/>
            <w:vAlign w:val="bottom"/>
            <w:vMerge w:val="restart"/>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3"/>
              </w:rPr>
              <w:t>Weighted-average common shares – outstanding,</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25,007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24,905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24,972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diluted</w:t>
            </w:r>
          </w:p>
        </w:tc>
        <w:tc>
          <w:tcPr>
            <w:tcW w:w="2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 Company’s basic net loss per share is calculated by dividing the net loss by the weighted-average number of shares of common stock outstanding for the relevant period. In accordance with ASC 710-10, 17,927 shares of common stock held by the rabbi trust are excluded from the denominator in the basic and diluted EPS calculations. For details on shares of common stock held by the rabbi trust refer to Note 18. For the purposes of the calculation of diluted net loss per share, options to purchase common stock,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0" w:name="page31"/>
    <w:bookmarkEnd w:id="30"/>
    <w:p>
      <w:pPr>
        <w:ind w:right="260"/>
        <w:spacing w:after="0" w:line="286" w:lineRule="auto"/>
        <w:rPr>
          <w:sz w:val="20"/>
          <w:szCs w:val="20"/>
          <w:color w:val="auto"/>
        </w:rPr>
      </w:pPr>
      <w:r>
        <w:rPr>
          <w:rFonts w:ascii="Arial" w:cs="Arial" w:eastAsia="Arial" w:hAnsi="Arial"/>
          <w:sz w:val="17"/>
          <w:szCs w:val="17"/>
          <w:color w:val="auto"/>
        </w:rPr>
        <w:t>restricted stock units and unvested shares of common stock issued upon the early exercise of stock options have been excluded from the calculation of diluted net loss per share as their effect is anti-dilutive. Because the Company has reported a net loss for the three and nine-months ended September 30, 2022, and 2021, diluted net loss per common share is the same as the basic net loss per share for those periods.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117" w:lineRule="exact"/>
        <w:rPr>
          <w:sz w:val="20"/>
          <w:szCs w:val="20"/>
          <w:color w:val="auto"/>
        </w:rPr>
      </w:pPr>
    </w:p>
    <w:p>
      <w:pPr>
        <w:ind w:right="80" w:firstLine="749"/>
        <w:spacing w:after="0" w:line="294" w:lineRule="auto"/>
        <w:rPr>
          <w:sz w:val="20"/>
          <w:szCs w:val="20"/>
          <w:color w:val="auto"/>
        </w:rPr>
      </w:pPr>
      <w:r>
        <w:rPr>
          <w:rFonts w:ascii="Arial" w:cs="Arial" w:eastAsia="Arial" w:hAnsi="Arial"/>
          <w:sz w:val="16"/>
          <w:szCs w:val="16"/>
          <w:color w:val="auto"/>
        </w:rPr>
        <w:t xml:space="preserve">The Company offers a 401(k)-retirement savings plan (the </w:t>
      </w:r>
      <w:r>
        <w:rPr>
          <w:rFonts w:ascii="Arial" w:cs="Arial" w:eastAsia="Arial" w:hAnsi="Arial"/>
          <w:sz w:val="16"/>
          <w:szCs w:val="16"/>
          <w:b w:val="1"/>
          <w:bCs w:val="1"/>
          <w:color w:val="auto"/>
        </w:rPr>
        <w:t>“401(k) Plan”</w:t>
      </w:r>
      <w:r>
        <w:rPr>
          <w:rFonts w:ascii="Arial" w:cs="Arial" w:eastAsia="Arial" w:hAnsi="Arial"/>
          <w:sz w:val="16"/>
          <w:szCs w:val="16"/>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$312,000 and $183,000 in the three-months ended September 30, 2022 and 2021, respectively, and $783,000 and $606,000 in the nine-months ended September 30, 2022 and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non-qualified deferred compensation plan (the "</w:t>
      </w:r>
      <w:r>
        <w:rPr>
          <w:rFonts w:ascii="Arial" w:cs="Arial" w:eastAsia="Arial" w:hAnsi="Arial"/>
          <w:sz w:val="17"/>
          <w:szCs w:val="17"/>
          <w:b w:val="1"/>
          <w:bCs w:val="1"/>
          <w:color w:val="auto"/>
        </w:rPr>
        <w:t>NQDC plan</w:t>
      </w:r>
      <w:r>
        <w:rPr>
          <w:rFonts w:ascii="Arial" w:cs="Arial" w:eastAsia="Arial" w:hAnsi="Arial"/>
          <w:sz w:val="17"/>
          <w:szCs w:val="17"/>
          <w:color w:val="auto"/>
        </w:rPr>
        <w:t>"), which became effective on October 2021 allows for eligible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highly compensated key employees to elect to defer a portion of their salary, bonus, commissions and RSU awards to later years.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deferrals are immediately vested and are subject to investment risk and a risk of forfeiture under certain circumstances. RSU deferrals are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vesting conditions of the award. Once RSUs vest, subject to a six-month and one day holding period, employees are allowed to diversify the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other investment options offered by the plan. For cash deferrals, the Company matches 4% to 6% (depending on level) of employee contributions.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matching employer contributions are vested over a two-year period with 25% vesting on year one and 75% vesting on year two for employees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55 years of age. Employer contributions for employees over 55 years of age are immediately vested. Employer contributions to the NQDC plan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 and $0 for the three-months ended September 30, 2022 and 2021, and $197,000 and $0 for the nine-months ended September 30, 2022 and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deferred compensation plan liability was $1 million and $262,000 as of September 30, 2022 and December 31, 2021, respectively, and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non-qualified deferred compensation plan liability in the Consolidated Balance Sheets.</w:t>
      </w:r>
    </w:p>
    <w:p>
      <w:pPr>
        <w:spacing w:after="0" w:line="211" w:lineRule="exact"/>
        <w:rPr>
          <w:sz w:val="20"/>
          <w:szCs w:val="20"/>
          <w:color w:val="auto"/>
        </w:rPr>
      </w:pPr>
    </w:p>
    <w:p>
      <w:pPr>
        <w:ind w:right="100" w:firstLine="749"/>
        <w:spacing w:after="0" w:line="308" w:lineRule="auto"/>
        <w:rPr>
          <w:sz w:val="20"/>
          <w:szCs w:val="20"/>
          <w:color w:val="auto"/>
        </w:rPr>
      </w:pPr>
      <w:r>
        <w:rPr>
          <w:rFonts w:ascii="Arial" w:cs="Arial" w:eastAsia="Arial" w:hAnsi="Arial"/>
          <w:sz w:val="17"/>
          <w:szCs w:val="17"/>
          <w:color w:val="auto"/>
        </w:rPr>
        <w:t>The Company established a COLI to fund the NQDC plan. Amounts in the COLI are invested in a number of funds. The securities are carried at the cash surrender value on the Consolidated Balance Sheets. We record investment gains and losses of the COLI as other income.</w:t>
      </w:r>
    </w:p>
    <w:p>
      <w:pPr>
        <w:spacing w:after="0" w:line="146"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fair values of the Company’s deferred compensation plan assets and liability are included in the table below. For additional information on the fair value hierarchy and the inputs used to measure fair value, see Note 5, Fair Value Measurements.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4320" w:type="dxa"/>
            <w:vAlign w:val="bottom"/>
            <w:gridSpan w:val="8"/>
          </w:tcPr>
          <w:p>
            <w:pPr>
              <w:ind w:left="520"/>
              <w:spacing w:after="0"/>
              <w:rPr>
                <w:sz w:val="20"/>
                <w:szCs w:val="20"/>
                <w:color w:val="auto"/>
              </w:rPr>
            </w:pPr>
            <w:r>
              <w:rPr>
                <w:rFonts w:ascii="Arial" w:cs="Arial" w:eastAsia="Arial" w:hAnsi="Arial"/>
                <w:sz w:val="18"/>
                <w:szCs w:val="18"/>
                <w:b w:val="1"/>
                <w:bCs w:val="1"/>
                <w:color w:val="auto"/>
              </w:rPr>
              <w:t>Fair Value as of September 30, 2022</w:t>
            </w:r>
          </w:p>
        </w:tc>
        <w:tc>
          <w:tcPr>
            <w:tcW w:w="3420" w:type="dxa"/>
            <w:vAlign w:val="bottom"/>
            <w:gridSpan w:val="7"/>
          </w:tcPr>
          <w:p>
            <w:pPr>
              <w:ind w:left="680"/>
              <w:spacing w:after="0"/>
              <w:rPr>
                <w:sz w:val="20"/>
                <w:szCs w:val="20"/>
                <w:color w:val="auto"/>
              </w:rPr>
            </w:pPr>
            <w:r>
              <w:rPr>
                <w:rFonts w:ascii="Arial" w:cs="Arial" w:eastAsia="Arial" w:hAnsi="Arial"/>
                <w:sz w:val="18"/>
                <w:szCs w:val="18"/>
                <w:b w:val="1"/>
                <w:bCs w:val="1"/>
                <w:color w:val="auto"/>
                <w:w w:val="90"/>
              </w:rPr>
              <w:t>Fair Value as of December 31, 2021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9"/>
                <w:szCs w:val="19"/>
                <w:color w:val="auto"/>
              </w:rPr>
            </w:pPr>
          </w:p>
        </w:tc>
        <w:tc>
          <w:tcPr>
            <w:tcW w:w="10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Level 3</w:t>
            </w: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Corporate-owned life insurance</w:t>
            </w:r>
          </w:p>
        </w:tc>
        <w:tc>
          <w:tcPr>
            <w:tcW w:w="82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5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22"/>
        </w:trPr>
        <w:tc>
          <w:tcPr>
            <w:tcW w:w="2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policies (1)</w:t>
            </w:r>
          </w:p>
        </w:tc>
        <w:tc>
          <w:tcPr>
            <w:tcW w:w="8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vMerge w:val="continue"/>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Non-qualified deferred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compensation plan liability (2)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w:t>
            </w:r>
          </w:p>
        </w:tc>
        <w:tc>
          <w:tcPr>
            <w:tcW w:w="5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1400" w:hanging="323"/>
        <w:spacing w:after="0" w:line="258" w:lineRule="auto"/>
        <w:rPr>
          <w:sz w:val="20"/>
          <w:szCs w:val="20"/>
          <w:color w:val="auto"/>
        </w:rPr>
      </w:pPr>
      <w:r>
        <w:rPr>
          <w:rFonts w:ascii="Arial" w:cs="Arial" w:eastAsia="Arial" w:hAnsi="Arial"/>
          <w:sz w:val="18"/>
          <w:szCs w:val="18"/>
          <w:color w:val="auto"/>
        </w:rPr>
        <w:t>(1)The corporate-owned life insurance contracts are recorded at cash surrender value, which is provided by a third party and reflects the net asset value of the underlying publicly traded mutual funds and are categorized as Level 2.</w:t>
      </w:r>
    </w:p>
    <w:p>
      <w:pPr>
        <w:spacing w:after="0" w:line="1" w:lineRule="exact"/>
        <w:rPr>
          <w:sz w:val="20"/>
          <w:szCs w:val="20"/>
          <w:color w:val="auto"/>
        </w:rPr>
      </w:pPr>
    </w:p>
    <w:p>
      <w:pPr>
        <w:ind w:left="660" w:right="1360" w:hanging="323"/>
        <w:spacing w:after="0" w:line="260" w:lineRule="auto"/>
        <w:rPr>
          <w:sz w:val="20"/>
          <w:szCs w:val="20"/>
          <w:color w:val="auto"/>
        </w:rPr>
      </w:pPr>
      <w:r>
        <w:rPr>
          <w:rFonts w:ascii="Arial" w:cs="Arial" w:eastAsia="Arial" w:hAnsi="Arial"/>
          <w:sz w:val="18"/>
          <w:szCs w:val="18"/>
          <w:color w:val="auto"/>
        </w:rPr>
        <w:t>(2)Non-qualified deferred compensation plan liability is measured at fair value based on quoted prices of identical instruments to the investment vehicles selected by the participants.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25"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Arial" w:cs="Arial" w:eastAsia="Arial" w:hAnsi="Arial"/>
          <w:sz w:val="16"/>
          <w:szCs w:val="16"/>
          <w:i w:val="1"/>
          <w:iCs w:val="1"/>
          <w:color w:val="auto"/>
        </w:rPr>
        <w:t>Redeemable Preferred Stock</w:t>
      </w:r>
      <w:r>
        <w:rPr>
          <w:rFonts w:ascii="Arial" w:cs="Arial" w:eastAsia="Arial" w:hAnsi="Arial"/>
          <w:sz w:val="16"/>
          <w:szCs w:val="16"/>
          <w:color w:val="auto"/>
        </w:rPr>
        <w:t xml:space="preserve">, and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September 30, 2022, a total of 253,048 shares awards have been deferred, and during the quarter ended September 30, 2022, a total of 17,927 awards vested. Vested shares are converted to common stock and are reclassified to permanent equity. Common stock held in the rabbi trust is classified in a manner similar to treasury stock and presented separately on the Consolidated Balance Sheets as Common stock held by the NQDC plan. A total of 17,927 shares were vested at the redemption value of $127,000.</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eligible share award activity as of September 30, 2022, and December 31, 2021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As of</w:t>
            </w:r>
          </w:p>
        </w:tc>
      </w:tr>
      <w:tr>
        <w:trPr>
          <w:trHeight w:val="223"/>
        </w:trPr>
        <w:tc>
          <w:tcPr>
            <w:tcW w:w="5480" w:type="dxa"/>
            <w:vAlign w:val="bottom"/>
            <w:tcBorders>
              <w:bottom w:val="single" w:sz="8" w:color="CFF0FC"/>
            </w:tcBorders>
          </w:tcPr>
          <w:p>
            <w:pPr>
              <w:spacing w:after="0"/>
              <w:rPr>
                <w:sz w:val="19"/>
                <w:szCs w:val="19"/>
                <w:color w:val="auto"/>
              </w:rPr>
            </w:pPr>
          </w:p>
        </w:tc>
        <w:tc>
          <w:tcPr>
            <w:tcW w:w="21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93"/>
              </w:rPr>
              <w:t>September 30, 2022</w:t>
            </w:r>
          </w:p>
        </w:tc>
        <w:tc>
          <w:tcPr>
            <w:tcW w:w="4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2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CFF0FC"/>
            </w:tcBorders>
          </w:tcPr>
          <w:p>
            <w:pPr>
              <w:spacing w:after="0"/>
              <w:rPr>
                <w:sz w:val="19"/>
                <w:szCs w:val="19"/>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Non-qualified deferred compensation share awards: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00" w:type="dxa"/>
            <w:vAlign w:val="bottom"/>
            <w:gridSpan w:val="2"/>
          </w:tcPr>
          <w:p>
            <w:pPr>
              <w:spacing w:after="0"/>
              <w:rPr>
                <w:sz w:val="20"/>
                <w:szCs w:val="20"/>
                <w:color w:val="auto"/>
              </w:rPr>
            </w:pPr>
            <w:r>
              <w:rPr>
                <w:rFonts w:ascii="Arial" w:cs="Arial" w:eastAsia="Arial" w:hAnsi="Arial"/>
                <w:sz w:val="18"/>
                <w:szCs w:val="18"/>
                <w:color w:val="auto"/>
              </w:rPr>
              <w:t>Balance at inception/beginning of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Change in classification of deferred compensation share awards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FF0FC"/>
          </w:tcPr>
          <w:p>
            <w:pPr>
              <w:spacing w:after="0"/>
              <w:rPr>
                <w:sz w:val="19"/>
                <w:szCs w:val="19"/>
                <w:color w:val="auto"/>
              </w:rPr>
            </w:pP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Change in redemption value</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Vesting of share awards held by NDQC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w:t>
            </w:r>
          </w:p>
        </w:tc>
        <w:tc>
          <w:tcPr>
            <w:tcW w:w="21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170"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7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AVITA group of companies (comprising AVITA Medical, Inc. (“</w:t>
      </w:r>
      <w:r>
        <w:rPr>
          <w:rFonts w:ascii="Arial" w:cs="Arial" w:eastAsia="Arial" w:hAnsi="Arial"/>
          <w:sz w:val="17"/>
          <w:szCs w:val="17"/>
          <w:b w:val="1"/>
          <w:bCs w:val="1"/>
          <w:color w:val="auto"/>
        </w:rPr>
        <w:t>AVITA</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including AVITA Medical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Pty Limited, previously known as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(collectively, “</w:t>
      </w:r>
      <w:r>
        <w:rPr>
          <w:rFonts w:ascii="Arial" w:cs="Arial" w:eastAsia="Arial" w:hAnsi="Arial"/>
          <w:sz w:val="17"/>
          <w:szCs w:val="17"/>
          <w:b w:val="1"/>
          <w:bCs w:val="1"/>
          <w:color w:val="auto"/>
        </w:rPr>
        <w:t>AVITA Group</w:t>
      </w:r>
      <w:r>
        <w:rPr>
          <w:rFonts w:ascii="Arial" w:cs="Arial" w:eastAsia="Arial" w:hAnsi="Arial"/>
          <w:sz w:val="17"/>
          <w:szCs w:val="17"/>
          <w:color w:val="auto"/>
        </w:rPr>
        <w:t>” or “we”, “us”, or “our”) is a regenerative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medicine company leading the development and commercialization of devices and autologous cellular therapies for skin restoration.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RECELL® System technology platform harnesses the regenerative properties of a patient’s own skin to create Spray-On Skin™ cells. In September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Food &amp; Drug Administration (“</w:t>
      </w:r>
      <w:r>
        <w:rPr>
          <w:rFonts w:ascii="Arial" w:cs="Arial" w:eastAsia="Arial" w:hAnsi="Arial"/>
          <w:sz w:val="17"/>
          <w:szCs w:val="17"/>
          <w:b w:val="1"/>
          <w:bCs w:val="1"/>
          <w:color w:val="auto"/>
        </w:rPr>
        <w:t>FDA</w:t>
      </w:r>
      <w:r>
        <w:rPr>
          <w:rFonts w:ascii="Arial" w:cs="Arial" w:eastAsia="Arial" w:hAnsi="Arial"/>
          <w:sz w:val="17"/>
          <w:szCs w:val="17"/>
          <w:color w:val="auto"/>
        </w:rPr>
        <w:t>”) granted premarket approval (“</w:t>
      </w:r>
      <w:r>
        <w:rPr>
          <w:rFonts w:ascii="Arial" w:cs="Arial" w:eastAsia="Arial" w:hAnsi="Arial"/>
          <w:sz w:val="17"/>
          <w:szCs w:val="17"/>
          <w:b w:val="1"/>
          <w:bCs w:val="1"/>
          <w:color w:val="auto"/>
        </w:rPr>
        <w:t>PMA</w:t>
      </w:r>
      <w:r>
        <w:rPr>
          <w:rFonts w:ascii="Arial" w:cs="Arial" w:eastAsia="Arial" w:hAnsi="Arial"/>
          <w:sz w:val="17"/>
          <w:szCs w:val="17"/>
          <w:color w:val="auto"/>
        </w:rPr>
        <w:t>”) to the RECELL System for use in the treatment of acute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partial-thickness thermal burns or application in combination with meshed autografting for acute full-thickness thermal burn wounds in patients eighteen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and older. Following receipt of our original PMA, we commenced commercialization of the RECELL System in January 2019 in the United States.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2021, the FDA expanded its approval to include pediatric acute full-thickness thermal wounds in combination of meshed autografting.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the FDA approved a PMA supplement for the RECELL Autologous Cell Harvesting Device, an enhanced ease-of-use device aimed at providing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clinicians a more efficient user experience and simplified workflow. In addition, the FDA has granted the Company Investigational Device Exemptions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IDE</w:t>
      </w:r>
      <w:r>
        <w:rPr>
          <w:rFonts w:ascii="Arial" w:cs="Arial" w:eastAsia="Arial" w:hAnsi="Arial"/>
          <w:sz w:val="16"/>
          <w:szCs w:val="16"/>
          <w:color w:val="auto"/>
        </w:rPr>
        <w:t>s”), which have enabled the Company to initiate pivotal clinical trials to further expand the approval of the RECELL System for the treatment of soft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tissue repair and vitiligo. Enrollment of those clinical trials is complete, with topline results recently announced for both the soft tissue repair and vitiligo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trials. Results from those studies are intended to support the Company’s pursuit of FDA approval to market the RECELL System in the United States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those indications.</w:t>
      </w:r>
    </w:p>
    <w:p>
      <w:pPr>
        <w:spacing w:after="0" w:line="211"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The RECELL System is used to prepare Spray-On Skin Cells using a small amount of a patient’s own skin, providing a new way to treat severe burns, while significantly reducing the amount of donor skin required. The RECELL System is designed to be used at the point of care as a standalone product, or in combination with “skin grafts”, known as split-thickness skin autografts, depending on the depth of the burn injury. The pivotal studies leading to the RECELL System’s FDA PMA for the treatment of acute thermal burns, demonstrated that the RECELL System treated burns using 97.5-percent less donor skin when used alone in second-degree burns, and 32-percent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Our compelling data from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RECELL System has received various approvals and registrations in international markets. The RECELL System is TGA-registered in Australia, received CE-mark approval in Europe, and received Japan’s Pharmaceuticals and Medical Devices Act (“</w:t>
      </w:r>
      <w:r>
        <w:rPr>
          <w:rFonts w:ascii="Arial" w:cs="Arial" w:eastAsia="Arial" w:hAnsi="Arial"/>
          <w:sz w:val="18"/>
          <w:szCs w:val="18"/>
          <w:b w:val="1"/>
          <w:bCs w:val="1"/>
          <w:color w:val="auto"/>
        </w:rPr>
        <w:t>PMDA</w:t>
      </w:r>
      <w:r>
        <w:rPr>
          <w:rFonts w:ascii="Arial" w:cs="Arial" w:eastAsia="Arial" w:hAnsi="Arial"/>
          <w:sz w:val="18"/>
          <w:szCs w:val="18"/>
          <w:color w:val="auto"/>
        </w:rPr>
        <w:t>”) approval for burns in Japan and has begun commercialization. Presently, other than in the U.S. and Japan we are not actively marketing the RECELL System and therefore do not derive material revenue from the RECELL System in Australia, Europe or other markets.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20" w:firstLine="749"/>
        <w:spacing w:after="0" w:line="275" w:lineRule="auto"/>
        <w:rPr>
          <w:sz w:val="20"/>
          <w:szCs w:val="20"/>
          <w:color w:val="auto"/>
        </w:rPr>
      </w:pPr>
      <w:r>
        <w:rPr>
          <w:rFonts w:ascii="Arial" w:cs="Arial" w:eastAsia="Arial" w:hAnsi="Arial"/>
          <w:sz w:val="17"/>
          <w:szCs w:val="17"/>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or with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AVITA Medical, the former parent company of the AVITA Group, began as a laboratory spin-off in the Australian State of Western Australia. Clinical Cell Culture (“</w:t>
      </w:r>
      <w:r>
        <w:rPr>
          <w:rFonts w:ascii="Arial" w:cs="Arial" w:eastAsia="Arial" w:hAnsi="Arial"/>
          <w:sz w:val="18"/>
          <w:szCs w:val="18"/>
          <w:b w:val="1"/>
          <w:bCs w:val="1"/>
          <w:color w:val="auto"/>
        </w:rPr>
        <w:t>C3</w:t>
      </w:r>
      <w:r>
        <w:rPr>
          <w:rFonts w:ascii="Arial" w:cs="Arial" w:eastAsia="Arial" w:hAnsi="Arial"/>
          <w:sz w:val="18"/>
          <w:szCs w:val="18"/>
          <w:color w:val="auto"/>
        </w:rPr>
        <w:t>”) (being the prior name of AVITA Medical) was formed under the laws of the Commonwealth of Australia in December 1992 and has operated as AVITA Medical since 2008. AVITA Medical’s ordinary shares originally began trading in Australia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August 9, 1993. AVITA Medical’s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traded over the counter on the OTCQX under the ticker symbol “AVMXY” from May 14, 2012, through September 30, 2019, and its ADSs began trading on the Nasdaq Capital Market on October 1, 2019, under the ticker symbol “RCEL”.</w:t>
      </w:r>
    </w:p>
    <w:p>
      <w:pPr>
        <w:spacing w:after="0" w:line="188" w:lineRule="exact"/>
        <w:rPr>
          <w:sz w:val="20"/>
          <w:szCs w:val="20"/>
          <w:color w:val="auto"/>
        </w:rPr>
      </w:pPr>
    </w:p>
    <w:p>
      <w:pPr>
        <w:jc w:val="both"/>
        <w:ind w:right="200" w:firstLine="749"/>
        <w:spacing w:after="0" w:line="266" w:lineRule="auto"/>
        <w:rPr>
          <w:sz w:val="20"/>
          <w:szCs w:val="20"/>
          <w:color w:val="auto"/>
        </w:rPr>
      </w:pPr>
      <w:r>
        <w:rPr>
          <w:rFonts w:ascii="Arial" w:cs="Arial" w:eastAsia="Arial" w:hAnsi="Arial"/>
          <w:sz w:val="18"/>
          <w:szCs w:val="18"/>
          <w:color w:val="auto"/>
        </w:rPr>
        <w:t>The Company’s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are quoted on the ASX under AVITA Medical’s former ASX ticker code, “AVH”. The Company’s shares of common stock are quoted on Nasdaq under AVITA Medical’s former Nasdaq ticker code, “RCEL”. One share of common stock on Nasdaq is equivalent to five CDIs on the ASX.</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 and Risks Associated with COVID-19</w:t>
      </w:r>
    </w:p>
    <w:p>
      <w:pPr>
        <w:spacing w:after="0" w:line="131" w:lineRule="exact"/>
        <w:rPr>
          <w:sz w:val="20"/>
          <w:szCs w:val="20"/>
          <w:color w:val="auto"/>
        </w:rPr>
      </w:pPr>
    </w:p>
    <w:p>
      <w:pPr>
        <w:ind w:firstLine="749"/>
        <w:spacing w:after="0" w:line="298" w:lineRule="auto"/>
        <w:rPr>
          <w:sz w:val="20"/>
          <w:szCs w:val="20"/>
          <w:color w:val="auto"/>
        </w:rPr>
      </w:pPr>
      <w:r>
        <w:rPr>
          <w:rFonts w:ascii="Arial" w:cs="Arial" w:eastAsia="Arial" w:hAnsi="Arial"/>
          <w:sz w:val="16"/>
          <w:szCs w:val="16"/>
          <w:color w:val="auto"/>
        </w:rPr>
        <w:t>The ongoing pandemic caused by the spread of coronavirus (“</w:t>
      </w:r>
      <w:r>
        <w:rPr>
          <w:rFonts w:ascii="Arial" w:cs="Arial" w:eastAsia="Arial" w:hAnsi="Arial"/>
          <w:sz w:val="16"/>
          <w:szCs w:val="16"/>
          <w:b w:val="1"/>
          <w:bCs w:val="1"/>
          <w:color w:val="auto"/>
        </w:rPr>
        <w:t>COVID-19</w:t>
      </w:r>
      <w:r>
        <w:rPr>
          <w:rFonts w:ascii="Arial" w:cs="Arial" w:eastAsia="Arial" w:hAnsi="Arial"/>
          <w:sz w:val="16"/>
          <w:szCs w:val="16"/>
          <w:color w:val="auto"/>
        </w:rPr>
        <w:t>”) has created significant disruptions to the U.S. and global economies and financial markets. The global impact of the pandemic has fluctuated since early 2020. At times, in the United States, state and local governmental authorities have responded by issuing orders, of varying degrees, requiring quarantines, restrictions on travel and minimizing social gathering/interactions and mandatory closures of certain non-essential businesses. Many of the restrictions have been periodically updated as infection rates in the U.S. have risen and fallen, as new variants have emerged, as vaccines have become available, and new information about transmission has been discovered.</w:t>
      </w:r>
    </w:p>
    <w:p>
      <w:pPr>
        <w:spacing w:after="0" w:line="185"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In response to the pandemic, we acted swiftly by implementing protocols to ensure continuity of our manufacturing, increasing our safety stock and to provide for the safety of our employees. Early on, our business and operations were impacted by the ongoing effects of the pandemic with restrictions on travel and access to our customers or temporary suspension of treatment of burn patients or re-distribution of those patients to other treatment facilities and resulted in a reduction in the volume of burn procedures using the RECELL following the implementation of those protective measures. In addition, we experienced periodic enrollment cessation in our clinical trials due to COVID-19 as well as having individuals excluded due to contracting the virus.</w:t>
      </w:r>
    </w:p>
    <w:p>
      <w:pPr>
        <w:spacing w:after="0" w:line="233"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As of the date of this filing, with the continued overall decrease in COVID-19 infections and hospitalizations we have resumed on-site work schedules for all employees. Thus far, 2022 the impact of COVID-19 has decreased as compared to 2021 for our business and operations; however, COVID-19 pandemic around the world, and particularly in the United States, continues to present risks to the Company. While the COVID-19 pandemic has not materially adversely affected our financial results and business operations through the third quarter ended September 30, 2022, we are unable to predict the impact that COVID-19 will have on our business, operations, and financial results and condition because of the numerous uncertainties created by the unprecedented nature of the pandemic. We are closely monitoring the evolving impact of the pandemic on all aspects of our business. We have implemented a number of measures designed to protect the health and safety of our employees, support our customers and promote business continuity. We continue to evaluate the Company’s liquidity and operational performance, communicate with and monitor the actions of our customers, third-party manufacturers and suppliers, and review our near-term financial performance as we manage the Company through this period of uncertainty.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 for the three-months ended September 30, 2022 compared to the three-months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44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7"/>
              </w:rPr>
              <w:t>Three-Months Ended September 30,</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5"/>
        </w:trPr>
        <w:tc>
          <w:tcPr>
            <w:tcW w:w="38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4"/>
              </w:rPr>
              <w:t>% Change</w:t>
            </w:r>
          </w:p>
        </w:tc>
      </w:tr>
      <w:tr>
        <w:trPr>
          <w:trHeight w:val="234"/>
        </w:trPr>
        <w:tc>
          <w:tcPr>
            <w:tcW w:w="384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 ($)</w:t>
            </w:r>
          </w:p>
        </w:tc>
        <w:tc>
          <w:tcPr>
            <w:tcW w:w="180" w:type="dxa"/>
            <w:vAlign w:val="bottom"/>
            <w:tcBorders>
              <w:bottom w:val="single" w:sz="8" w:color="CFF0FC"/>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Favorable/(Unfavorable)</w:t>
            </w:r>
          </w:p>
        </w:tc>
        <w:tc>
          <w:tcPr>
            <w:tcW w:w="260" w:type="dxa"/>
            <w:vAlign w:val="bottom"/>
            <w:tcBorders>
              <w:bottom w:val="single" w:sz="8" w:color="CFF0FC"/>
            </w:tcBorders>
          </w:tcPr>
          <w:p>
            <w:pPr>
              <w:spacing w:after="0"/>
              <w:rPr>
                <w:sz w:val="20"/>
                <w:szCs w:val="20"/>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23"/>
        </w:trPr>
        <w:tc>
          <w:tcPr>
            <w:tcW w:w="3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8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BARDA income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Sales and marketing expenses</w:t>
            </w:r>
          </w:p>
        </w:tc>
        <w:tc>
          <w:tcPr>
            <w:tcW w:w="1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(5,411)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(1,893)</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29"/>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(5,349)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(3,799)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(14,214)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(12,255)</w:t>
            </w:r>
          </w:p>
        </w:tc>
        <w:tc>
          <w:tcPr>
            <w:tcW w:w="1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(1,959)</w:t>
            </w:r>
          </w:p>
        </w:tc>
        <w:tc>
          <w:tcPr>
            <w:tcW w:w="248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FF0FC"/>
            </w:tcBorders>
          </w:tcPr>
          <w:p>
            <w:pPr>
              <w:spacing w:after="0"/>
              <w:rPr>
                <w:sz w:val="19"/>
                <w:szCs w:val="19"/>
                <w:color w:val="auto"/>
              </w:rPr>
            </w:pPr>
          </w:p>
        </w:tc>
        <w:tc>
          <w:tcPr>
            <w:tcW w:w="24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963%</w:t>
            </w: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Total net revenues increased by 30%, or $2.1 million, to $9.1 million, compared to $7.0 million in the corresponding period in the prior year. Our commercial revenue, which excludes BARDA revenue, was $9.0 million in the three-months ended September 30, 2022, an increase of $2.1 million or 30%, compared to $6.9 million in the corresponding period in the prior year. The growth in icommercial revenues was largely driven by deeper penetration within individual customer accounts along with the commencement of commercial sales with our partner COSMOTEC in Japan.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Gross profit margin decreased by 2% to 83% compared to the corresponding period in the prior year.</w:t>
      </w:r>
    </w:p>
    <w:p>
      <w:pPr>
        <w:spacing w:after="0" w:line="266" w:lineRule="exact"/>
        <w:rPr>
          <w:sz w:val="20"/>
          <w:szCs w:val="20"/>
          <w:color w:val="auto"/>
        </w:rPr>
      </w:pPr>
    </w:p>
    <w:p>
      <w:pPr>
        <w:ind w:right="560" w:firstLine="749"/>
        <w:spacing w:after="0" w:line="301" w:lineRule="auto"/>
        <w:rPr>
          <w:sz w:val="20"/>
          <w:szCs w:val="20"/>
          <w:color w:val="auto"/>
        </w:rPr>
      </w:pPr>
      <w:r>
        <w:rPr>
          <w:rFonts w:ascii="Arial" w:cs="Arial" w:eastAsia="Arial" w:hAnsi="Arial"/>
          <w:sz w:val="16"/>
          <w:szCs w:val="16"/>
          <w:color w:val="auto"/>
        </w:rPr>
        <w:t>BARDA income increased by 142%, or $0.5 million, to $0.9 million, compared to $0.4 million for the corresponding period in the prior year. BARDA income consisted of funding from the Biomedical Advanced Research and Development Authority, under the Assistant Secretary for Preparedness and Response, within the U.S. Department of Health and Human Services, under ongoing USG Contract No. HHSO100201500028C. BARDA income increased as a result of funding by BARDA for the pivotal trial for use of the RECELL System for soft tissue reconstruction.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operating expenses increased by 16% or $2.0 million to $14.2 million, compared with $12.3 million in the corresponding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8"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Sales and marketing expenses increased by 54%, or $1.9 million, to $5.4 million, compared to $3.5 million incurred in the corresponding period in the prior year. Higher costs in the current year were primarily attributed to higher salaries and benefits, selling expenses, pre-commercialization costs and share-based compensation expenses. Increase in salaries and benefits primarily resulted from additional field personnel added to deepen penetration within individual customer accounts. Higher selling expenses resulted from an increase in travel costs due to fewer COVID-19 travel restrictions in the current year, along with higher commissions associated with the increase in revenues. Increased pre-commercialization costs are primarily due to planning for future RECELL launches in soft tissue reconstruction and vitiligo. Higher share-based compensation expenses were due to our adoption of a long-term incentive plan to encourage and reward shareholder value creation in the business.</w:t>
      </w:r>
    </w:p>
    <w:p>
      <w:pPr>
        <w:spacing w:after="0" w:line="218"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General and administrative expenses decreased by 6%, or $0.3 million, to $5.0 million, compared to $5.3 million incurred in the same period in the prior year. The decrease was primarily due to lower share-based compensation expenses, lower professional fees, partially offset by severance costs associated with the termination of a former executive employee. Lower share-based compensation expenses in the current quarter resulted from certain performance milestones being met in the prior year, along with the reversal of previously recognized expense for unvested awards related to the termination of an executive employee in the current year. Lower professional fees incurred in the current year resulted from the company changing from a fiscal year to a calendar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right="100" w:firstLine="749"/>
        <w:spacing w:after="0" w:line="279" w:lineRule="auto"/>
        <w:rPr>
          <w:sz w:val="20"/>
          <w:szCs w:val="20"/>
          <w:color w:val="auto"/>
        </w:rPr>
      </w:pPr>
      <w:r>
        <w:rPr>
          <w:rFonts w:ascii="Arial" w:cs="Arial" w:eastAsia="Arial" w:hAnsi="Arial"/>
          <w:sz w:val="17"/>
          <w:szCs w:val="17"/>
          <w:color w:val="auto"/>
        </w:rPr>
        <w:t>Research and development expenses increased by 12%, or $0.4 million, to $3.8 million, compared to $3.4 million incurred in the same period in the prior year. The increase was a result of ongoing development of next generation devices for more automated preparation of Spray-On Skin Cells The increase was partially offset by lower clinical trial expenses for soft tissue reconstruction and vitiligo as trial participants were in less costly follow-up phases this period compared to more costly recruitment and treatment phases in the prior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nine-months ended September 30, 2022 compared to the nine-months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5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Nine-Months Ended September 30,</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jc w:val="right"/>
              <w:ind w:right="780"/>
              <w:spacing w:after="0" w:line="205" w:lineRule="exact"/>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 ($)</w:t>
            </w:r>
          </w:p>
        </w:tc>
        <w:tc>
          <w:tcPr>
            <w:tcW w:w="180" w:type="dxa"/>
            <w:vAlign w:val="bottom"/>
          </w:tcPr>
          <w:p>
            <w:pPr>
              <w:spacing w:after="0"/>
              <w:rPr>
                <w:sz w:val="20"/>
                <w:szCs w:val="20"/>
                <w:color w:val="auto"/>
              </w:rPr>
            </w:pPr>
          </w:p>
        </w:tc>
        <w:tc>
          <w:tcPr>
            <w:tcW w:w="2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Favorable/(Unfavorable)</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24,966</w:t>
            </w:r>
          </w:p>
        </w:tc>
        <w:tc>
          <w:tcPr>
            <w:tcW w:w="28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26,089</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(1,123)</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(4,694)</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(5,287)</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FF0FC"/>
          </w:tcPr>
          <w:p>
            <w:pPr>
              <w:spacing w:after="0"/>
              <w:rPr>
                <w:sz w:val="19"/>
                <w:szCs w:val="19"/>
                <w:color w:val="auto"/>
              </w:rPr>
            </w:pPr>
          </w:p>
        </w:tc>
        <w:tc>
          <w:tcPr>
            <w:tcW w:w="2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20,272</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3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(530)</w:t>
            </w:r>
          </w:p>
        </w:tc>
        <w:tc>
          <w:tcPr>
            <w:tcW w:w="22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BARDA income</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FF0FC"/>
          </w:tcPr>
          <w:p>
            <w:pPr>
              <w:spacing w:after="0"/>
              <w:rPr>
                <w:sz w:val="19"/>
                <w:szCs w:val="19"/>
                <w:color w:val="auto"/>
              </w:rPr>
            </w:pPr>
          </w:p>
        </w:tc>
        <w:tc>
          <w:tcPr>
            <w:tcW w:w="2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 expenses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(15,571)</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(11,313)</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(4,258)</w:t>
            </w:r>
          </w:p>
        </w:tc>
        <w:tc>
          <w:tcPr>
            <w:tcW w:w="2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(18,009)</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(16,046)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(10,478)</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(11,471)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FF0FC"/>
          </w:tcPr>
          <w:p>
            <w:pPr>
              <w:spacing w:after="0"/>
              <w:rPr>
                <w:sz w:val="19"/>
                <w:szCs w:val="19"/>
                <w:color w:val="auto"/>
              </w:rPr>
            </w:pPr>
          </w:p>
        </w:tc>
        <w:tc>
          <w:tcPr>
            <w:tcW w:w="2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(44,058)</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(5,228)</w:t>
            </w:r>
          </w:p>
        </w:tc>
        <w:tc>
          <w:tcPr>
            <w:tcW w:w="22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(21,597)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(16,644)</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(4,953)</w:t>
            </w:r>
          </w:p>
        </w:tc>
        <w:tc>
          <w:tcPr>
            <w:tcW w:w="2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226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2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(21,300)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(16,640)</w:t>
            </w:r>
          </w:p>
        </w:tc>
        <w:tc>
          <w:tcPr>
            <w:tcW w:w="3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(4,660)</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(21,312)</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(16,663)</w:t>
            </w:r>
          </w:p>
        </w:tc>
        <w:tc>
          <w:tcPr>
            <w:tcW w:w="3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(4,649)</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749"/>
        <w:spacing w:after="0" w:line="296" w:lineRule="auto"/>
        <w:rPr>
          <w:sz w:val="20"/>
          <w:szCs w:val="20"/>
          <w:color w:val="auto"/>
        </w:rPr>
      </w:pPr>
      <w:r>
        <w:rPr>
          <w:rFonts w:ascii="Arial" w:cs="Arial" w:eastAsia="Arial" w:hAnsi="Arial"/>
          <w:sz w:val="16"/>
          <w:szCs w:val="16"/>
          <w:color w:val="auto"/>
        </w:rPr>
        <w:t>Total net revenues decreased by 4%, or $1.1 million, to $25.0 million, compared to $26.1 million in the corresponding period in the prior year. The decrease in the current year revenue was driven by our recognition of $7.8 million in BARDA related revenue in the prior year resulting from our delivery of units to managed inventory for BARDA for emergency response preparedness. Our commercial revenue, which excludes BARDA revenue, increased 35% or $6.5 million to $24.7 million, compared to $18.2 million in corresponding period in the prior year. The growth in commercial revenues was largely driven by an increase in the number of customers ordering as well as the average monthly order size for those customers.</w:t>
      </w:r>
    </w:p>
    <w:p>
      <w:pPr>
        <w:spacing w:after="0" w:line="202" w:lineRule="exact"/>
        <w:rPr>
          <w:sz w:val="20"/>
          <w:szCs w:val="20"/>
          <w:color w:val="auto"/>
        </w:rPr>
      </w:pPr>
    </w:p>
    <w:p>
      <w:pPr>
        <w:ind w:right="320" w:firstLine="749"/>
        <w:spacing w:after="0" w:line="286" w:lineRule="auto"/>
        <w:rPr>
          <w:sz w:val="20"/>
          <w:szCs w:val="20"/>
          <w:color w:val="auto"/>
        </w:rPr>
      </w:pPr>
      <w:r>
        <w:rPr>
          <w:rFonts w:ascii="Arial" w:cs="Arial" w:eastAsia="Arial" w:hAnsi="Arial"/>
          <w:sz w:val="17"/>
          <w:szCs w:val="17"/>
          <w:color w:val="auto"/>
        </w:rPr>
        <w:t>Gross profit margin increased by 1% to 81% compared to the corresponding period in the prior year. In the prior year our gross margins were lower compared to historical periods due to the lower price point associated with units that were delivered to managed inventory for BARDA as the BARDA contract was negotiated prior to establishing a higher price point through commercialization in the United States.</w:t>
      </w:r>
    </w:p>
    <w:p>
      <w:pPr>
        <w:spacing w:after="0" w:line="206" w:lineRule="exact"/>
        <w:rPr>
          <w:sz w:val="20"/>
          <w:szCs w:val="20"/>
          <w:color w:val="auto"/>
        </w:rPr>
      </w:pPr>
    </w:p>
    <w:p>
      <w:pPr>
        <w:ind w:right="560" w:firstLine="749"/>
        <w:spacing w:after="0" w:line="301" w:lineRule="auto"/>
        <w:rPr>
          <w:sz w:val="20"/>
          <w:szCs w:val="20"/>
          <w:color w:val="auto"/>
        </w:rPr>
      </w:pPr>
      <w:r>
        <w:rPr>
          <w:rFonts w:ascii="Arial" w:cs="Arial" w:eastAsia="Arial" w:hAnsi="Arial"/>
          <w:sz w:val="16"/>
          <w:szCs w:val="16"/>
          <w:color w:val="auto"/>
        </w:rPr>
        <w:t>BARDA income increased by 58%, or $0.8 million, to $2.2 million, compared to $1.4 million for the corresponding period in the prior year. BARDA income consisted of funding from the Biomedical Advanced Research and Development Authority, under the Assistant Secretary for Preparedness and Response, within the U.S. Department of Health and Human Services, under ongoing USG Contract No. HHSO100201500028C. BARDA income increased as a result of funding by BARDA for the pivotal trial for use of the RECELL System for soft tissue reconstruction.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Total operating expenses increased by 13% or $ 5.2 million to $44.1 million, compared with $38.8 million in the corresponding period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prior year.</w:t>
      </w:r>
    </w:p>
    <w:p>
      <w:pPr>
        <w:spacing w:after="0" w:line="251" w:lineRule="exact"/>
        <w:rPr>
          <w:sz w:val="20"/>
          <w:szCs w:val="20"/>
          <w:color w:val="auto"/>
        </w:rPr>
      </w:pPr>
    </w:p>
    <w:p>
      <w:pPr>
        <w:ind w:right="180" w:firstLine="749"/>
        <w:spacing w:after="0" w:line="255" w:lineRule="auto"/>
        <w:rPr>
          <w:sz w:val="20"/>
          <w:szCs w:val="20"/>
          <w:color w:val="auto"/>
        </w:rPr>
      </w:pPr>
      <w:r>
        <w:rPr>
          <w:rFonts w:ascii="Arial" w:cs="Arial" w:eastAsia="Arial" w:hAnsi="Arial"/>
          <w:sz w:val="18"/>
          <w:szCs w:val="18"/>
          <w:color w:val="auto"/>
        </w:rPr>
        <w:t>Sales and marketing expenses increased by 38%, or $4.3, million to $15.6 million, compared to $11.3 million incurred in the corresponding period in the prior year. Higher costs in the current year were primarily attributed to higher pre-commercialization costs, salaries and benefits, selling expenses, and share-based compensation expenses. Higher pre-commercialization costs were incurred for planning for future RECELL launches in soft tissue reconstruction and vitiligo. Increased salaries and benefits are attributable to an increase in field personnel to further deepen the penetration within individual customer accounts. Higher selling costs were primarily due to fewer COVID-19 travel restrictions in the current year, along with higher commissions due to an increase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ind w:right="360"/>
        <w:spacing w:after="0" w:line="277" w:lineRule="auto"/>
        <w:rPr>
          <w:sz w:val="20"/>
          <w:szCs w:val="20"/>
          <w:color w:val="auto"/>
        </w:rPr>
      </w:pPr>
      <w:r>
        <w:rPr>
          <w:rFonts w:ascii="Arial" w:cs="Arial" w:eastAsia="Arial" w:hAnsi="Arial"/>
          <w:sz w:val="18"/>
          <w:szCs w:val="18"/>
          <w:color w:val="auto"/>
        </w:rPr>
        <w:t>in revenues. Higher share-based compensation expenses resulted from our granting of a long-term incentive plan to encourage and reward shareholder value creation in the business.</w:t>
      </w:r>
    </w:p>
    <w:p>
      <w:pPr>
        <w:spacing w:after="0" w:line="197"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General and administrative expenses increased by 12%, or $2.0 million, to $18.0 million, compared to $16.0 million incurred in the same period in the prior year. The increase was primarily driven by higher salaries and benefits and share-based compensation expenses. Higher salaries and benefits were associated with expanding our workforce to support overall operations along with severance costs associated with the termination of a former executive employee. Increased share-based compensation resulted from certain performance milestones being met in the period, partially offset by the reversal of previously recognized expense for unvested awards related to the termination of an executive employee in the current year.</w:t>
      </w:r>
    </w:p>
    <w:p>
      <w:pPr>
        <w:spacing w:after="0" w:line="202"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Research and development expenses decreased by 9%, or $1.0 million, to $10.5 million, compared to $11.5 million incurred in the same period in the prior year. Higher costs in the prior year were primarily driven by research and development costs associated with furthering the Company’s pipeline along with ramping up vitiligo clinical trial activities. The favorable variance is not a purposeful reduction in spending but reflects that certain programs were in lower cost phases during this period. The decrease in research and development was partially offset by ongoing development of a next generation device for more automated preparation of Spray-On Skin Cells in the current 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749"/>
        <w:spacing w:after="0" w:line="277" w:lineRule="auto"/>
        <w:rPr>
          <w:sz w:val="20"/>
          <w:szCs w:val="20"/>
          <w:color w:val="auto"/>
        </w:rPr>
      </w:pPr>
      <w:r>
        <w:rPr>
          <w:rFonts w:ascii="Arial" w:cs="Arial" w:eastAsia="Arial" w:hAnsi="Arial"/>
          <w:sz w:val="17"/>
          <w:szCs w:val="17"/>
          <w:color w:val="auto"/>
        </w:rPr>
        <w:t>The Company’s short-term and long-term liquidity requirements primarily arise from funding (i) research and development expenses, (ii) general and administrative expenses including salaries, bonuses and commissions, (iii) working capital requirements. 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September 30, 2022, the Company has sufficient cash reserves to fund operations for the next 12-months. If the Company is unable to raise capital in the future, the Company may need to curtail expenditures by scaling back certain research and development, other programs, and other expenditures.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jc w:val="right"/>
              <w:ind w:right="1300"/>
              <w:spacing w:after="0"/>
              <w:rPr>
                <w:sz w:val="20"/>
                <w:szCs w:val="20"/>
                <w:color w:val="auto"/>
              </w:rPr>
            </w:pPr>
            <w:r>
              <w:rPr>
                <w:rFonts w:ascii="Arial" w:cs="Arial" w:eastAsia="Arial" w:hAnsi="Arial"/>
                <w:sz w:val="18"/>
                <w:szCs w:val="18"/>
                <w:b w:val="1"/>
                <w:bCs w:val="1"/>
                <w:color w:val="auto"/>
              </w:rPr>
              <w:t>Nine-Months Ended</w:t>
            </w:r>
          </w:p>
        </w:tc>
      </w:tr>
      <w:tr>
        <w:trPr>
          <w:trHeight w:val="223"/>
        </w:trPr>
        <w:tc>
          <w:tcPr>
            <w:tcW w:w="7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8"/>
              </w:rPr>
              <w:t>September 30, 2022</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September 30, 2021</w:t>
            </w:r>
          </w:p>
        </w:tc>
        <w:tc>
          <w:tcPr>
            <w:tcW w:w="120" w:type="dxa"/>
            <w:vAlign w:val="bottom"/>
          </w:tcPr>
          <w:p>
            <w:pPr>
              <w:spacing w:after="0"/>
              <w:rPr>
                <w:sz w:val="19"/>
                <w:szCs w:val="19"/>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operations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(16,174)</w:t>
            </w:r>
          </w:p>
        </w:tc>
        <w:tc>
          <w:tcPr>
            <w:tcW w:w="12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(50,182)</w:t>
            </w: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64,061</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Effect of foreign exchange rate on cash and cash equivalents and restricted cash</w:t>
            </w:r>
          </w:p>
        </w:tc>
        <w:tc>
          <w:tcPr>
            <w:tcW w:w="1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1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(31,897)</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55,712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59,966</w:t>
            </w:r>
          </w:p>
        </w:tc>
        <w:tc>
          <w:tcPr>
            <w:tcW w:w="12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end of year</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60,685</w:t>
            </w:r>
          </w:p>
        </w:tc>
        <w:tc>
          <w:tcPr>
            <w:tcW w:w="12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Nine-months ended September 30, 2022, and 2021.</w:t>
      </w:r>
    </w:p>
    <w:p>
      <w:pPr>
        <w:spacing w:after="0" w:line="117" w:lineRule="exact"/>
        <w:rPr>
          <w:sz w:val="20"/>
          <w:szCs w:val="20"/>
          <w:color w:val="auto"/>
        </w:rPr>
      </w:pPr>
    </w:p>
    <w:p>
      <w:pPr>
        <w:ind w:right="740" w:firstLine="749"/>
        <w:spacing w:after="0" w:line="277" w:lineRule="auto"/>
        <w:rPr>
          <w:sz w:val="20"/>
          <w:szCs w:val="20"/>
          <w:color w:val="auto"/>
        </w:rPr>
      </w:pPr>
      <w:r>
        <w:rPr>
          <w:rFonts w:ascii="Arial" w:cs="Arial" w:eastAsia="Arial" w:hAnsi="Arial"/>
          <w:sz w:val="18"/>
          <w:szCs w:val="18"/>
          <w:color w:val="auto"/>
        </w:rPr>
        <w:t>Net cash used in operating activities was $15.7 million and $13.1 million during the nine-months ended September 30, 2022, and 2021, respectively. The increase was primarily resulted from higher operating costs.</w:t>
      </w:r>
    </w:p>
    <w:p>
      <w:pPr>
        <w:spacing w:after="0" w:line="170" w:lineRule="exact"/>
        <w:rPr>
          <w:sz w:val="20"/>
          <w:szCs w:val="20"/>
          <w:color w:val="auto"/>
        </w:rPr>
      </w:pPr>
    </w:p>
    <w:p>
      <w:pPr>
        <w:ind w:right="760" w:firstLine="749"/>
        <w:spacing w:after="0" w:line="308" w:lineRule="auto"/>
        <w:rPr>
          <w:sz w:val="20"/>
          <w:szCs w:val="20"/>
          <w:color w:val="auto"/>
        </w:rPr>
      </w:pPr>
      <w:r>
        <w:rPr>
          <w:rFonts w:ascii="Arial" w:cs="Arial" w:eastAsia="Arial" w:hAnsi="Arial"/>
          <w:sz w:val="17"/>
          <w:szCs w:val="17"/>
          <w:color w:val="auto"/>
        </w:rPr>
        <w:t>Net cash used in investing activities was $16.2 million and $50.2 million during the nine-months ended September 30, 2022, and 2021, respectively. Cash flows used for investing activities was primarily attributable to our investments into marketable securities.</w:t>
      </w:r>
    </w:p>
    <w:p>
      <w:pPr>
        <w:spacing w:after="0" w:line="146" w:lineRule="exact"/>
        <w:rPr>
          <w:sz w:val="20"/>
          <w:szCs w:val="20"/>
          <w:color w:val="auto"/>
        </w:rPr>
      </w:pPr>
    </w:p>
    <w:p>
      <w:pPr>
        <w:ind w:right="480" w:firstLine="749"/>
        <w:spacing w:after="0" w:line="308" w:lineRule="auto"/>
        <w:rPr>
          <w:sz w:val="20"/>
          <w:szCs w:val="20"/>
          <w:color w:val="auto"/>
        </w:rPr>
      </w:pPr>
      <w:r>
        <w:rPr>
          <w:rFonts w:ascii="Arial" w:cs="Arial" w:eastAsia="Arial" w:hAnsi="Arial"/>
          <w:sz w:val="17"/>
          <w:szCs w:val="17"/>
          <w:color w:val="auto"/>
        </w:rPr>
        <w:t>Net cash provided by financing activities was $1 thousand and $64.0 million during the nine-months ended September 30, 2022, and 2021, respectively. The decrease in cash provided by financing activities is related to proceeds from the capital raise in March 2021.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right="40" w:firstLine="749"/>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For the period ended September 30, 2022, there were no dividends paid and we have no plans to commence the payment of dividends. We have no purchase commitments or long-term contractual obligations as of September 30, 2022.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87"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Company does not have any contractual obligations or purchase commitments, except for lease obligations for the period ended September 30, 2022. For details of lease obligations refer to Note 6 in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the Company’s Transition Report on Form 10-KT for the transition period ended December 31, 2021.</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September 30, 2022,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the SEC’s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There was no change in our internal controls over financial reporting (as defined in Rules 13a-15(f) and 15d-15(f) under the Exchange Act) during the third quarter of fiscal year 2022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 addition to the risk factors set forth below and the other information set forth in this report, you should carefully consider the factors discussed under Part I, Item 1A, “Risk Factors” in the Company’s Transition Report on Form 10-KT for the transition period ended December 31, 2021.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the risk factors described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our 2021 Transition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Refer also to “COVID-19 Business Update and Risks Associated with COVID-19” in Part 1 above.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7880"/>
        <w:spacing w:after="0"/>
        <w:tabs>
          <w:tab w:leader="none" w:pos="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jc w:val="center"/>
        <w:ind w:right="7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420"/>
        <w:spacing w:after="0"/>
        <w:tabs>
          <w:tab w:leader="none" w:pos="2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jc w:val="center"/>
        <w:ind w:right="8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9" w:name="page40"/>
    <w:bookmarkEnd w:id="39"/>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the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rPr>
              <w:t>Exhibit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180" w:type="dxa"/>
            <w:vAlign w:val="bottom"/>
          </w:tcPr>
          <w:p>
            <w:pPr>
              <w:spacing w:after="0"/>
              <w:rPr>
                <w:sz w:val="14"/>
                <w:szCs w:val="14"/>
                <w:color w:val="auto"/>
              </w:rPr>
            </w:pPr>
          </w:p>
        </w:tc>
        <w:tc>
          <w:tcPr>
            <w:tcW w:w="10060" w:type="dxa"/>
            <w:vAlign w:val="bottom"/>
            <w:tcBorders>
              <w:bottom w:val="single" w:sz="8" w:color="auto"/>
            </w:tcBorders>
            <w:gridSpan w:val="13"/>
          </w:tcPr>
          <w:p>
            <w:pPr>
              <w:ind w:left="140"/>
              <w:spacing w:after="0"/>
              <w:rPr>
                <w:sz w:val="20"/>
                <w:szCs w:val="20"/>
                <w:color w:val="auto"/>
              </w:rPr>
            </w:pPr>
            <w:r>
              <w:rPr>
                <w:rFonts w:ascii="Arial" w:cs="Arial" w:eastAsia="Arial" w:hAnsi="Arial"/>
                <w:sz w:val="14"/>
                <w:szCs w:val="14"/>
                <w:color w:val="auto"/>
              </w:rPr>
              <w:t>Description</w:t>
            </w:r>
          </w:p>
        </w:tc>
      </w:tr>
      <w:tr>
        <w:trPr>
          <w:trHeight w:val="290"/>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24"/>
                <w:szCs w:val="24"/>
                <w:color w:val="auto"/>
              </w:rPr>
            </w:pPr>
          </w:p>
        </w:tc>
        <w:tc>
          <w:tcPr>
            <w:tcW w:w="9560" w:type="dxa"/>
            <w:vAlign w:val="bottom"/>
            <w:tcBorders>
              <w:bottom w:val="single" w:sz="8" w:color="0000EE"/>
            </w:tcBorders>
            <w:gridSpan w:val="10"/>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Scheme Implementation Agreement (incorporated by reference to Exhibit 99.2 of the registrant’s Form 6-K filed on April 20, 2020)</w:t>
              </w:r>
            </w:hyperlink>
          </w:p>
        </w:tc>
        <w:tc>
          <w:tcPr>
            <w:tcW w:w="500" w:type="dxa"/>
            <w:vAlign w:val="bottom"/>
            <w:gridSpan w:val="3"/>
          </w:tcPr>
          <w:p>
            <w:pPr>
              <w:spacing w:after="0"/>
              <w:rPr>
                <w:sz w:val="24"/>
                <w:szCs w:val="24"/>
                <w:color w:val="auto"/>
              </w:rPr>
            </w:pPr>
          </w:p>
        </w:tc>
      </w:tr>
      <w:tr>
        <w:trPr>
          <w:trHeight w:val="318"/>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10060" w:type="dxa"/>
            <w:vAlign w:val="bottom"/>
            <w:gridSpan w:val="13"/>
          </w:tcPr>
          <w:p>
            <w:pPr>
              <w:spacing w:after="0"/>
              <w:rPr>
                <w:rFonts w:ascii="Arial" w:cs="Arial" w:eastAsia="Arial" w:hAnsi="Arial"/>
                <w:sz w:val="18"/>
                <w:szCs w:val="18"/>
                <w:color w:val="0000EE"/>
              </w:rPr>
            </w:pPr>
            <w:hyperlink r:id="rId70">
              <w:r>
                <w:rPr>
                  <w:rFonts w:ascii="Arial" w:cs="Arial" w:eastAsia="Arial" w:hAnsi="Arial"/>
                  <w:sz w:val="18"/>
                  <w:szCs w:val="18"/>
                  <w:color w:val="0000EE"/>
                </w:rPr>
                <w:t>Certificate of Incorporation (incorporated by reference to Exhibit 3.1 to the registrant’s Form 8-K12B filed on June 30, 2020)</w:t>
              </w:r>
            </w:hyperlink>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 xml:space="preserve">Certificate of Amendment </w:t>
              </w:r>
              <w:r>
                <w:rPr>
                  <w:rFonts w:ascii="Arial" w:cs="Arial" w:eastAsia="Arial" w:hAnsi="Arial"/>
                  <w:sz w:val="18"/>
                  <w:szCs w:val="18"/>
                  <w:color w:val="0000EE"/>
                  <w:highlight w:val="white"/>
                  <w:w w:val="92"/>
                </w:rPr>
                <w:t>of Certificate of Incorporation (incorporated by reference to Exhibit 3.2 of the registrant’s Form 10-KT filed on</w:t>
              </w:r>
            </w:hyperlink>
          </w:p>
        </w:tc>
        <w:tc>
          <w:tcPr>
            <w:tcW w:w="10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13"/>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February 28, 2022)</w:t>
              </w:r>
            </w:hyperlink>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3.3</w:t>
            </w:r>
          </w:p>
        </w:tc>
        <w:tc>
          <w:tcPr>
            <w:tcW w:w="180" w:type="dxa"/>
            <w:vAlign w:val="bottom"/>
          </w:tcPr>
          <w:p>
            <w:pPr>
              <w:spacing w:after="0"/>
              <w:rPr>
                <w:sz w:val="24"/>
                <w:szCs w:val="24"/>
                <w:color w:val="auto"/>
              </w:rPr>
            </w:pPr>
          </w:p>
        </w:tc>
        <w:tc>
          <w:tcPr>
            <w:tcW w:w="9540" w:type="dxa"/>
            <w:vAlign w:val="bottom"/>
            <w:tcBorders>
              <w:bottom w:val="single" w:sz="8" w:color="0000EE"/>
            </w:tcBorders>
            <w:gridSpan w:val="9"/>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Amended and Restated Bylaws (incorporated by reference to Exhibit 3.3 of the registrant’s Form 10-KT filed on February 28, 2022)</w:t>
              </w:r>
            </w:hyperlink>
          </w:p>
        </w:tc>
        <w:tc>
          <w:tcPr>
            <w:tcW w:w="520" w:type="dxa"/>
            <w:vAlign w:val="bottom"/>
            <w:gridSpan w:val="4"/>
          </w:tcPr>
          <w:p>
            <w:pPr>
              <w:spacing w:after="0"/>
              <w:rPr>
                <w:sz w:val="24"/>
                <w:szCs w:val="24"/>
                <w:color w:val="auto"/>
              </w:rPr>
            </w:pPr>
          </w:p>
        </w:tc>
      </w:tr>
      <w:tr>
        <w:trPr>
          <w:trHeight w:val="318"/>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24"/>
                <w:szCs w:val="24"/>
                <w:color w:val="auto"/>
              </w:rPr>
            </w:pPr>
          </w:p>
        </w:tc>
        <w:tc>
          <w:tcPr>
            <w:tcW w:w="9560" w:type="dxa"/>
            <w:vAlign w:val="bottom"/>
            <w:tcBorders>
              <w:bottom w:val="single" w:sz="8" w:color="0000EE"/>
            </w:tcBorders>
            <w:gridSpan w:val="10"/>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Scheme Implementation Agreement (incorporated by reference to Exhibit 99.2 of the registrant’s Form 6-K filed on April 20, 2020)</w:t>
              </w:r>
            </w:hyperlink>
          </w:p>
        </w:tc>
        <w:tc>
          <w:tcPr>
            <w:tcW w:w="500" w:type="dxa"/>
            <w:vAlign w:val="bottom"/>
            <w:gridSpan w:val="3"/>
          </w:tcPr>
          <w:p>
            <w:pPr>
              <w:spacing w:after="0"/>
              <w:rPr>
                <w:sz w:val="24"/>
                <w:szCs w:val="24"/>
                <w:color w:val="auto"/>
              </w:rPr>
            </w:pPr>
          </w:p>
        </w:tc>
      </w:tr>
      <w:tr>
        <w:trPr>
          <w:trHeight w:val="31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77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Executive Employment Agreement between the registrant and James Corbett dated September 26, 2022 †*</w:t>
            </w:r>
          </w:p>
        </w:tc>
        <w:tc>
          <w:tcPr>
            <w:tcW w:w="2360" w:type="dxa"/>
            <w:vAlign w:val="bottom"/>
            <w:gridSpan w:val="6"/>
          </w:tcPr>
          <w:p>
            <w:pPr>
              <w:spacing w:after="0"/>
              <w:rPr>
                <w:sz w:val="24"/>
                <w:szCs w:val="24"/>
                <w:color w:val="auto"/>
              </w:rPr>
            </w:pPr>
          </w:p>
        </w:tc>
      </w:tr>
      <w:tr>
        <w:trPr>
          <w:trHeight w:val="31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Amendment of Solicitation/Modification of Contract dated September 29, 2015 between the registrant and the U.S Department of Health</w:t>
            </w:r>
          </w:p>
        </w:tc>
        <w:tc>
          <w:tcPr>
            <w:tcW w:w="1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and Human Services Biomedical Advanced Research and Development Authority (BARDA)*</w:t>
            </w:r>
          </w:p>
        </w:tc>
        <w:tc>
          <w:tcPr>
            <w:tcW w:w="3240" w:type="dxa"/>
            <w:vAlign w:val="bottom"/>
            <w:gridSpan w:val="7"/>
          </w:tcPr>
          <w:p>
            <w:pPr>
              <w:spacing w:after="0"/>
              <w:rPr>
                <w:sz w:val="17"/>
                <w:szCs w:val="17"/>
                <w:color w:val="auto"/>
              </w:rPr>
            </w:pPr>
          </w:p>
        </w:tc>
      </w:tr>
      <w:tr>
        <w:trPr>
          <w:trHeight w:val="31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Amendment of Solicitation/Modification of Contract dated September 29, 2015 between the registrant and the U.S Department of Health</w:t>
            </w:r>
          </w:p>
        </w:tc>
        <w:tc>
          <w:tcPr>
            <w:tcW w:w="1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and Human Services Biomedical Advanced Research and Development Authority (BARDA)*</w:t>
            </w:r>
          </w:p>
        </w:tc>
        <w:tc>
          <w:tcPr>
            <w:tcW w:w="3260" w:type="dxa"/>
            <w:vAlign w:val="bottom"/>
            <w:gridSpan w:val="8"/>
          </w:tcPr>
          <w:p>
            <w:pPr>
              <w:spacing w:after="0"/>
              <w:rPr>
                <w:sz w:val="17"/>
                <w:szCs w:val="17"/>
                <w:color w:val="auto"/>
              </w:rPr>
            </w:pPr>
          </w:p>
        </w:tc>
      </w:tr>
      <w:tr>
        <w:trPr>
          <w:trHeight w:val="31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0000EE"/>
              </w:rPr>
              <w:t>Rule 13a-14(a) Certification of Chief Executive Officer</w:t>
            </w:r>
          </w:p>
        </w:tc>
      </w:tr>
      <w:tr>
        <w:trPr>
          <w:trHeight w:val="31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3"/>
              </w:rPr>
              <w:t>Rule 13a-14(a) Certification of Chief Financial Officer</w:t>
            </w:r>
          </w:p>
        </w:tc>
        <w:tc>
          <w:tcPr>
            <w:tcW w:w="40" w:type="dxa"/>
            <w:vAlign w:val="bottom"/>
            <w:tcBorders>
              <w:top w:val="single" w:sz="8" w:color="0000EE"/>
            </w:tcBorders>
          </w:tcPr>
          <w:p>
            <w:pPr>
              <w:spacing w:after="0"/>
              <w:rPr>
                <w:sz w:val="24"/>
                <w:szCs w:val="24"/>
                <w:color w:val="auto"/>
              </w:rPr>
            </w:pPr>
          </w:p>
        </w:tc>
        <w:tc>
          <w:tcPr>
            <w:tcW w:w="6060" w:type="dxa"/>
            <w:vAlign w:val="bottom"/>
            <w:gridSpan w:val="9"/>
          </w:tcPr>
          <w:p>
            <w:pPr>
              <w:spacing w:after="0"/>
              <w:rPr>
                <w:sz w:val="24"/>
                <w:szCs w:val="24"/>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0000EE"/>
              </w:rPr>
              <w:t>18 U.S.C. Section 1350 Certifications</w:t>
            </w: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r>
      <w:tr>
        <w:trPr>
          <w:trHeight w:val="344"/>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90"/>
              </w:rPr>
              <w:t>101.SCH</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7"/>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00" w:type="dxa"/>
            <w:vAlign w:val="bottom"/>
          </w:tcPr>
          <w:p>
            <w:pPr>
              <w:jc w:val="center"/>
              <w:ind w:left="32"/>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4"/>
                <w:szCs w:val="24"/>
                <w:color w:val="auto"/>
              </w:rPr>
            </w:pPr>
          </w:p>
        </w:tc>
        <w:tc>
          <w:tcPr>
            <w:tcW w:w="100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180" w:hanging="749"/>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7"/>
          <w:szCs w:val="17"/>
          <w:color w:val="auto"/>
        </w:rPr>
        <w:t>AVITA MEDICAL, INC.</w:t>
      </w:r>
    </w:p>
    <w:p>
      <w:pPr>
        <w:spacing w:after="0" w:line="23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James Corbett</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Holder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553" w:right="5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80"/>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2"/>
                <w:szCs w:val="22"/>
                <w:b w:val="1"/>
                <w:bCs w:val="1"/>
                <w:color w:val="auto"/>
              </w:rPr>
              <w:t>Exhibit 10.1</w:t>
            </w:r>
          </w:p>
        </w:tc>
        <w:tc>
          <w:tcPr>
            <w:tcW w:w="0" w:type="dxa"/>
            <w:vAlign w:val="bottom"/>
          </w:tcPr>
          <w:p>
            <w:pPr>
              <w:spacing w:after="0"/>
              <w:rPr>
                <w:sz w:val="1"/>
                <w:szCs w:val="1"/>
                <w:color w:val="auto"/>
              </w:rPr>
            </w:pPr>
          </w:p>
        </w:tc>
      </w:tr>
      <w:tr>
        <w:trPr>
          <w:trHeight w:val="424"/>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gridSpan w:val="3"/>
          </w:tcPr>
          <w:p>
            <w:pPr>
              <w:ind w:left="2260"/>
              <w:spacing w:after="0"/>
              <w:rPr>
                <w:sz w:val="20"/>
                <w:szCs w:val="20"/>
                <w:color w:val="auto"/>
              </w:rPr>
            </w:pPr>
            <w:r>
              <w:rPr>
                <w:rFonts w:ascii="Arial" w:cs="Arial" w:eastAsia="Arial" w:hAnsi="Arial"/>
                <w:sz w:val="19"/>
                <w:szCs w:val="19"/>
                <w:b w:val="1"/>
                <w:bCs w:val="1"/>
                <w:color w:val="auto"/>
              </w:rPr>
              <w:t>EMPLOYMENT AGREEMENT</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280" w:type="dxa"/>
            <w:vAlign w:val="bottom"/>
          </w:tcPr>
          <w:p>
            <w:pPr>
              <w:spacing w:after="0"/>
              <w:rPr>
                <w:sz w:val="24"/>
                <w:szCs w:val="24"/>
                <w:color w:val="auto"/>
              </w:rPr>
            </w:pPr>
          </w:p>
        </w:tc>
        <w:tc>
          <w:tcPr>
            <w:tcW w:w="8020" w:type="dxa"/>
            <w:vAlign w:val="bottom"/>
            <w:gridSpan w:val="7"/>
          </w:tcPr>
          <w:p>
            <w:pPr>
              <w:ind w:left="520"/>
              <w:spacing w:after="0"/>
              <w:rPr>
                <w:sz w:val="20"/>
                <w:szCs w:val="20"/>
                <w:color w:val="auto"/>
              </w:rPr>
            </w:pPr>
            <w:r>
              <w:rPr>
                <w:rFonts w:ascii="Arial" w:cs="Arial" w:eastAsia="Arial" w:hAnsi="Arial"/>
                <w:sz w:val="19"/>
                <w:szCs w:val="19"/>
                <w:color w:val="auto"/>
                <w:w w:val="94"/>
              </w:rPr>
              <w:t>This Employment Agreement (this "Agreement") is made and entered into as of September 26,</w:t>
            </w:r>
          </w:p>
        </w:tc>
        <w:tc>
          <w:tcPr>
            <w:tcW w:w="1940" w:type="dxa"/>
            <w:vAlign w:val="bottom"/>
          </w:tcPr>
          <w:p>
            <w:pPr>
              <w:jc w:val="right"/>
              <w:spacing w:after="0"/>
              <w:rPr>
                <w:sz w:val="20"/>
                <w:szCs w:val="20"/>
                <w:color w:val="auto"/>
              </w:rPr>
            </w:pPr>
            <w:r>
              <w:rPr>
                <w:rFonts w:ascii="Arial" w:cs="Arial" w:eastAsia="Arial" w:hAnsi="Arial"/>
                <w:sz w:val="19"/>
                <w:szCs w:val="19"/>
                <w:color w:val="auto"/>
              </w:rPr>
              <w:t>2022, by and between</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gridSpan w:val="3"/>
            <w:vMerge w:val="restart"/>
          </w:tcPr>
          <w:p>
            <w:pPr>
              <w:ind w:left="20"/>
              <w:spacing w:after="0" w:line="216" w:lineRule="exact"/>
              <w:rPr>
                <w:sz w:val="20"/>
                <w:szCs w:val="20"/>
                <w:color w:val="auto"/>
              </w:rPr>
            </w:pPr>
            <w:r>
              <w:rPr>
                <w:rFonts w:ascii="Arial" w:cs="Arial" w:eastAsia="Arial" w:hAnsi="Arial"/>
                <w:sz w:val="19"/>
                <w:szCs w:val="19"/>
                <w:color w:val="auto"/>
              </w:rPr>
              <w:t>(the "Company").</w:t>
            </w: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5"/>
          </w:tcPr>
          <w:p>
            <w:pPr>
              <w:spacing w:after="0" w:line="196" w:lineRule="exact"/>
              <w:rPr>
                <w:sz w:val="20"/>
                <w:szCs w:val="20"/>
                <w:color w:val="auto"/>
              </w:rPr>
            </w:pPr>
            <w:r>
              <w:rPr>
                <w:rFonts w:ascii="Arial" w:cs="Arial" w:eastAsia="Arial" w:hAnsi="Arial"/>
                <w:sz w:val="19"/>
                <w:szCs w:val="19"/>
                <w:color w:val="auto"/>
              </w:rPr>
              <w:t>James Corbett ("Executive") and Avita Medical, Inc., a Delaware corporation</w:t>
            </w:r>
          </w:p>
        </w:tc>
        <w:tc>
          <w:tcPr>
            <w:tcW w:w="232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WHEREAS, the Company desires to employ Executive and to enter into this Agreement embodying the terms of such employment, and Executive desires to enter into this Agreement and to accept such employment, subject to the terms and provisions of this Agreement.</w:t>
      </w:r>
    </w:p>
    <w:p>
      <w:pPr>
        <w:spacing w:after="0" w:line="184" w:lineRule="exact"/>
        <w:rPr>
          <w:sz w:val="20"/>
          <w:szCs w:val="20"/>
          <w:color w:val="auto"/>
        </w:rPr>
      </w:pPr>
    </w:p>
    <w:p>
      <w:pPr>
        <w:jc w:val="both"/>
        <w:ind w:firstLine="1797"/>
        <w:spacing w:after="0" w:line="320" w:lineRule="auto"/>
        <w:rPr>
          <w:sz w:val="20"/>
          <w:szCs w:val="20"/>
          <w:color w:val="auto"/>
        </w:rPr>
      </w:pPr>
      <w:r>
        <w:rPr>
          <w:rFonts w:ascii="Arial" w:cs="Arial" w:eastAsia="Arial" w:hAnsi="Arial"/>
          <w:sz w:val="17"/>
          <w:szCs w:val="17"/>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20" w:type="dxa"/>
            <w:vAlign w:val="bottom"/>
          </w:tcPr>
          <w:p>
            <w:pPr>
              <w:ind w:left="900"/>
              <w:spacing w:after="0"/>
              <w:rPr>
                <w:sz w:val="20"/>
                <w:szCs w:val="20"/>
                <w:color w:val="auto"/>
              </w:rPr>
            </w:pPr>
            <w:r>
              <w:rPr>
                <w:rFonts w:ascii="Arial" w:cs="Arial" w:eastAsia="Arial" w:hAnsi="Arial"/>
                <w:sz w:val="19"/>
                <w:szCs w:val="19"/>
                <w:color w:val="auto"/>
              </w:rPr>
              <w:t>1.</w:t>
            </w:r>
          </w:p>
        </w:tc>
        <w:tc>
          <w:tcPr>
            <w:tcW w:w="480" w:type="dxa"/>
            <w:vAlign w:val="bottom"/>
          </w:tcPr>
          <w:p>
            <w:pPr>
              <w:spacing w:after="0"/>
              <w:rPr>
                <w:sz w:val="18"/>
                <w:szCs w:val="18"/>
                <w:color w:val="auto"/>
              </w:rPr>
            </w:pPr>
          </w:p>
        </w:tc>
        <w:tc>
          <w:tcPr>
            <w:tcW w:w="6860" w:type="dxa"/>
            <w:vAlign w:val="bottom"/>
            <w:gridSpan w:val="6"/>
          </w:tcPr>
          <w:p>
            <w:pPr>
              <w:spacing w:after="0"/>
              <w:rPr>
                <w:sz w:val="20"/>
                <w:szCs w:val="20"/>
                <w:color w:val="auto"/>
              </w:rPr>
            </w:pPr>
            <w:r>
              <w:rPr>
                <w:rFonts w:ascii="Arial" w:cs="Arial" w:eastAsia="Arial" w:hAnsi="Arial"/>
                <w:sz w:val="19"/>
                <w:szCs w:val="19"/>
                <w:color w:val="auto"/>
                <w:w w:val="96"/>
              </w:rPr>
              <w:t>Definitions. Capitalized terms not otherwise defined in this Agreement shall have the</w:t>
            </w:r>
          </w:p>
        </w:tc>
        <w:tc>
          <w:tcPr>
            <w:tcW w:w="2680" w:type="dxa"/>
            <w:vAlign w:val="bottom"/>
            <w:gridSpan w:val="3"/>
          </w:tcPr>
          <w:p>
            <w:pPr>
              <w:jc w:val="right"/>
              <w:ind w:right="20"/>
              <w:spacing w:after="0"/>
              <w:rPr>
                <w:sz w:val="20"/>
                <w:szCs w:val="20"/>
                <w:color w:val="auto"/>
              </w:rPr>
            </w:pPr>
            <w:r>
              <w:rPr>
                <w:rFonts w:ascii="Arial" w:cs="Arial" w:eastAsia="Arial" w:hAnsi="Arial"/>
                <w:sz w:val="19"/>
                <w:szCs w:val="19"/>
                <w:color w:val="auto"/>
                <w:w w:val="93"/>
              </w:rPr>
              <w:t>meaning set forth on Appendix A,</w:t>
            </w:r>
          </w:p>
        </w:tc>
        <w:tc>
          <w:tcPr>
            <w:tcW w:w="0" w:type="dxa"/>
            <w:vAlign w:val="bottom"/>
          </w:tcPr>
          <w:p>
            <w:pPr>
              <w:spacing w:after="0"/>
              <w:rPr>
                <w:sz w:val="1"/>
                <w:szCs w:val="1"/>
                <w:color w:val="auto"/>
              </w:rPr>
            </w:pPr>
          </w:p>
        </w:tc>
      </w:tr>
      <w:tr>
        <w:trPr>
          <w:trHeight w:val="238"/>
        </w:trPr>
        <w:tc>
          <w:tcPr>
            <w:tcW w:w="1700" w:type="dxa"/>
            <w:vAlign w:val="bottom"/>
            <w:gridSpan w:val="2"/>
          </w:tcPr>
          <w:p>
            <w:pPr>
              <w:spacing w:after="0"/>
              <w:rPr>
                <w:sz w:val="20"/>
                <w:szCs w:val="20"/>
                <w:color w:val="auto"/>
              </w:rPr>
            </w:pPr>
            <w:r>
              <w:rPr>
                <w:rFonts w:ascii="Arial" w:cs="Arial" w:eastAsia="Arial" w:hAnsi="Arial"/>
                <w:sz w:val="19"/>
                <w:szCs w:val="19"/>
                <w:color w:val="auto"/>
              </w:rPr>
              <w:t>attached hereto.</w:t>
            </w:r>
          </w:p>
        </w:tc>
        <w:tc>
          <w:tcPr>
            <w:tcW w:w="4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220" w:type="dxa"/>
            <w:vAlign w:val="bottom"/>
          </w:tcPr>
          <w:p>
            <w:pPr>
              <w:ind w:left="900"/>
              <w:spacing w:after="0"/>
              <w:rPr>
                <w:sz w:val="20"/>
                <w:szCs w:val="20"/>
                <w:color w:val="auto"/>
              </w:rPr>
            </w:pPr>
            <w:r>
              <w:rPr>
                <w:rFonts w:ascii="Arial" w:cs="Arial" w:eastAsia="Arial" w:hAnsi="Arial"/>
                <w:sz w:val="19"/>
                <w:szCs w:val="19"/>
                <w:color w:val="auto"/>
              </w:rPr>
              <w:t>2.</w:t>
            </w:r>
          </w:p>
        </w:tc>
        <w:tc>
          <w:tcPr>
            <w:tcW w:w="48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19"/>
                <w:szCs w:val="19"/>
                <w:color w:val="auto"/>
                <w:w w:val="90"/>
              </w:rPr>
              <w:t>Term. Executive's employment with the Company pursuant to the terms of this Agreement</w:t>
            </w:r>
          </w:p>
        </w:tc>
        <w:tc>
          <w:tcPr>
            <w:tcW w:w="2680" w:type="dxa"/>
            <w:vAlign w:val="bottom"/>
            <w:gridSpan w:val="3"/>
          </w:tcPr>
          <w:p>
            <w:pPr>
              <w:jc w:val="right"/>
              <w:ind w:right="20"/>
              <w:spacing w:after="0"/>
              <w:rPr>
                <w:sz w:val="20"/>
                <w:szCs w:val="20"/>
                <w:color w:val="auto"/>
              </w:rPr>
            </w:pPr>
            <w:r>
              <w:rPr>
                <w:rFonts w:ascii="Arial" w:cs="Arial" w:eastAsia="Arial" w:hAnsi="Arial"/>
                <w:sz w:val="19"/>
                <w:szCs w:val="19"/>
                <w:color w:val="auto"/>
                <w:w w:val="92"/>
              </w:rPr>
              <w:t>shall be effective as of September</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5720" w:type="dxa"/>
            <w:vAlign w:val="bottom"/>
            <w:gridSpan w:val="4"/>
            <w:vMerge w:val="restart"/>
          </w:tcPr>
          <w:p>
            <w:pPr>
              <w:jc w:val="right"/>
              <w:ind w:right="20"/>
              <w:spacing w:after="0" w:line="216" w:lineRule="exact"/>
              <w:rPr>
                <w:sz w:val="20"/>
                <w:szCs w:val="20"/>
                <w:color w:val="auto"/>
              </w:rPr>
            </w:pPr>
            <w:r>
              <w:rPr>
                <w:rFonts w:ascii="Arial" w:cs="Arial" w:eastAsia="Arial" w:hAnsi="Arial"/>
                <w:sz w:val="19"/>
                <w:szCs w:val="19"/>
                <w:color w:val="auto"/>
                <w:w w:val="99"/>
              </w:rPr>
              <w:t>anniversary of the Effective Date, unless Executive's employment is</w:t>
            </w:r>
          </w:p>
        </w:tc>
        <w:tc>
          <w:tcPr>
            <w:tcW w:w="0" w:type="dxa"/>
            <w:vAlign w:val="bottom"/>
          </w:tcPr>
          <w:p>
            <w:pPr>
              <w:spacing w:after="0" w:line="20" w:lineRule="exact"/>
              <w:rPr>
                <w:sz w:val="1"/>
                <w:szCs w:val="1"/>
                <w:color w:val="auto"/>
              </w:rPr>
            </w:pPr>
          </w:p>
        </w:tc>
      </w:tr>
      <w:tr>
        <w:trPr>
          <w:trHeight w:val="196"/>
        </w:trPr>
        <w:tc>
          <w:tcPr>
            <w:tcW w:w="5520" w:type="dxa"/>
            <w:vAlign w:val="bottom"/>
            <w:gridSpan w:val="7"/>
          </w:tcPr>
          <w:p>
            <w:pPr>
              <w:spacing w:after="0" w:line="196" w:lineRule="exact"/>
              <w:rPr>
                <w:sz w:val="20"/>
                <w:szCs w:val="20"/>
                <w:color w:val="auto"/>
              </w:rPr>
            </w:pPr>
            <w:r>
              <w:rPr>
                <w:rFonts w:ascii="Arial" w:cs="Arial" w:eastAsia="Arial" w:hAnsi="Arial"/>
                <w:sz w:val="19"/>
                <w:szCs w:val="19"/>
                <w:color w:val="auto"/>
              </w:rPr>
              <w:t>28, 2022 (the "Effective Date"), and shall continue until the third</w:t>
            </w:r>
          </w:p>
        </w:tc>
        <w:tc>
          <w:tcPr>
            <w:tcW w:w="57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100" w:type="dxa"/>
            <w:vAlign w:val="bottom"/>
            <w:gridSpan w:val="5"/>
            <w:vMerge w:val="restart"/>
          </w:tcPr>
          <w:p>
            <w:pPr>
              <w:jc w:val="right"/>
              <w:ind w:right="340"/>
              <w:spacing w:after="0"/>
              <w:rPr>
                <w:sz w:val="20"/>
                <w:szCs w:val="20"/>
                <w:color w:val="auto"/>
              </w:rPr>
            </w:pPr>
            <w:r>
              <w:rPr>
                <w:rFonts w:ascii="Arial" w:cs="Arial" w:eastAsia="Arial" w:hAnsi="Arial"/>
                <w:sz w:val="19"/>
                <w:szCs w:val="19"/>
                <w:color w:val="auto"/>
                <w:w w:val="92"/>
              </w:rPr>
              <w:t>of this Agreement. If Executive's employment is not terminated, or no notice of termination has been</w:t>
            </w:r>
          </w:p>
        </w:tc>
        <w:tc>
          <w:tcPr>
            <w:tcW w:w="0" w:type="dxa"/>
            <w:vAlign w:val="bottom"/>
          </w:tcPr>
          <w:p>
            <w:pPr>
              <w:spacing w:after="0" w:line="20" w:lineRule="exact"/>
              <w:rPr>
                <w:sz w:val="1"/>
                <w:szCs w:val="1"/>
                <w:color w:val="auto"/>
              </w:rPr>
            </w:pPr>
          </w:p>
        </w:tc>
      </w:tr>
      <w:tr>
        <w:trPr>
          <w:trHeight w:val="214"/>
        </w:trPr>
        <w:tc>
          <w:tcPr>
            <w:tcW w:w="3140" w:type="dxa"/>
            <w:vAlign w:val="bottom"/>
            <w:gridSpan w:val="6"/>
          </w:tcPr>
          <w:p>
            <w:pPr>
              <w:spacing w:after="0" w:line="214" w:lineRule="exact"/>
              <w:rPr>
                <w:sz w:val="20"/>
                <w:szCs w:val="20"/>
                <w:color w:val="auto"/>
              </w:rPr>
            </w:pPr>
            <w:r>
              <w:rPr>
                <w:rFonts w:ascii="Arial" w:cs="Arial" w:eastAsia="Arial" w:hAnsi="Arial"/>
                <w:sz w:val="19"/>
                <w:szCs w:val="19"/>
                <w:color w:val="auto"/>
                <w:w w:val="93"/>
              </w:rPr>
              <w:t>terminated earlier pursuant to Section 5</w:t>
            </w:r>
          </w:p>
        </w:tc>
        <w:tc>
          <w:tcPr>
            <w:tcW w:w="8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8"/>
          </w:tcPr>
          <w:p>
            <w:pPr>
              <w:spacing w:after="0" w:line="216" w:lineRule="exact"/>
              <w:rPr>
                <w:sz w:val="20"/>
                <w:szCs w:val="20"/>
                <w:color w:val="auto"/>
              </w:rPr>
            </w:pPr>
            <w:r>
              <w:rPr>
                <w:rFonts w:ascii="Arial" w:cs="Arial" w:eastAsia="Arial" w:hAnsi="Arial"/>
                <w:sz w:val="19"/>
                <w:szCs w:val="19"/>
                <w:color w:val="auto"/>
                <w:w w:val="98"/>
              </w:rPr>
              <w:t>provided, pursuant to Section 5 of this Agreement prior to the [third] anniversary of the Effective Date or</w:t>
            </w:r>
          </w:p>
        </w:tc>
        <w:tc>
          <w:tcPr>
            <w:tcW w:w="2680" w:type="dxa"/>
            <w:vAlign w:val="bottom"/>
            <w:gridSpan w:val="3"/>
          </w:tcPr>
          <w:p>
            <w:pPr>
              <w:jc w:val="right"/>
              <w:spacing w:after="0" w:line="216" w:lineRule="exact"/>
              <w:rPr>
                <w:sz w:val="20"/>
                <w:szCs w:val="20"/>
                <w:color w:val="auto"/>
              </w:rPr>
            </w:pPr>
            <w:r>
              <w:rPr>
                <w:rFonts w:ascii="Arial" w:cs="Arial" w:eastAsia="Arial" w:hAnsi="Arial"/>
                <w:sz w:val="19"/>
                <w:szCs w:val="19"/>
                <w:color w:val="auto"/>
                <w:w w:val="88"/>
              </w:rPr>
              <w:t>each annual anniversary thereafter,</w:t>
            </w:r>
          </w:p>
        </w:tc>
        <w:tc>
          <w:tcPr>
            <w:tcW w:w="0" w:type="dxa"/>
            <w:vAlign w:val="bottom"/>
          </w:tcPr>
          <w:p>
            <w:pPr>
              <w:spacing w:after="0"/>
              <w:rPr>
                <w:sz w:val="1"/>
                <w:szCs w:val="1"/>
                <w:color w:val="auto"/>
              </w:rPr>
            </w:pPr>
          </w:p>
        </w:tc>
      </w:tr>
      <w:tr>
        <w:trPr>
          <w:trHeight w:val="240"/>
        </w:trPr>
        <w:tc>
          <w:tcPr>
            <w:tcW w:w="5520" w:type="dxa"/>
            <w:vAlign w:val="bottom"/>
            <w:gridSpan w:val="7"/>
          </w:tcPr>
          <w:p>
            <w:pPr>
              <w:spacing w:after="0"/>
              <w:rPr>
                <w:sz w:val="20"/>
                <w:szCs w:val="20"/>
                <w:color w:val="auto"/>
              </w:rPr>
            </w:pPr>
            <w:r>
              <w:rPr>
                <w:rFonts w:ascii="Arial" w:cs="Arial" w:eastAsia="Arial" w:hAnsi="Arial"/>
                <w:sz w:val="19"/>
                <w:szCs w:val="19"/>
                <w:color w:val="auto"/>
                <w:w w:val="91"/>
              </w:rPr>
              <w:t>this Agreement shall be deemed to be automatically extended, upon the</w:t>
            </w:r>
          </w:p>
        </w:tc>
        <w:tc>
          <w:tcPr>
            <w:tcW w:w="5720" w:type="dxa"/>
            <w:vAlign w:val="bottom"/>
            <w:gridSpan w:val="4"/>
          </w:tcPr>
          <w:p>
            <w:pPr>
              <w:jc w:val="right"/>
              <w:ind w:right="880"/>
              <w:spacing w:after="0"/>
              <w:rPr>
                <w:sz w:val="20"/>
                <w:szCs w:val="20"/>
                <w:color w:val="auto"/>
              </w:rPr>
            </w:pPr>
            <w:r>
              <w:rPr>
                <w:rFonts w:ascii="Arial" w:cs="Arial" w:eastAsia="Arial" w:hAnsi="Arial"/>
                <w:sz w:val="19"/>
                <w:szCs w:val="19"/>
                <w:color w:val="auto"/>
                <w:w w:val="90"/>
              </w:rPr>
              <w:t>same terms and conditions, for successive periods of one year.</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794"/>
        <w:spacing w:after="0"/>
        <w:tabs>
          <w:tab w:leader="none" w:pos="170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Position, Duties and Responsibilities; Performance</w:t>
      </w:r>
      <w:r>
        <w:rPr>
          <w:rFonts w:ascii="Arial" w:cs="Arial" w:eastAsia="Arial" w:hAnsi="Arial"/>
          <w:sz w:val="19"/>
          <w:szCs w:val="19"/>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1760" w:type="dxa"/>
            <w:vAlign w:val="bottom"/>
          </w:tcPr>
          <w:p>
            <w:pPr>
              <w:jc w:val="right"/>
              <w:ind w:right="566"/>
              <w:spacing w:after="0"/>
              <w:rPr>
                <w:sz w:val="20"/>
                <w:szCs w:val="20"/>
                <w:color w:val="auto"/>
              </w:rPr>
            </w:pPr>
            <w:r>
              <w:rPr>
                <w:rFonts w:ascii="Arial" w:cs="Arial" w:eastAsia="Arial" w:hAnsi="Arial"/>
                <w:sz w:val="19"/>
                <w:szCs w:val="19"/>
                <w:color w:val="auto"/>
              </w:rPr>
              <w:t>3.1.</w:t>
            </w:r>
          </w:p>
        </w:tc>
        <w:tc>
          <w:tcPr>
            <w:tcW w:w="100" w:type="dxa"/>
            <w:vAlign w:val="bottom"/>
          </w:tcPr>
          <w:p>
            <w:pPr>
              <w:spacing w:after="0"/>
              <w:rPr>
                <w:sz w:val="18"/>
                <w:szCs w:val="18"/>
                <w:color w:val="auto"/>
              </w:rPr>
            </w:pPr>
          </w:p>
        </w:tc>
        <w:tc>
          <w:tcPr>
            <w:tcW w:w="8400" w:type="dxa"/>
            <w:vAlign w:val="bottom"/>
            <w:gridSpan w:val="7"/>
          </w:tcPr>
          <w:p>
            <w:pPr>
              <w:jc w:val="right"/>
              <w:spacing w:after="0"/>
              <w:rPr>
                <w:sz w:val="20"/>
                <w:szCs w:val="20"/>
                <w:color w:val="auto"/>
              </w:rPr>
            </w:pPr>
            <w:r>
              <w:rPr>
                <w:rFonts w:ascii="Arial" w:cs="Arial" w:eastAsia="Arial" w:hAnsi="Arial"/>
                <w:sz w:val="19"/>
                <w:szCs w:val="19"/>
                <w:color w:val="auto"/>
                <w:w w:val="90"/>
              </w:rPr>
              <w:t>Position, Duties and Responsibilities. During the Employment Term, Executive shall be employed and serve as</w:t>
            </w:r>
          </w:p>
        </w:tc>
        <w:tc>
          <w:tcPr>
            <w:tcW w:w="0" w:type="dxa"/>
            <w:vAlign w:val="bottom"/>
          </w:tcPr>
          <w:p>
            <w:pPr>
              <w:spacing w:after="0"/>
              <w:rPr>
                <w:sz w:val="1"/>
                <w:szCs w:val="1"/>
                <w:color w:val="auto"/>
              </w:rPr>
            </w:pPr>
          </w:p>
        </w:tc>
      </w:tr>
      <w:tr>
        <w:trPr>
          <w:trHeight w:val="20"/>
        </w:trPr>
        <w:tc>
          <w:tcPr>
            <w:tcW w:w="2840" w:type="dxa"/>
            <w:vAlign w:val="bottom"/>
            <w:gridSpan w:val="3"/>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40" w:type="dxa"/>
            <w:vAlign w:val="bottom"/>
            <w:gridSpan w:val="3"/>
            <w:vMerge w:val="restart"/>
          </w:tcPr>
          <w:p>
            <w:pPr>
              <w:jc w:val="right"/>
              <w:spacing w:after="0"/>
              <w:rPr>
                <w:sz w:val="20"/>
                <w:szCs w:val="20"/>
                <w:color w:val="auto"/>
              </w:rPr>
            </w:pPr>
            <w:r>
              <w:rPr>
                <w:rFonts w:ascii="Arial" w:cs="Arial" w:eastAsia="Arial" w:hAnsi="Arial"/>
                <w:sz w:val="19"/>
                <w:szCs w:val="19"/>
                <w:color w:val="auto"/>
                <w:w w:val="96"/>
              </w:rPr>
              <w:t>other position or positions consistent with Executive's title as the</w:t>
            </w:r>
          </w:p>
        </w:tc>
        <w:tc>
          <w:tcPr>
            <w:tcW w:w="0" w:type="dxa"/>
            <w:vAlign w:val="bottom"/>
          </w:tcPr>
          <w:p>
            <w:pPr>
              <w:spacing w:after="0" w:line="20" w:lineRule="exact"/>
              <w:rPr>
                <w:sz w:val="1"/>
                <w:szCs w:val="1"/>
                <w:color w:val="auto"/>
              </w:rPr>
            </w:pPr>
          </w:p>
        </w:tc>
      </w:tr>
      <w:tr>
        <w:trPr>
          <w:trHeight w:val="214"/>
        </w:trPr>
        <w:tc>
          <w:tcPr>
            <w:tcW w:w="6000" w:type="dxa"/>
            <w:vAlign w:val="bottom"/>
            <w:gridSpan w:val="7"/>
          </w:tcPr>
          <w:p>
            <w:pPr>
              <w:spacing w:after="0" w:line="214" w:lineRule="exact"/>
              <w:rPr>
                <w:sz w:val="20"/>
                <w:szCs w:val="20"/>
                <w:color w:val="auto"/>
              </w:rPr>
            </w:pPr>
            <w:r>
              <w:rPr>
                <w:rFonts w:ascii="Arial" w:cs="Arial" w:eastAsia="Arial" w:hAnsi="Arial"/>
                <w:sz w:val="19"/>
                <w:szCs w:val="19"/>
                <w:color w:val="auto"/>
                <w:w w:val="96"/>
              </w:rPr>
              <w:t>President and Chief Executive Officer of the Company (together with such</w:t>
            </w:r>
          </w:p>
        </w:tc>
        <w:tc>
          <w:tcPr>
            <w:tcW w:w="5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line="216" w:lineRule="exact"/>
              <w:rPr>
                <w:sz w:val="20"/>
                <w:szCs w:val="20"/>
                <w:color w:val="auto"/>
              </w:rPr>
            </w:pPr>
            <w:r>
              <w:rPr>
                <w:rFonts w:ascii="Arial" w:cs="Arial" w:eastAsia="Arial" w:hAnsi="Arial"/>
                <w:sz w:val="19"/>
                <w:szCs w:val="19"/>
                <w:color w:val="auto"/>
              </w:rPr>
              <w:t>Board shall specify from time to time)</w:t>
            </w:r>
          </w:p>
        </w:tc>
        <w:tc>
          <w:tcPr>
            <w:tcW w:w="7560" w:type="dxa"/>
            <w:vAlign w:val="bottom"/>
            <w:gridSpan w:val="6"/>
          </w:tcPr>
          <w:p>
            <w:pPr>
              <w:jc w:val="right"/>
              <w:spacing w:after="0" w:line="216" w:lineRule="exact"/>
              <w:rPr>
                <w:sz w:val="20"/>
                <w:szCs w:val="20"/>
                <w:color w:val="auto"/>
              </w:rPr>
            </w:pPr>
            <w:r>
              <w:rPr>
                <w:rFonts w:ascii="Arial" w:cs="Arial" w:eastAsia="Arial" w:hAnsi="Arial"/>
                <w:sz w:val="19"/>
                <w:szCs w:val="19"/>
                <w:color w:val="auto"/>
                <w:w w:val="92"/>
              </w:rPr>
              <w:t>and shall have such duties, authority and responsibilities commensurate with such title. Executive</w:t>
            </w:r>
          </w:p>
        </w:tc>
        <w:tc>
          <w:tcPr>
            <w:tcW w:w="0" w:type="dxa"/>
            <w:vAlign w:val="bottom"/>
          </w:tcPr>
          <w:p>
            <w:pPr>
              <w:spacing w:after="0"/>
              <w:rPr>
                <w:sz w:val="1"/>
                <w:szCs w:val="1"/>
                <w:color w:val="auto"/>
              </w:rPr>
            </w:pPr>
          </w:p>
        </w:tc>
      </w:tr>
      <w:tr>
        <w:trPr>
          <w:trHeight w:val="216"/>
        </w:trPr>
        <w:tc>
          <w:tcPr>
            <w:tcW w:w="980" w:type="dxa"/>
            <w:vAlign w:val="bottom"/>
          </w:tcPr>
          <w:p>
            <w:pPr>
              <w:spacing w:after="0" w:line="216" w:lineRule="exact"/>
              <w:rPr>
                <w:sz w:val="20"/>
                <w:szCs w:val="20"/>
                <w:color w:val="auto"/>
              </w:rPr>
            </w:pPr>
            <w:r>
              <w:rPr>
                <w:rFonts w:ascii="Arial" w:cs="Arial" w:eastAsia="Arial" w:hAnsi="Arial"/>
                <w:sz w:val="19"/>
                <w:szCs w:val="19"/>
                <w:color w:val="auto"/>
              </w:rPr>
              <w:t>also</w:t>
            </w:r>
          </w:p>
        </w:tc>
        <w:tc>
          <w:tcPr>
            <w:tcW w:w="8240" w:type="dxa"/>
            <w:vAlign w:val="bottom"/>
            <w:gridSpan w:val="8"/>
          </w:tcPr>
          <w:p>
            <w:pPr>
              <w:ind w:left="60"/>
              <w:spacing w:after="0" w:line="216" w:lineRule="exact"/>
              <w:rPr>
                <w:sz w:val="20"/>
                <w:szCs w:val="20"/>
                <w:color w:val="auto"/>
              </w:rPr>
            </w:pPr>
            <w:r>
              <w:rPr>
                <w:rFonts w:ascii="Arial" w:cs="Arial" w:eastAsia="Arial" w:hAnsi="Arial"/>
                <w:sz w:val="19"/>
                <w:szCs w:val="19"/>
                <w:color w:val="auto"/>
                <w:w w:val="94"/>
              </w:rPr>
              <w:t>agrees to serve as an officer and/or director of any other member of the Company Group, in each case</w:t>
            </w:r>
          </w:p>
        </w:tc>
        <w:tc>
          <w:tcPr>
            <w:tcW w:w="2020" w:type="dxa"/>
            <w:vAlign w:val="bottom"/>
          </w:tcPr>
          <w:p>
            <w:pPr>
              <w:jc w:val="right"/>
              <w:spacing w:after="0" w:line="216" w:lineRule="exact"/>
              <w:rPr>
                <w:sz w:val="20"/>
                <w:szCs w:val="20"/>
                <w:color w:val="auto"/>
              </w:rPr>
            </w:pPr>
            <w:r>
              <w:rPr>
                <w:rFonts w:ascii="Arial" w:cs="Arial" w:eastAsia="Arial" w:hAnsi="Arial"/>
                <w:sz w:val="19"/>
                <w:szCs w:val="19"/>
                <w:color w:val="auto"/>
              </w:rPr>
              <w:t>without additional</w:t>
            </w:r>
          </w:p>
        </w:tc>
        <w:tc>
          <w:tcPr>
            <w:tcW w:w="0" w:type="dxa"/>
            <w:vAlign w:val="bottom"/>
          </w:tcPr>
          <w:p>
            <w:pPr>
              <w:spacing w:after="0"/>
              <w:rPr>
                <w:sz w:val="1"/>
                <w:szCs w:val="1"/>
                <w:color w:val="auto"/>
              </w:rPr>
            </w:pPr>
          </w:p>
        </w:tc>
      </w:tr>
      <w:tr>
        <w:trPr>
          <w:trHeight w:val="216"/>
        </w:trPr>
        <w:tc>
          <w:tcPr>
            <w:tcW w:w="6540" w:type="dxa"/>
            <w:vAlign w:val="bottom"/>
            <w:gridSpan w:val="8"/>
          </w:tcPr>
          <w:p>
            <w:pPr>
              <w:spacing w:after="0" w:line="216" w:lineRule="exact"/>
              <w:rPr>
                <w:sz w:val="20"/>
                <w:szCs w:val="20"/>
                <w:color w:val="auto"/>
              </w:rPr>
            </w:pPr>
            <w:r>
              <w:rPr>
                <w:rFonts w:ascii="Arial" w:cs="Arial" w:eastAsia="Arial" w:hAnsi="Arial"/>
                <w:sz w:val="19"/>
                <w:szCs w:val="19"/>
                <w:color w:val="auto"/>
                <w:w w:val="93"/>
              </w:rPr>
              <w:t>compensation. In addition, Executive shall continue to serve on the Board as of the</w:t>
            </w:r>
          </w:p>
        </w:tc>
        <w:tc>
          <w:tcPr>
            <w:tcW w:w="4700" w:type="dxa"/>
            <w:vAlign w:val="bottom"/>
            <w:gridSpan w:val="2"/>
          </w:tcPr>
          <w:p>
            <w:pPr>
              <w:jc w:val="right"/>
              <w:spacing w:after="0" w:line="216" w:lineRule="exact"/>
              <w:rPr>
                <w:sz w:val="20"/>
                <w:szCs w:val="20"/>
                <w:color w:val="auto"/>
              </w:rPr>
            </w:pPr>
            <w:r>
              <w:rPr>
                <w:rFonts w:ascii="Arial" w:cs="Arial" w:eastAsia="Arial" w:hAnsi="Arial"/>
                <w:sz w:val="19"/>
                <w:szCs w:val="19"/>
                <w:color w:val="auto"/>
                <w:w w:val="94"/>
              </w:rPr>
              <w:t>Effective Date, and thereafter as necessary, and Executive</w:t>
            </w:r>
          </w:p>
        </w:tc>
        <w:tc>
          <w:tcPr>
            <w:tcW w:w="0" w:type="dxa"/>
            <w:vAlign w:val="bottom"/>
          </w:tcPr>
          <w:p>
            <w:pPr>
              <w:spacing w:after="0"/>
              <w:rPr>
                <w:sz w:val="1"/>
                <w:szCs w:val="1"/>
                <w:color w:val="auto"/>
              </w:rPr>
            </w:pPr>
          </w:p>
        </w:tc>
      </w:tr>
      <w:tr>
        <w:trPr>
          <w:trHeight w:val="240"/>
        </w:trPr>
        <w:tc>
          <w:tcPr>
            <w:tcW w:w="6000" w:type="dxa"/>
            <w:vAlign w:val="bottom"/>
            <w:gridSpan w:val="7"/>
          </w:tcPr>
          <w:p>
            <w:pPr>
              <w:spacing w:after="0"/>
              <w:rPr>
                <w:sz w:val="20"/>
                <w:szCs w:val="20"/>
                <w:color w:val="auto"/>
              </w:rPr>
            </w:pPr>
            <w:r>
              <w:rPr>
                <w:rFonts w:ascii="Arial" w:cs="Arial" w:eastAsia="Arial" w:hAnsi="Arial"/>
                <w:sz w:val="19"/>
                <w:szCs w:val="19"/>
                <w:color w:val="auto"/>
              </w:rPr>
              <w:t>shall serve as a member thereof during the Employment Term.</w:t>
            </w:r>
          </w:p>
        </w:tc>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980" w:type="dxa"/>
            <w:vAlign w:val="bottom"/>
          </w:tcPr>
          <w:p>
            <w:pPr>
              <w:spacing w:after="0"/>
              <w:rPr>
                <w:sz w:val="24"/>
                <w:szCs w:val="24"/>
                <w:color w:val="auto"/>
              </w:rPr>
            </w:pPr>
          </w:p>
        </w:tc>
        <w:tc>
          <w:tcPr>
            <w:tcW w:w="1760" w:type="dxa"/>
            <w:vAlign w:val="bottom"/>
          </w:tcPr>
          <w:p>
            <w:pPr>
              <w:jc w:val="right"/>
              <w:ind w:right="566"/>
              <w:spacing w:after="0"/>
              <w:rPr>
                <w:sz w:val="20"/>
                <w:szCs w:val="20"/>
                <w:color w:val="auto"/>
              </w:rPr>
            </w:pPr>
            <w:r>
              <w:rPr>
                <w:rFonts w:ascii="Arial" w:cs="Arial" w:eastAsia="Arial" w:hAnsi="Arial"/>
                <w:sz w:val="19"/>
                <w:szCs w:val="19"/>
                <w:color w:val="auto"/>
              </w:rPr>
              <w:t>3.2.</w:t>
            </w: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85"/>
              </w:rPr>
              <w:t>Performance.</w:t>
            </w:r>
          </w:p>
        </w:tc>
        <w:tc>
          <w:tcPr>
            <w:tcW w:w="5480" w:type="dxa"/>
            <w:vAlign w:val="bottom"/>
            <w:gridSpan w:val="4"/>
          </w:tcPr>
          <w:p>
            <w:pPr>
              <w:jc w:val="center"/>
              <w:ind w:left="146"/>
              <w:spacing w:after="0"/>
              <w:rPr>
                <w:sz w:val="20"/>
                <w:szCs w:val="20"/>
                <w:color w:val="auto"/>
              </w:rPr>
            </w:pPr>
            <w:r>
              <w:rPr>
                <w:rFonts w:ascii="Arial" w:cs="Arial" w:eastAsia="Arial" w:hAnsi="Arial"/>
                <w:sz w:val="19"/>
                <w:szCs w:val="19"/>
                <w:color w:val="auto"/>
                <w:w w:val="91"/>
              </w:rPr>
              <w:t>Executive shall devote substantially all of Executive's business</w:t>
            </w:r>
          </w:p>
        </w:tc>
        <w:tc>
          <w:tcPr>
            <w:tcW w:w="2020" w:type="dxa"/>
            <w:vAlign w:val="bottom"/>
          </w:tcPr>
          <w:p>
            <w:pPr>
              <w:jc w:val="right"/>
              <w:spacing w:after="0"/>
              <w:rPr>
                <w:sz w:val="20"/>
                <w:szCs w:val="20"/>
                <w:color w:val="auto"/>
              </w:rPr>
            </w:pPr>
            <w:r>
              <w:rPr>
                <w:rFonts w:ascii="Arial" w:cs="Arial" w:eastAsia="Arial" w:hAnsi="Arial"/>
                <w:sz w:val="19"/>
                <w:szCs w:val="19"/>
                <w:color w:val="auto"/>
                <w:w w:val="98"/>
              </w:rPr>
              <w:t>time, attention, skill, and</w:t>
            </w:r>
          </w:p>
        </w:tc>
        <w:tc>
          <w:tcPr>
            <w:tcW w:w="0" w:type="dxa"/>
            <w:vAlign w:val="bottom"/>
          </w:tcPr>
          <w:p>
            <w:pPr>
              <w:spacing w:after="0"/>
              <w:rPr>
                <w:sz w:val="1"/>
                <w:szCs w:val="1"/>
                <w:color w:val="auto"/>
              </w:rPr>
            </w:pPr>
          </w:p>
        </w:tc>
      </w:tr>
      <w:tr>
        <w:trPr>
          <w:trHeight w:val="214"/>
        </w:trPr>
        <w:tc>
          <w:tcPr>
            <w:tcW w:w="6540" w:type="dxa"/>
            <w:vAlign w:val="bottom"/>
            <w:gridSpan w:val="8"/>
          </w:tcPr>
          <w:p>
            <w:pPr>
              <w:spacing w:after="0" w:line="214" w:lineRule="exact"/>
              <w:rPr>
                <w:sz w:val="20"/>
                <w:szCs w:val="20"/>
                <w:color w:val="auto"/>
              </w:rPr>
            </w:pPr>
            <w:r>
              <w:rPr>
                <w:rFonts w:ascii="Arial" w:cs="Arial" w:eastAsia="Arial" w:hAnsi="Arial"/>
                <w:sz w:val="19"/>
                <w:szCs w:val="19"/>
                <w:color w:val="auto"/>
                <w:w w:val="95"/>
              </w:rPr>
              <w:t>efforts to the performance of Executive's duties under this Agreement and, except</w:t>
            </w:r>
          </w:p>
        </w:tc>
        <w:tc>
          <w:tcPr>
            <w:tcW w:w="4700" w:type="dxa"/>
            <w:vAlign w:val="bottom"/>
            <w:gridSpan w:val="2"/>
          </w:tcPr>
          <w:p>
            <w:pPr>
              <w:jc w:val="right"/>
              <w:spacing w:after="0" w:line="214" w:lineRule="exact"/>
              <w:rPr>
                <w:sz w:val="20"/>
                <w:szCs w:val="20"/>
                <w:color w:val="auto"/>
              </w:rPr>
            </w:pPr>
            <w:r>
              <w:rPr>
                <w:rFonts w:ascii="Arial" w:cs="Arial" w:eastAsia="Arial" w:hAnsi="Arial"/>
                <w:sz w:val="19"/>
                <w:szCs w:val="19"/>
                <w:color w:val="auto"/>
                <w:w w:val="91"/>
              </w:rPr>
              <w:t>as provided below, shall not engage in any other business or</w:t>
            </w:r>
          </w:p>
        </w:tc>
        <w:tc>
          <w:tcPr>
            <w:tcW w:w="0" w:type="dxa"/>
            <w:vAlign w:val="bottom"/>
          </w:tcPr>
          <w:p>
            <w:pPr>
              <w:spacing w:after="0"/>
              <w:rPr>
                <w:sz w:val="1"/>
                <w:szCs w:val="1"/>
                <w:color w:val="auto"/>
              </w:rPr>
            </w:pPr>
          </w:p>
        </w:tc>
      </w:tr>
      <w:tr>
        <w:trPr>
          <w:trHeight w:val="216"/>
        </w:trPr>
        <w:tc>
          <w:tcPr>
            <w:tcW w:w="3680" w:type="dxa"/>
            <w:vAlign w:val="bottom"/>
            <w:gridSpan w:val="4"/>
          </w:tcPr>
          <w:p>
            <w:pPr>
              <w:spacing w:after="0" w:line="216" w:lineRule="exact"/>
              <w:rPr>
                <w:sz w:val="20"/>
                <w:szCs w:val="20"/>
                <w:color w:val="auto"/>
              </w:rPr>
            </w:pPr>
            <w:r>
              <w:rPr>
                <w:rFonts w:ascii="Arial" w:cs="Arial" w:eastAsia="Arial" w:hAnsi="Arial"/>
                <w:sz w:val="19"/>
                <w:szCs w:val="19"/>
                <w:color w:val="auto"/>
                <w:w w:val="94"/>
              </w:rPr>
              <w:t>occupation, including any outside employment</w:t>
            </w:r>
          </w:p>
        </w:tc>
        <w:tc>
          <w:tcPr>
            <w:tcW w:w="60" w:type="dxa"/>
            <w:vAlign w:val="bottom"/>
          </w:tcPr>
          <w:p>
            <w:pPr>
              <w:spacing w:after="0"/>
              <w:rPr>
                <w:sz w:val="18"/>
                <w:szCs w:val="18"/>
                <w:color w:val="auto"/>
              </w:rPr>
            </w:pPr>
          </w:p>
        </w:tc>
        <w:tc>
          <w:tcPr>
            <w:tcW w:w="7500" w:type="dxa"/>
            <w:vAlign w:val="bottom"/>
            <w:gridSpan w:val="5"/>
          </w:tcPr>
          <w:p>
            <w:pPr>
              <w:jc w:val="right"/>
              <w:spacing w:after="0" w:line="216" w:lineRule="exact"/>
              <w:rPr>
                <w:sz w:val="20"/>
                <w:szCs w:val="20"/>
                <w:color w:val="auto"/>
              </w:rPr>
            </w:pPr>
            <w:r>
              <w:rPr>
                <w:rFonts w:ascii="Arial" w:cs="Arial" w:eastAsia="Arial" w:hAnsi="Arial"/>
                <w:sz w:val="19"/>
                <w:szCs w:val="19"/>
                <w:color w:val="auto"/>
              </w:rPr>
              <w:t>or consulting services, during the Employment Term, including, without limitation, any</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r>
              <w:rPr>
                <w:rFonts w:ascii="Arial" w:cs="Arial" w:eastAsia="Arial" w:hAnsi="Arial"/>
                <w:sz w:val="19"/>
                <w:szCs w:val="19"/>
                <w:color w:val="auto"/>
              </w:rPr>
              <w:t>activity that</w:t>
            </w:r>
          </w:p>
        </w:tc>
        <w:tc>
          <w:tcPr>
            <w:tcW w:w="10260" w:type="dxa"/>
            <w:vAlign w:val="bottom"/>
            <w:gridSpan w:val="9"/>
          </w:tcPr>
          <w:p>
            <w:pPr>
              <w:jc w:val="center"/>
              <w:ind w:left="886"/>
              <w:spacing w:after="0"/>
              <w:rPr>
                <w:sz w:val="20"/>
                <w:szCs w:val="20"/>
                <w:color w:val="auto"/>
              </w:rPr>
            </w:pPr>
            <w:r>
              <w:rPr>
                <w:rFonts w:ascii="Arial" w:cs="Arial" w:eastAsia="Arial" w:hAnsi="Arial"/>
                <w:sz w:val="19"/>
                <w:szCs w:val="19"/>
                <w:color w:val="auto"/>
                <w:w w:val="91"/>
              </w:rPr>
              <w:t>(x) conflicts with the interests of the Company or any other member of the Company Group, (y) materially interferes with</w:t>
            </w:r>
          </w:p>
        </w:tc>
        <w:tc>
          <w:tcPr>
            <w:tcW w:w="0" w:type="dxa"/>
            <w:vAlign w:val="bottom"/>
          </w:tcPr>
          <w:p>
            <w:pPr>
              <w:spacing w:after="0"/>
              <w:rPr>
                <w:sz w:val="1"/>
                <w:szCs w:val="1"/>
                <w:color w:val="auto"/>
              </w:rPr>
            </w:pPr>
          </w:p>
        </w:tc>
      </w:tr>
    </w:tbl>
    <w:p>
      <w:pPr>
        <w:jc w:val="both"/>
        <w:spacing w:after="0" w:line="265" w:lineRule="auto"/>
        <w:rPr>
          <w:sz w:val="20"/>
          <w:szCs w:val="20"/>
          <w:color w:val="auto"/>
        </w:rPr>
      </w:pPr>
      <w:r>
        <w:rPr>
          <w:rFonts w:ascii="Arial" w:cs="Arial" w:eastAsia="Arial" w:hAnsi="Arial"/>
          <w:sz w:val="17"/>
          <w:szCs w:val="17"/>
          <w:color w:val="auto"/>
        </w:rPr>
        <w:t>the performance of Executive's duties for the Company, or (z) interferes with Executive's exercise of Executive's judgment in the Company's best interests. Notwithstanding the foregoing, nothing herein shall preclude Executive from (i) serving, with the prior written consent of the Board, as a</w:t>
      </w:r>
    </w:p>
    <w:p>
      <w:pPr>
        <w:jc w:val="both"/>
        <w:spacing w:after="0" w:line="250" w:lineRule="auto"/>
        <w:rPr>
          <w:sz w:val="20"/>
          <w:szCs w:val="20"/>
          <w:color w:val="auto"/>
        </w:rPr>
      </w:pPr>
      <w:r>
        <w:rPr>
          <w:rFonts w:ascii="Arial" w:cs="Arial" w:eastAsia="Arial" w:hAnsi="Arial"/>
          <w:sz w:val="18"/>
          <w:szCs w:val="18"/>
          <w:color w:val="auto"/>
        </w:rPr>
        <w:t>member of the boards of directors or advisory boards (or their equivalents in the case of a non-corporate entity) of one or more for-profit public or private companies and one or more charitable organizations, which with regard to charitable organizations such consent will not</w:t>
      </w:r>
    </w:p>
    <w:tbl>
      <w:tblPr>
        <w:tblLayout w:type="fixed"/>
        <w:tblInd w:w="0" w:type="dxa"/>
        <w:tblCellMar>
          <w:top w:w="0" w:type="dxa"/>
          <w:left w:w="0" w:type="dxa"/>
          <w:bottom w:w="0" w:type="dxa"/>
          <w:right w:w="0" w:type="dxa"/>
        </w:tblCellMar>
      </w:tblPr>
      <w:tr>
        <w:trPr>
          <w:trHeight w:val="201"/>
        </w:trPr>
        <w:tc>
          <w:tcPr>
            <w:tcW w:w="4360" w:type="dxa"/>
            <w:vAlign w:val="bottom"/>
            <w:gridSpan w:val="2"/>
          </w:tcPr>
          <w:p>
            <w:pPr>
              <w:spacing w:after="0" w:line="201" w:lineRule="exact"/>
              <w:rPr>
                <w:sz w:val="20"/>
                <w:szCs w:val="20"/>
                <w:color w:val="auto"/>
              </w:rPr>
            </w:pPr>
            <w:r>
              <w:rPr>
                <w:rFonts w:ascii="Arial" w:cs="Arial" w:eastAsia="Arial" w:hAnsi="Arial"/>
                <w:sz w:val="19"/>
                <w:szCs w:val="19"/>
                <w:color w:val="auto"/>
              </w:rPr>
              <w:t>be unreasonably withheld or delayed, (ii) engaging</w:t>
            </w:r>
          </w:p>
        </w:tc>
        <w:tc>
          <w:tcPr>
            <w:tcW w:w="6880" w:type="dxa"/>
            <w:vAlign w:val="bottom"/>
            <w:gridSpan w:val="4"/>
          </w:tcPr>
          <w:p>
            <w:pPr>
              <w:jc w:val="right"/>
              <w:spacing w:after="0" w:line="201" w:lineRule="exact"/>
              <w:rPr>
                <w:sz w:val="20"/>
                <w:szCs w:val="20"/>
                <w:color w:val="auto"/>
              </w:rPr>
            </w:pPr>
            <w:r>
              <w:rPr>
                <w:rFonts w:ascii="Arial" w:cs="Arial" w:eastAsia="Arial" w:hAnsi="Arial"/>
                <w:sz w:val="19"/>
                <w:szCs w:val="19"/>
                <w:color w:val="auto"/>
              </w:rPr>
              <w:t>in charitable activities and community affairs, (iii) delivering lectures and fulfilling</w:t>
            </w: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9"/>
                <w:szCs w:val="19"/>
                <w:color w:val="auto"/>
                <w:w w:val="95"/>
              </w:rPr>
              <w:t>speaking engagements,</w:t>
            </w:r>
          </w:p>
        </w:tc>
        <w:tc>
          <w:tcPr>
            <w:tcW w:w="7760" w:type="dxa"/>
            <w:vAlign w:val="bottom"/>
            <w:gridSpan w:val="3"/>
          </w:tcPr>
          <w:p>
            <w:pPr>
              <w:ind w:left="180"/>
              <w:spacing w:after="0" w:line="198" w:lineRule="exact"/>
              <w:rPr>
                <w:sz w:val="20"/>
                <w:szCs w:val="20"/>
                <w:color w:val="auto"/>
              </w:rPr>
            </w:pPr>
            <w:r>
              <w:rPr>
                <w:rFonts w:ascii="Arial" w:cs="Arial" w:eastAsia="Arial" w:hAnsi="Arial"/>
                <w:sz w:val="19"/>
                <w:szCs w:val="19"/>
                <w:color w:val="auto"/>
                <w:w w:val="98"/>
              </w:rPr>
              <w:t>and (iv) managing Executive's personal investments and affairs (collectively, the "Permitted</w:t>
            </w:r>
          </w:p>
        </w:tc>
        <w:tc>
          <w:tcPr>
            <w:tcW w:w="1540" w:type="dxa"/>
            <w:vAlign w:val="bottom"/>
            <w:gridSpan w:val="2"/>
          </w:tcPr>
          <w:p>
            <w:pPr>
              <w:jc w:val="right"/>
              <w:spacing w:after="0" w:line="198" w:lineRule="exact"/>
              <w:rPr>
                <w:sz w:val="20"/>
                <w:szCs w:val="20"/>
                <w:color w:val="auto"/>
              </w:rPr>
            </w:pPr>
            <w:r>
              <w:rPr>
                <w:rFonts w:ascii="Arial" w:cs="Arial" w:eastAsia="Arial" w:hAnsi="Arial"/>
                <w:sz w:val="19"/>
                <w:szCs w:val="19"/>
                <w:color w:val="auto"/>
              </w:rPr>
              <w:t>Activities");</w:t>
            </w:r>
          </w:p>
        </w:tc>
      </w:tr>
      <w:tr>
        <w:trPr>
          <w:trHeight w:val="238"/>
        </w:trPr>
        <w:tc>
          <w:tcPr>
            <w:tcW w:w="8360" w:type="dxa"/>
            <w:vAlign w:val="bottom"/>
            <w:gridSpan w:val="3"/>
          </w:tcPr>
          <w:p>
            <w:pPr>
              <w:spacing w:after="0"/>
              <w:rPr>
                <w:sz w:val="20"/>
                <w:szCs w:val="20"/>
                <w:color w:val="auto"/>
              </w:rPr>
            </w:pPr>
            <w:r>
              <w:rPr>
                <w:rFonts w:ascii="Arial" w:cs="Arial" w:eastAsia="Arial" w:hAnsi="Arial"/>
                <w:sz w:val="19"/>
                <w:szCs w:val="19"/>
                <w:color w:val="auto"/>
              </w:rPr>
              <w:t>provided, however, that the activities set out in clauses (i), (ii), (iii), and (iv) shall be limited</w:t>
            </w:r>
          </w:p>
        </w:tc>
        <w:tc>
          <w:tcPr>
            <w:tcW w:w="1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2" w:name="page43"/>
    <w:bookmarkEnd w:id="42"/>
    <w:p>
      <w:pPr>
        <w:jc w:val="both"/>
        <w:spacing w:after="0" w:line="243" w:lineRule="auto"/>
        <w:rPr>
          <w:sz w:val="20"/>
          <w:szCs w:val="20"/>
          <w:color w:val="auto"/>
        </w:rPr>
      </w:pPr>
      <w:r>
        <w:rPr>
          <w:rFonts w:ascii="Arial" w:cs="Arial" w:eastAsia="Arial" w:hAnsi="Arial"/>
          <w:sz w:val="19"/>
          <w:szCs w:val="19"/>
          <w:color w:val="auto"/>
        </w:rPr>
        <w:t>by Executive so as not to materially interfere, individually or in the aggregate, with the performance of Executive's duties and responsibilities hereunder and do not conflict with any applicable Company policy on conduct. Notwithstanding the foregoing, and for the avoidance of doubt, the parties acknowledge that Permitted Activities currently include the following: Executive's service as a board member of privately-held Invoy LLC; Executive's service as a board member of privately-held Alucent Biomedical; Executive's service as a strategy advisor to the CEO of Envveno Medical; and Executive's service as a board member of privately-held Mozarc.</w:t>
      </w:r>
    </w:p>
    <w:p>
      <w:pPr>
        <w:spacing w:after="0" w:line="190"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Principal Place of Performance</w:t>
      </w:r>
      <w:r>
        <w:rPr>
          <w:rFonts w:ascii="Arial" w:cs="Arial" w:eastAsia="Arial" w:hAnsi="Arial"/>
          <w:sz w:val="19"/>
          <w:szCs w:val="19"/>
          <w:color w:val="auto"/>
        </w:rPr>
        <w:t>. The principal place of Executive's employment shall be the Company's office in Valencia, California; provided that, Executive shall be required to regularly meet with shareholders and potential investors in Australia and may be required to otherwise travel for business reasons during the Employment Term.</w:t>
      </w:r>
    </w:p>
    <w:p>
      <w:pPr>
        <w:spacing w:after="0" w:line="184" w:lineRule="exact"/>
        <w:rPr>
          <w:sz w:val="20"/>
          <w:szCs w:val="20"/>
          <w:color w:val="auto"/>
        </w:rPr>
      </w:pPr>
    </w:p>
    <w:p>
      <w:pPr>
        <w:ind w:left="1700" w:hanging="794"/>
        <w:spacing w:after="0"/>
        <w:tabs>
          <w:tab w:leader="none" w:pos="170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Compensation.</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9"/>
          <w:szCs w:val="19"/>
          <w:color w:val="auto"/>
        </w:rPr>
        <w:t>During the Employment Term, Executive shall be entitled to the following compensation:</w:t>
      </w:r>
    </w:p>
    <w:p>
      <w:pPr>
        <w:spacing w:after="0" w:line="214"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Executive shall be paid an annualized base salary of $600,000 in periodic installments in accordance with the Company's customary payroll practices, subject to annual review, with adjustments, if any, as may be approved in writing by the [Compensation Committee of the Board].</w:t>
      </w:r>
    </w:p>
    <w:p>
      <w:pPr>
        <w:spacing w:after="0" w:line="184" w:lineRule="exact"/>
        <w:rPr>
          <w:sz w:val="20"/>
          <w:szCs w:val="20"/>
          <w:color w:val="auto"/>
        </w:rPr>
      </w:pPr>
    </w:p>
    <w:p>
      <w:pPr>
        <w:jc w:val="both"/>
        <w:ind w:firstLine="1797"/>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Annual Bonus</w:t>
      </w:r>
      <w:r>
        <w:rPr>
          <w:rFonts w:ascii="Arial" w:cs="Arial" w:eastAsia="Arial" w:hAnsi="Arial"/>
          <w:sz w:val="17"/>
          <w:szCs w:val="17"/>
          <w:color w:val="auto"/>
        </w:rPr>
        <w:t>. For each completed fiscal year of the Employment Term, Executive shall be eligible to receive an annual bonus (the "</w:t>
      </w:r>
      <w:r>
        <w:rPr>
          <w:rFonts w:ascii="Arial" w:cs="Arial" w:eastAsia="Arial" w:hAnsi="Arial"/>
          <w:sz w:val="17"/>
          <w:szCs w:val="17"/>
          <w:u w:val="single" w:color="auto"/>
          <w:color w:val="auto"/>
        </w:rPr>
        <w:t>Annual Bonus</w:t>
      </w:r>
      <w:r>
        <w:rPr>
          <w:rFonts w:ascii="Arial" w:cs="Arial" w:eastAsia="Arial" w:hAnsi="Arial"/>
          <w:sz w:val="17"/>
          <w:szCs w:val="17"/>
          <w:color w:val="auto"/>
        </w:rPr>
        <w:t>"). As of the Effective Date, Executive's annual target bonus opportunity shall be equal to 60% of Base Salary, based on the achievement of individual and Company performance goals established by the Board; provided, that, depending on the results, Executive's actual bonus may be lower or higher than the target amount, with a minimum bonus opportunity of 0% of Base Salary and a maximum bonus opportunity of 200% of Base Salary, as determined by the Board. The Annual Bonus shall otherwise be subject to the terms and conditions of the annual bonus plan adopted by the Board or the Compensation Committee of the Board, if any, under which bonuses are generally payable to senior executives of the Company, as in effect from time to time. For the period beginning on the Effective Date and ending on the last day of the applicable fiscal year, Executive shall be eligible to receive a prorated Annual Bonus (calculated as the Annual Bonus that would have been paid for the entire fiscal year multiplied by a fraction, the numerator of which is equal to the number of days Executive was employed in the applicable fiscal year, and the denominator of which is equal to the total number of days in such fiscal year). The Annual Bonus, if any, shall be paid no later than the end of the calendar year in which the fiscal year to which it relates ends promptly after completion of the Company's audited year-end financial statements for such fiscal year (but in any event by the end of the calendar year in which the fiscal year ends) and at the same time as annual bonuses are paid to the other senior executive officers of the Company. In order to be eligible to earn an Annual Bonus, Executive must be employed by the Company on the last day of the applicable fiscal year.</w:t>
      </w:r>
    </w:p>
    <w:p>
      <w:pPr>
        <w:spacing w:after="0" w:line="173" w:lineRule="exact"/>
        <w:rPr>
          <w:sz w:val="20"/>
          <w:szCs w:val="20"/>
          <w:color w:val="auto"/>
        </w:rPr>
      </w:pPr>
    </w:p>
    <w:p>
      <w:pPr>
        <w:jc w:val="both"/>
        <w:ind w:firstLine="1797"/>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Equity Incentive</w:t>
      </w:r>
      <w:r>
        <w:rPr>
          <w:rFonts w:ascii="Arial" w:cs="Arial" w:eastAsia="Arial" w:hAnsi="Arial"/>
          <w:sz w:val="17"/>
          <w:szCs w:val="17"/>
          <w:color w:val="auto"/>
        </w:rPr>
        <w:t>. Subject to the approval of the Company's shareholders, Executive shall receive an initial grant of options to acquire shares of the Company's common stock equal in value to $1 million, to be calculated utilizing the Black-Scholes methodology, as is currently used by the Company with respect to option grants, with a grant date of Executive's first day of employment. Such shares will vest</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based on Executive's continued employment with the Company over four (4) years in equal installments, with the first option installment vesting upon the completion of Executive's first year of service. Such option grants shall be subject to the terms of a grant agreement pursuant to the Company's 2020 Omnibus Incentive Plan. For the avoidance of doubt, the grant agreement shall provide for "double-trigger" vesting of options in the event of a Change in Control. In addition, Executive shall be eligible for annual equity grants under the 2020 Omnibus Incentive Plan or similar plan in effect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jc w:val="both"/>
        <w:ind w:firstLine="1797"/>
        <w:spacing w:after="0"/>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shall be entitled to participate in health, insurance, retirement, and other benefits provided generally to similarly situated employees of the Company. Executive shall be entitled to four weeks of paid vacation per year. Executive can accrue up to six (6) weeks of vacation time, at which point no additional vacation may accrue beyond the six (6) weeks until a portion thereof is used. Any accrued vacation will roll over into the following calendar year and will not be forfeited. Executive agrees to schedule planned vacation to be taken at a time mutually convenient to Executive and the Board. Executive shall also be entitled to holidays and sick days, as well as any other benefits, in each case as are generally allowed to similarly situated employees of the Company in accordance with the Company policy as in effect from time to time. Nothing contained herein shall be construed to limit the Company's ability to amend, suspend, or terminate any employee benefit plan or policy at any time without providing Executive notice, and the right to do so is expressly reserved.</w:t>
      </w:r>
    </w:p>
    <w:p>
      <w:pPr>
        <w:spacing w:after="0" w:line="194" w:lineRule="exact"/>
        <w:rPr>
          <w:sz w:val="20"/>
          <w:szCs w:val="20"/>
          <w:color w:val="auto"/>
        </w:rPr>
      </w:pPr>
    </w:p>
    <w:p>
      <w:pPr>
        <w:jc w:val="right"/>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shall be entitled to reimbursement for all reasonable and necessary out-of-pocket business, entertainment and travel expenses incurred by Executive in connection with the performance of Executive's duties hereunder in accordance with the Company's expense reimbursement policies and procedures and the terms and conditions of this Agreement. Subject to the foregoing, the Company will provide accommodations in Valencia, California for the 15-20 days per month it is anticipated Executive will be in Valencia, for so long as Executive is engaged in long-distance commuting to Valencia, and Executive's commuting costs to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from Valencia from his home in Orange County will be reimbursed in accordance with the Company policy on fuel reimbursement.</w:t>
      </w:r>
    </w:p>
    <w:p>
      <w:pPr>
        <w:spacing w:after="0" w:line="198" w:lineRule="exact"/>
        <w:rPr>
          <w:sz w:val="20"/>
          <w:szCs w:val="20"/>
          <w:color w:val="auto"/>
        </w:rPr>
      </w:pPr>
    </w:p>
    <w:p>
      <w:pPr>
        <w:ind w:left="1700" w:hanging="794"/>
        <w:spacing w:after="0"/>
        <w:tabs>
          <w:tab w:leader="none" w:pos="170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w:t>
      </w:r>
    </w:p>
    <w:p>
      <w:pPr>
        <w:spacing w:after="0" w:line="214" w:lineRule="exact"/>
        <w:rPr>
          <w:sz w:val="20"/>
          <w:szCs w:val="20"/>
          <w:color w:val="auto"/>
        </w:rPr>
      </w:pPr>
    </w:p>
    <w:p>
      <w:pPr>
        <w:jc w:val="both"/>
        <w:ind w:firstLine="1797"/>
        <w:spacing w:after="0" w:line="26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Employment Term, and Executive's employment hereunder, shall terminate upon the earliest to occur of (i) Executive's death, (ii) a termination by reason of a Disability, (iii) a termination by the Company with or without Cause, and (iv) a termination by Executive with or without Good Reason. Except as otherwise expressly required by law (e.g., COBRA) or as specifically provided herein or in any plan or grant, all of Executive's rights to Base Salary, Annual Bonus, employee benefits and other compensatory amounts hereunder (if any) shall cease upon the termination of Executive's employment hereunder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75" w:lineRule="exact"/>
        <w:rPr>
          <w:sz w:val="20"/>
          <w:szCs w:val="20"/>
          <w:color w:val="auto"/>
        </w:rPr>
      </w:pPr>
    </w:p>
    <w:p>
      <w:pPr>
        <w:jc w:val="both"/>
        <w:ind w:firstLine="1797"/>
        <w:spacing w:after="0" w:line="24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Deemed Resignation</w:t>
      </w:r>
      <w:r>
        <w:rPr>
          <w:rFonts w:ascii="Arial" w:cs="Arial" w:eastAsia="Arial" w:hAnsi="Arial"/>
          <w:sz w:val="19"/>
          <w:szCs w:val="19"/>
          <w:color w:val="auto"/>
        </w:rPr>
        <w:t>. Upon any termination of Executive's employment for any reason, except as may otherwise be requested by the Company in writing and agreed upon in writing by Executive, Executive shall be deemed to have resigned from any and all directorships, committee memberships, and any other positions Executive holds with the Company or any other member of the Company Group.</w:t>
      </w:r>
    </w:p>
    <w:p>
      <w:pPr>
        <w:spacing w:after="0" w:line="188" w:lineRule="exact"/>
        <w:rPr>
          <w:sz w:val="20"/>
          <w:szCs w:val="20"/>
          <w:color w:val="auto"/>
        </w:rPr>
      </w:pPr>
    </w:p>
    <w:p>
      <w:pPr>
        <w:jc w:val="both"/>
        <w:ind w:firstLine="1797"/>
        <w:spacing w:after="0" w:line="24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Executive's employment shall terminate automatically upon Executive's death. The Company may terminate Executive's employment immediately upon the occurrence of a Disability upon the giving of written notice to Executive while the Disability exists, such termination to be effective upon Executive's receipt of such written notice of such termination. Upon Executive's death or in the event that Executive's employment is terminated due to Executive's Disability, Executive or Executive's estate or Executive's beneficiaries, as the case may be, shall be entitled to the Accrued Obligations. Following Executive's death or a termination of Executive's employment by reason of a Disability, except as set forth in this Section 5.3, Executive shall have no further rights to any compensation or any other benefits under this Agreement.</w:t>
      </w:r>
    </w:p>
    <w:p>
      <w:pPr>
        <w:spacing w:after="0" w:line="19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7"/>
          <w:szCs w:val="17"/>
          <w:u w:val="single" w:color="auto"/>
          <w:color w:val="auto"/>
        </w:rPr>
        <w:t>Termination by the Company for Cause.</w:t>
      </w:r>
    </w:p>
    <w:p>
      <w:pPr>
        <w:spacing w:after="0" w:line="214" w:lineRule="exact"/>
        <w:rPr>
          <w:sz w:val="20"/>
          <w:szCs w:val="20"/>
          <w:color w:val="auto"/>
        </w:rPr>
      </w:pPr>
    </w:p>
    <w:p>
      <w:pPr>
        <w:ind w:firstLine="2704"/>
        <w:spacing w:after="0" w:line="261" w:lineRule="auto"/>
        <w:tabs>
          <w:tab w:leader="none" w:pos="355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may terminate Executive's employment at any time for Cause, effective upon delivery to Executive of written notice of such termination; provided, however,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4" w:name="page45"/>
    <w:bookmarkEnd w:id="44"/>
    <w:p>
      <w:pPr>
        <w:ind w:right="20"/>
        <w:spacing w:after="0" w:line="261" w:lineRule="auto"/>
        <w:rPr>
          <w:sz w:val="20"/>
          <w:szCs w:val="20"/>
          <w:color w:val="auto"/>
        </w:rPr>
      </w:pPr>
      <w:r>
        <w:rPr>
          <w:rFonts w:ascii="Arial" w:cs="Arial" w:eastAsia="Arial" w:hAnsi="Arial"/>
          <w:sz w:val="19"/>
          <w:szCs w:val="19"/>
          <w:color w:val="auto"/>
        </w:rPr>
        <w:t>Executive's termination will be subject to any applicable cure period set forth in the definition of Cause and if applicable, will only be effective if Executive fails to cure the event or circumstance constituting "Cause" within such cure period, and</w:t>
      </w:r>
    </w:p>
    <w:p>
      <w:pPr>
        <w:spacing w:after="0" w:line="173" w:lineRule="exact"/>
        <w:rPr>
          <w:sz w:val="20"/>
          <w:szCs w:val="20"/>
          <w:color w:val="auto"/>
        </w:rPr>
      </w:pPr>
    </w:p>
    <w:p>
      <w:pPr>
        <w:jc w:val="both"/>
        <w:ind w:firstLine="2704"/>
        <w:spacing w:after="0" w:line="249" w:lineRule="auto"/>
        <w:tabs>
          <w:tab w:leader="none" w:pos="3564"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the event that the Company terminates Executive's employment for Cause, Executive shall be entitled only to the Accrued Obligations. Following such termination of Executive's employment for Cause, except as set forth in this Section 5.4(b), Executive shall have no further rights to any compensation or any other benefits under this Agreement.</w:t>
      </w:r>
    </w:p>
    <w:p>
      <w:pPr>
        <w:spacing w:after="0" w:line="184"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Executive's employment at any time without Cause, effective upon delivery to Executive of written notice of such termination. In the event that Executive's employment is terminated by the Company without Cause (other than due to death or Disability), Executive shall be entitled to:</w:t>
      </w:r>
    </w:p>
    <w:p>
      <w:pPr>
        <w:spacing w:after="0" w:line="184" w:lineRule="exact"/>
        <w:rPr>
          <w:sz w:val="20"/>
          <w:szCs w:val="20"/>
          <w:color w:val="auto"/>
        </w:rPr>
      </w:pPr>
    </w:p>
    <w:p>
      <w:pPr>
        <w:ind w:left="3560" w:hanging="856"/>
        <w:spacing w:after="0"/>
        <w:tabs>
          <w:tab w:leader="none" w:pos="35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Accrued Obligations;</w:t>
      </w:r>
    </w:p>
    <w:p>
      <w:pPr>
        <w:spacing w:after="0" w:line="213" w:lineRule="exact"/>
        <w:rPr>
          <w:rFonts w:ascii="Arial" w:cs="Arial" w:eastAsia="Arial" w:hAnsi="Arial"/>
          <w:sz w:val="19"/>
          <w:szCs w:val="19"/>
          <w:color w:val="auto"/>
        </w:rPr>
      </w:pPr>
    </w:p>
    <w:p>
      <w:pPr>
        <w:ind w:left="3400" w:hanging="696"/>
        <w:spacing w:after="0"/>
        <w:tabs>
          <w:tab w:leader="none" w:pos="3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unpaid Annual Bonus in respect of any completed fiscal year that has ended prior to the date of</w:t>
      </w:r>
    </w:p>
    <w:p>
      <w:pPr>
        <w:spacing w:after="0" w:line="3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such termination, which amount shall be paid at such time annual bonuses are paid to other senior executives of the Company, but in no event later than the date that is two and one-half months following the last day of the fiscal year in which such termination occurred;</w:t>
      </w:r>
    </w:p>
    <w:p>
      <w:pPr>
        <w:spacing w:after="0" w:line="166" w:lineRule="exact"/>
        <w:rPr>
          <w:sz w:val="20"/>
          <w:szCs w:val="20"/>
          <w:color w:val="auto"/>
        </w:rPr>
      </w:pPr>
    </w:p>
    <w:p>
      <w:pPr>
        <w:jc w:val="both"/>
        <w:ind w:firstLine="2704"/>
        <w:spacing w:after="0" w:line="242" w:lineRule="auto"/>
        <w:tabs>
          <w:tab w:leader="none" w:pos="3553"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Continued payment of Executive's Base Salary at the time of the Termination Date on the Company's usual payroll dates for the one year period commencing on the Termination Date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except that the first such payment shall not be made until the next administratively practicable payroll date after Executive has satisfied the requirement to provide a Release of Claims (as described in Section 5.9) and such Release of Claims has become effective and irrevocable (the "</w:t>
      </w:r>
      <w:r>
        <w:rPr>
          <w:rFonts w:ascii="Arial" w:cs="Arial" w:eastAsia="Arial" w:hAnsi="Arial"/>
          <w:sz w:val="19"/>
          <w:szCs w:val="19"/>
          <w:u w:val="single" w:color="auto"/>
          <w:color w:val="auto"/>
        </w:rPr>
        <w:t>Payment Date</w:t>
      </w:r>
      <w:r>
        <w:rPr>
          <w:rFonts w:ascii="Arial" w:cs="Arial" w:eastAsia="Arial" w:hAnsi="Arial"/>
          <w:sz w:val="19"/>
          <w:szCs w:val="19"/>
          <w:color w:val="auto"/>
        </w:rPr>
        <w:t>"), and such first payment shall be inclusive of all such payments that would have been made prior to the Payment Date but for the requirement to provide an effective and irrevocable Release of Claims; and</w:t>
      </w:r>
    </w:p>
    <w:p>
      <w:pPr>
        <w:spacing w:after="0" w:line="190" w:lineRule="exact"/>
        <w:rPr>
          <w:rFonts w:ascii="Arial" w:cs="Arial" w:eastAsia="Arial" w:hAnsi="Arial"/>
          <w:sz w:val="19"/>
          <w:szCs w:val="19"/>
          <w:color w:val="auto"/>
        </w:rPr>
      </w:pPr>
    </w:p>
    <w:p>
      <w:pPr>
        <w:jc w:val="both"/>
        <w:ind w:firstLine="2704"/>
        <w:spacing w:after="0" w:line="269" w:lineRule="auto"/>
        <w:tabs>
          <w:tab w:leader="none" w:pos="35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Executive timely and properly elects continuation coverage under the Consolidated Omnibus Reconciliation Act of 1985 ("</w:t>
      </w:r>
      <w:r>
        <w:rPr>
          <w:rFonts w:ascii="Arial" w:cs="Arial" w:eastAsia="Arial" w:hAnsi="Arial"/>
          <w:sz w:val="17"/>
          <w:szCs w:val="17"/>
          <w:u w:val="single" w:color="auto"/>
          <w:color w:val="auto"/>
        </w:rPr>
        <w:t>COBRA</w:t>
      </w:r>
      <w:r>
        <w:rPr>
          <w:rFonts w:ascii="Arial" w:cs="Arial" w:eastAsia="Arial" w:hAnsi="Arial"/>
          <w:sz w:val="17"/>
          <w:szCs w:val="17"/>
          <w:color w:val="auto"/>
        </w:rPr>
        <w:t>"), the Company shall reimburse Executive for the monthly COBRA premium paid by Executive for himself and his dependents for a period of twelve months (the "</w:t>
      </w:r>
      <w:r>
        <w:rPr>
          <w:rFonts w:ascii="Arial" w:cs="Arial" w:eastAsia="Arial" w:hAnsi="Arial"/>
          <w:sz w:val="17"/>
          <w:szCs w:val="17"/>
          <w:u w:val="single" w:color="auto"/>
          <w:color w:val="auto"/>
        </w:rPr>
        <w:t>Benefits Reimbursement Period</w:t>
      </w:r>
      <w:r>
        <w:rPr>
          <w:rFonts w:ascii="Arial" w:cs="Arial" w:eastAsia="Arial" w:hAnsi="Arial"/>
          <w:sz w:val="17"/>
          <w:szCs w:val="17"/>
          <w:color w:val="auto"/>
        </w:rPr>
        <w:t>"). Any such reimbursement for the period prior to the Payment Date shall be paid to Executive in a lump sum on the Payment Date and any reimbursement for any month (or portion thereof) on and after the Payment Date shall be paid to Executive on the tenth day of the month immediately following the month in which Executive timely remits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premium payment. Notwithstanding the foregoing, if the Company's making payments under this Section 5.5(d) would violate the nondiscrimination rules applicable to non-grandfathered group health plans, or result in the imposition of penalties under the Patient Protection and Affordable Care Act of 2010 and the related regulations and guidance promulgated thereunder ("</w:t>
      </w:r>
      <w:r>
        <w:rPr>
          <w:rFonts w:ascii="Arial" w:cs="Arial" w:eastAsia="Arial" w:hAnsi="Arial"/>
          <w:sz w:val="19"/>
          <w:szCs w:val="19"/>
          <w:u w:val="single" w:color="auto"/>
          <w:color w:val="auto"/>
        </w:rPr>
        <w:t>PPACA</w:t>
      </w:r>
      <w:r>
        <w:rPr>
          <w:rFonts w:ascii="Arial" w:cs="Arial" w:eastAsia="Arial" w:hAnsi="Arial"/>
          <w:sz w:val="19"/>
          <w:szCs w:val="19"/>
          <w:color w:val="auto"/>
        </w:rPr>
        <w:t>"), the parties agree to reform this Section 5.5(d) in a manner as is necessary to comply with PPACA.</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Notwithstanding the foregoing, the payments and benefits described in clauses (b), (c), and (d) above shall immediately terminate, and the Company shall have no further obligations to Executive with respect thereto, in the event that Executive breaches Section 9 of this Agreement. Following such termination of Executive's employment by the Company without Cause, except as set forth in this Section 5.5, Executive shall have no further rights to any compensation or any other benefits under this Agreement. For the avoidance of doubt, Executive's sole and exclusive remedy upon a termination of employment by the Company without Cause shall be receipt of the Severance Benefits (as defined in Section 5.9,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1797"/>
        <w:spacing w:after="0" w:line="241"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Termination by Executive with Good Reason</w:t>
      </w:r>
      <w:r>
        <w:rPr>
          <w:rFonts w:ascii="Arial" w:cs="Arial" w:eastAsia="Arial" w:hAnsi="Arial"/>
          <w:sz w:val="19"/>
          <w:szCs w:val="19"/>
          <w:color w:val="auto"/>
        </w:rPr>
        <w:t>. Executive may terminate Executive's employment with Good Reason in accordance with the time periods and cure periods set forth in the definition of Good Reason. Executive shall be entitled to the same payments and benefits as provided in Section 5.5 hereof for a termination by the Company without Cause, subject to the same conditions on payment and benefits as described in Section 5.5 hereof. Following such termination of Executive's employment by Executive with Good Reason, except as set forth in this Section 5.6, Executive shall have no further rights to any compensation or any other benefits under this Agreement. For the avoidance of doubt, Executive's sole and exclusive remedy upon a termination of employment with Good Reason shall be receipt of the Severance Benefits (as defined in Section 5.9, below).</w:t>
      </w:r>
    </w:p>
    <w:p>
      <w:pPr>
        <w:spacing w:after="0" w:line="192" w:lineRule="exact"/>
        <w:rPr>
          <w:sz w:val="20"/>
          <w:szCs w:val="20"/>
          <w:color w:val="auto"/>
        </w:rPr>
      </w:pPr>
    </w:p>
    <w:p>
      <w:pPr>
        <w:jc w:val="both"/>
        <w:ind w:firstLine="1797"/>
        <w:spacing w:after="0" w:line="241"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Termination by Executive without Good Reason</w:t>
      </w:r>
      <w:r>
        <w:rPr>
          <w:rFonts w:ascii="Arial" w:cs="Arial" w:eastAsia="Arial" w:hAnsi="Arial"/>
          <w:sz w:val="19"/>
          <w:szCs w:val="19"/>
          <w:color w:val="auto"/>
        </w:rPr>
        <w:t>. Executive may terminate Executive's employment without Good Reason by providing the Company ninety (90) days' prior written notice of such termination. In the event of a termination of employment by Executive under this Section 5.7, Executive shall be entitled only to the Accrued Obligations. In the event of termination of Executive's employment under this Section 5.7,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5.7, Executive shall have no further rights to any compensation or any other benefits under this Agreement.</w:t>
      </w:r>
    </w:p>
    <w:p>
      <w:pPr>
        <w:spacing w:after="0" w:line="192" w:lineRule="exact"/>
        <w:rPr>
          <w:sz w:val="20"/>
          <w:szCs w:val="20"/>
          <w:color w:val="auto"/>
        </w:rPr>
      </w:pPr>
    </w:p>
    <w:p>
      <w:pPr>
        <w:ind w:left="1800"/>
        <w:spacing w:after="0"/>
        <w:tabs>
          <w:tab w:leader="none" w:pos="272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Termination of Employment in Connecting With a Change in Control</w:t>
      </w:r>
      <w:r>
        <w:rPr>
          <w:rFonts w:ascii="Arial" w:cs="Arial" w:eastAsia="Arial" w:hAnsi="Arial"/>
          <w:sz w:val="17"/>
          <w:szCs w:val="17"/>
          <w:color w:val="auto"/>
        </w:rPr>
        <w:t>. Notwithstanding the terms set forth in</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Section 5.5 and 5.6, if Executive's employment with the Company is terminated pursuant to Section 5.5 or Section 5.6 hereof (i) within 90 days prior to the effective time of a Change in Control or (ii) from the effective time of a Change in Control until the date that is one year after the occurrence of a Change in Control, subject to the same conditions on payment and benefits set forth in Section 5.5, Executive shall be entitled to the payments and benefits provided in Sections 5.5(a), (b), (c) and (d) hereof, except that the Severance Period shall be eighteen (18) months and the Benefits Reimbursement Period shall be eighteen (18) months.</w:t>
      </w:r>
    </w:p>
    <w:p>
      <w:pPr>
        <w:spacing w:after="0" w:line="192" w:lineRule="exact"/>
        <w:rPr>
          <w:sz w:val="20"/>
          <w:szCs w:val="20"/>
          <w:color w:val="auto"/>
        </w:rPr>
      </w:pPr>
    </w:p>
    <w:p>
      <w:pPr>
        <w:jc w:val="both"/>
        <w:ind w:firstLine="1797"/>
        <w:spacing w:after="0" w:line="26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Notwithstanding any provision herein to the contrary, the payment of any amount or provision of any benefit pursuant to Section 5.5, Section 5.6 or 5.8 (other than the Accrued Obligations) (collectively,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shall be conditioned upon Executive's execution, delivery to the Company, and non-revocation of the Release of Claims (and the expiration of any revocation period contained in such Release of Claims) within sixty (60) days following the date of Executive's termination of employment hereunder. If Executive fails to execute the Release of Claims in such a timely manner so as to permit any revocation period to expire prior to the end of such sixty (60) day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 or timely revokes Executive's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(60th) day following the date of Executive's termination of employment hereunder, but for the condition on executing the Release of Claims as set forth herein, shall not be made until the first regularly scheduled payroll date following such sixtieth (60th) day, and any remaining Severance Benefits thereafter due shall be provided to Executive according to the applicable schedule set forth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00" w:type="dxa"/>
            <w:vAlign w:val="bottom"/>
          </w:tcPr>
          <w:p>
            <w:pPr>
              <w:jc w:val="right"/>
              <w:ind w:right="66"/>
              <w:spacing w:after="0"/>
              <w:rPr>
                <w:sz w:val="20"/>
                <w:szCs w:val="20"/>
                <w:color w:val="auto"/>
              </w:rPr>
            </w:pPr>
            <w:r>
              <w:rPr>
                <w:rFonts w:ascii="Arial" w:cs="Arial" w:eastAsia="Arial" w:hAnsi="Arial"/>
                <w:sz w:val="19"/>
                <w:szCs w:val="19"/>
                <w:color w:val="auto"/>
              </w:rPr>
              <w:t>6.</w:t>
            </w:r>
          </w:p>
        </w:tc>
        <w:tc>
          <w:tcPr>
            <w:tcW w:w="500" w:type="dxa"/>
            <w:vAlign w:val="bottom"/>
          </w:tcPr>
          <w:p>
            <w:pPr>
              <w:spacing w:after="0"/>
              <w:rPr>
                <w:sz w:val="19"/>
                <w:szCs w:val="19"/>
                <w:color w:val="auto"/>
              </w:rPr>
            </w:pPr>
          </w:p>
        </w:tc>
        <w:tc>
          <w:tcPr>
            <w:tcW w:w="7020" w:type="dxa"/>
            <w:vAlign w:val="bottom"/>
            <w:gridSpan w:val="5"/>
          </w:tcPr>
          <w:p>
            <w:pPr>
              <w:spacing w:after="0"/>
              <w:rPr>
                <w:sz w:val="20"/>
                <w:szCs w:val="20"/>
                <w:color w:val="auto"/>
              </w:rPr>
            </w:pPr>
            <w:r>
              <w:rPr>
                <w:rFonts w:ascii="Arial" w:cs="Arial" w:eastAsia="Arial" w:hAnsi="Arial"/>
                <w:sz w:val="19"/>
                <w:szCs w:val="19"/>
                <w:color w:val="auto"/>
                <w:w w:val="94"/>
              </w:rPr>
              <w:t>Section 280G. Notwithstanding anything to the contrary in this Agreement, this Section 6</w:t>
            </w:r>
          </w:p>
        </w:tc>
        <w:tc>
          <w:tcPr>
            <w:tcW w:w="2520" w:type="dxa"/>
            <w:vAlign w:val="bottom"/>
            <w:gridSpan w:val="2"/>
          </w:tcPr>
          <w:p>
            <w:pPr>
              <w:jc w:val="right"/>
              <w:spacing w:after="0"/>
              <w:rPr>
                <w:sz w:val="20"/>
                <w:szCs w:val="20"/>
                <w:color w:val="auto"/>
              </w:rPr>
            </w:pPr>
            <w:r>
              <w:rPr>
                <w:rFonts w:ascii="Arial" w:cs="Arial" w:eastAsia="Arial" w:hAnsi="Arial"/>
                <w:sz w:val="19"/>
                <w:szCs w:val="19"/>
                <w:color w:val="auto"/>
                <w:w w:val="99"/>
              </w:rPr>
              <w:t>shall apply in the event of (i) a</w:t>
            </w:r>
          </w:p>
        </w:tc>
        <w:tc>
          <w:tcPr>
            <w:tcW w:w="0" w:type="dxa"/>
            <w:vAlign w:val="bottom"/>
          </w:tcPr>
          <w:p>
            <w:pPr>
              <w:spacing w:after="0"/>
              <w:rPr>
                <w:sz w:val="1"/>
                <w:szCs w:val="1"/>
                <w:color w:val="auto"/>
              </w:rPr>
            </w:pPr>
          </w:p>
        </w:tc>
      </w:tr>
      <w:tr>
        <w:trPr>
          <w:trHeight w:val="20"/>
        </w:trPr>
        <w:tc>
          <w:tcPr>
            <w:tcW w:w="170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560" w:type="dxa"/>
            <w:vAlign w:val="bottom"/>
            <w:gridSpan w:val="4"/>
            <w:vMerge w:val="restart"/>
          </w:tcPr>
          <w:p>
            <w:pPr>
              <w:jc w:val="right"/>
              <w:spacing w:after="0"/>
              <w:rPr>
                <w:sz w:val="20"/>
                <w:szCs w:val="20"/>
                <w:color w:val="auto"/>
              </w:rPr>
            </w:pPr>
            <w:r>
              <w:rPr>
                <w:rFonts w:ascii="Arial" w:cs="Arial" w:eastAsia="Arial" w:hAnsi="Arial"/>
                <w:sz w:val="19"/>
                <w:szCs w:val="19"/>
                <w:color w:val="auto"/>
                <w:w w:val="95"/>
              </w:rPr>
              <w:t>"change in the ownership of a substantial portion of the assets" of the</w:t>
            </w:r>
          </w:p>
        </w:tc>
        <w:tc>
          <w:tcPr>
            <w:tcW w:w="0" w:type="dxa"/>
            <w:vAlign w:val="bottom"/>
          </w:tcPr>
          <w:p>
            <w:pPr>
              <w:spacing w:after="0" w:line="20" w:lineRule="exact"/>
              <w:rPr>
                <w:sz w:val="1"/>
                <w:szCs w:val="1"/>
                <w:color w:val="auto"/>
              </w:rPr>
            </w:pPr>
          </w:p>
        </w:tc>
      </w:tr>
      <w:tr>
        <w:trPr>
          <w:trHeight w:val="214"/>
        </w:trPr>
        <w:tc>
          <w:tcPr>
            <w:tcW w:w="5680" w:type="dxa"/>
            <w:vAlign w:val="bottom"/>
            <w:gridSpan w:val="5"/>
          </w:tcPr>
          <w:p>
            <w:pPr>
              <w:spacing w:after="0" w:line="214" w:lineRule="exact"/>
              <w:rPr>
                <w:sz w:val="20"/>
                <w:szCs w:val="20"/>
                <w:color w:val="auto"/>
              </w:rPr>
            </w:pPr>
            <w:r>
              <w:rPr>
                <w:rFonts w:ascii="Arial" w:cs="Arial" w:eastAsia="Arial" w:hAnsi="Arial"/>
                <w:sz w:val="19"/>
                <w:szCs w:val="19"/>
                <w:color w:val="auto"/>
                <w:w w:val="96"/>
              </w:rPr>
              <w:t>"change in the ownership or effective control" of the Company or (ii) a</w:t>
            </w:r>
          </w:p>
        </w:tc>
        <w:tc>
          <w:tcPr>
            <w:tcW w:w="5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gridSpan w:val="4"/>
          </w:tcPr>
          <w:p>
            <w:pPr>
              <w:spacing w:after="0" w:line="198" w:lineRule="exact"/>
              <w:rPr>
                <w:sz w:val="20"/>
                <w:szCs w:val="20"/>
                <w:color w:val="auto"/>
              </w:rPr>
            </w:pPr>
            <w:r>
              <w:rPr>
                <w:rFonts w:ascii="Arial" w:cs="Arial" w:eastAsia="Arial" w:hAnsi="Arial"/>
                <w:sz w:val="19"/>
                <w:szCs w:val="19"/>
                <w:color w:val="auto"/>
              </w:rPr>
              <w:t>Company, each within the meaning</w:t>
            </w:r>
          </w:p>
        </w:tc>
        <w:tc>
          <w:tcPr>
            <w:tcW w:w="7920" w:type="dxa"/>
            <w:vAlign w:val="bottom"/>
            <w:gridSpan w:val="5"/>
          </w:tcPr>
          <w:p>
            <w:pPr>
              <w:jc w:val="right"/>
              <w:ind w:right="20"/>
              <w:spacing w:after="0" w:line="198" w:lineRule="exact"/>
              <w:rPr>
                <w:sz w:val="20"/>
                <w:szCs w:val="20"/>
                <w:color w:val="auto"/>
              </w:rPr>
            </w:pPr>
            <w:r>
              <w:rPr>
                <w:rFonts w:ascii="Arial" w:cs="Arial" w:eastAsia="Arial" w:hAnsi="Arial"/>
                <w:sz w:val="19"/>
                <w:szCs w:val="19"/>
                <w:color w:val="auto"/>
              </w:rPr>
              <w:t>of Section 280G of the Code (collectively, an "Excise Tax Event"). If an Excise Tax Event is</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9"/>
                <w:szCs w:val="19"/>
                <w:color w:val="auto"/>
                <w:w w:val="94"/>
              </w:rPr>
              <w:t>consummated,</w:t>
            </w:r>
          </w:p>
        </w:tc>
        <w:tc>
          <w:tcPr>
            <w:tcW w:w="6400" w:type="dxa"/>
            <w:vAlign w:val="bottom"/>
            <w:gridSpan w:val="5"/>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0" w:type="dxa"/>
            <w:vAlign w:val="bottom"/>
            <w:vMerge w:val="continue"/>
          </w:tcPr>
          <w:p>
            <w:pPr>
              <w:spacing w:after="0"/>
              <w:rPr>
                <w:sz w:val="20"/>
                <w:szCs w:val="20"/>
                <w:color w:val="auto"/>
              </w:rPr>
            </w:pPr>
          </w:p>
        </w:tc>
        <w:tc>
          <w:tcPr>
            <w:tcW w:w="10040" w:type="dxa"/>
            <w:vAlign w:val="bottom"/>
            <w:gridSpan w:val="8"/>
          </w:tcPr>
          <w:p>
            <w:pPr>
              <w:jc w:val="right"/>
              <w:spacing w:after="0"/>
              <w:rPr>
                <w:sz w:val="20"/>
                <w:szCs w:val="20"/>
                <w:color w:val="auto"/>
              </w:rPr>
            </w:pPr>
            <w:r>
              <w:rPr>
                <w:rFonts w:ascii="Arial" w:cs="Arial" w:eastAsia="Arial" w:hAnsi="Arial"/>
                <w:sz w:val="19"/>
                <w:szCs w:val="19"/>
                <w:color w:val="auto"/>
                <w:w w:val="92"/>
              </w:rPr>
              <w:t>and as a result any payments and benefits provided for in this Agreement, together with any other payments   and benefits which</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9"/>
          <w:szCs w:val="19"/>
          <w:color w:val="auto"/>
        </w:rPr>
        <w:t>Executive has the right to receive from the Company or any of its affiliates, would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spacing w:after="0" w:line="268" w:lineRule="auto"/>
        <w:rPr>
          <w:sz w:val="20"/>
          <w:szCs w:val="20"/>
          <w:color w:val="auto"/>
        </w:rPr>
      </w:pPr>
      <w:r>
        <w:rPr>
          <w:rFonts w:ascii="Arial" w:cs="Arial" w:eastAsia="Arial" w:hAnsi="Arial"/>
          <w:sz w:val="17"/>
          <w:szCs w:val="17"/>
          <w:color w:val="auto"/>
        </w:rPr>
        <w:t>constitute a "parachute payment" (as defined in Section 280G(b)(2) of the Code), then the payments and benefits provided for in this Agreement shall be either (a) reduced (but not below zero) so that the present value of such total amounts and benefits received by Executive from the Company and its affiliates will be one dollar ($1.00) less than three times Executive's "base amount" (as defined in Section 280G(b)(3) of the Code) and so that no portion of such amounts and benefits received by Executive shall be subject to the excise tax imposed by Section 4999 of the Code, or any interest or penalties with respect to such excise tax (such excise tax, together with any such interest or penalties, are hereinafter collectively referred to as the "</w:t>
      </w:r>
      <w:r>
        <w:rPr>
          <w:rFonts w:ascii="Arial" w:cs="Arial" w:eastAsia="Arial" w:hAnsi="Arial"/>
          <w:sz w:val="17"/>
          <w:szCs w:val="17"/>
          <w:u w:val="single" w:color="auto"/>
          <w:color w:val="auto"/>
        </w:rPr>
        <w:t>Excise Tax</w:t>
      </w:r>
      <w:r>
        <w:rPr>
          <w:rFonts w:ascii="Arial" w:cs="Arial" w:eastAsia="Arial" w:hAnsi="Arial"/>
          <w:sz w:val="17"/>
          <w:szCs w:val="17"/>
          <w:color w:val="auto"/>
        </w:rPr>
        <w:t>"), or (b) paid in full, whichever produces the better net after-tax position to Executive (taking into account any applicable Excise Tax and any other applicable taxes). The reduction of payments and benefits hereunder, if applicable, shall be made in the following order: (1) by reducing the amounts of any payments or benefits that would not constitute deferred compensation under Section 409A, to the extent necessary to decrease the payments subject to the Excise Tax, as agreed by the Company and Executive; (2) next, by reducing, payments or benefits to be paid in cash hereunder and that constitute deferred compensation under Section 409A in the order in which such payment or benefit would be paid or provided (beginning with such payment or benefit that would be made last in time and continuing, to the extent necessary, through to such payment or benefit that would be made first in time); and (3) finally, by reducing any non-cash or in-kind benefit to be provided hereunder and that constitute deferred compensation under Section 409A in a similar order to that described in clause (2).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 Nothing in this Section 6 shall require the Company to be responsible for, or have any liability or obligation with respect to, Executive's Excise Tax liabilities.</w:t>
      </w:r>
    </w:p>
    <w:p>
      <w:pPr>
        <w:spacing w:after="0" w:line="391" w:lineRule="exact"/>
        <w:rPr>
          <w:sz w:val="20"/>
          <w:szCs w:val="20"/>
          <w:color w:val="auto"/>
        </w:rPr>
      </w:pPr>
    </w:p>
    <w:p>
      <w:pPr>
        <w:ind w:left="1700" w:hanging="794"/>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parties agree that certain matters in which Executive will be involved during the Employment Term may</w:t>
      </w:r>
    </w:p>
    <w:p>
      <w:pPr>
        <w:spacing w:after="0" w:line="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necessitate Executive's cooperation in the future. Accordingly, following the termination of Executive's employment for any reason, to the extent reasonably requested by the Board, Executive shall cooperate with the Company in connection with matters arising out of Executive's service to the Company; provided that, the Company shall make reasonable efforts to minimize disruption of Executive's other activities. The Company shall reimburse Executive for reasonable expenses incurred in connection with such cooperation and, to the extent that Executive is required to spend substantial time on such matters, the Company shall compensate Executive at an hourly rate based on Executive's Base Salary on the Termination Date, unless such time is as a witness in a legal proceeding, in which case the Company will only pay costs and expenses as permitted by law.</w:t>
      </w:r>
    </w:p>
    <w:p>
      <w:pPr>
        <w:spacing w:after="0" w:line="167" w:lineRule="exact"/>
        <w:rPr>
          <w:sz w:val="20"/>
          <w:szCs w:val="20"/>
          <w:color w:val="auto"/>
        </w:rPr>
      </w:pPr>
    </w:p>
    <w:p>
      <w:pPr>
        <w:jc w:val="both"/>
        <w:ind w:firstLine="906"/>
        <w:spacing w:after="0" w:line="269" w:lineRule="auto"/>
        <w:tabs>
          <w:tab w:leader="none" w:pos="168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recognizes that the nature of Executive's services are such that Executive will have access to information that constitutes trade secrets, is of a confidential nature, is of great value to the Company Group or is the foundation on which the business of the Company is predicated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Executive agrees, during his employment and thereafter, not to disclose to any person other than the Company Group's employees or the Company Group's legal counsel or other parties authorized by the Company Group to receive confidential information nor use for any purpose, other than the performance of this Agreement, any Confidential Information. Confidential</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Information includes data or material (regardless of form) which is: (a) a trade secret; (b) provided, disclosed or delivered to Executive by the Company, any officer, director, employee, agent, attorney, accountant, consultant or other person or entity employee by the Company in any capacity, any customer, borrower or business associate of the Company Group or any public authority having jurisdiction over the Company Group of any business activity conducted by the Company Group; or (c) produced, developed, obtained or prepared by or on behalf of Executive or the Company Group (whether or not such information was developed in the performance of this Agreement) with respect to the Company Group or any assets,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17"/>
          <w:szCs w:val="17"/>
          <w:color w:val="auto"/>
        </w:rPr>
        <w:t>business activities, officers, directors, employees, borrowers or customers of the foregoing. However, Confidential Information will not include any information, data or material which at the time of disclosure or use was generally available to the public other than by a breach of this Agreement, was available to the party to whom disclosed on a non-confidential basis by disclosure or access provided by the Company Group or a third party, or was otherwise developed or obtained independently by the person to whom disclosed without a breach of this Agreement. The foregoing notwithstanding, nothing in this Agreement prohibits Executive from reporting possible violations of federal law or regulation to any governmental agency or entity, including but not limited to the Department of Justice, the Securities and Exchange Commission, Congress, and any agency Inspector General, or making other disclosures that are protected under the whistleblower provisions of federal law or regulation. On request by the Company, the Company will be entitled to a copy of any Confidential Information in the possession of Executive. The provisions of this Section 8 will survive the termination, expiration or cancellation of Executive's employment. Executive will deliver to the Company all originals and copies of the documents or materials containing Confidential Information. Executive further agrees that if Executive executes additional Company policies or agreements to protect the Confidential Information, this Agreement shall be read in conjunction with any such policies or Agreements to provide the broadest and greatest protection to the Confidential Information.</w:t>
      </w:r>
    </w:p>
    <w:p>
      <w:pPr>
        <w:spacing w:after="0" w:line="169" w:lineRule="exact"/>
        <w:rPr>
          <w:sz w:val="20"/>
          <w:szCs w:val="20"/>
          <w:color w:val="auto"/>
        </w:rPr>
      </w:pPr>
    </w:p>
    <w:p>
      <w:pPr>
        <w:ind w:left="1700" w:hanging="794"/>
        <w:spacing w:after="0"/>
        <w:tabs>
          <w:tab w:leader="none" w:pos="1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Protective Covenants.</w:t>
      </w:r>
    </w:p>
    <w:p>
      <w:pPr>
        <w:spacing w:after="0" w:line="214" w:lineRule="exact"/>
        <w:rPr>
          <w:sz w:val="20"/>
          <w:szCs w:val="20"/>
          <w:color w:val="auto"/>
        </w:rPr>
      </w:pPr>
    </w:p>
    <w:p>
      <w:pPr>
        <w:jc w:val="both"/>
        <w:ind w:firstLine="1797"/>
        <w:spacing w:after="0" w:line="24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Acknowledgment</w:t>
      </w:r>
      <w:r>
        <w:rPr>
          <w:rFonts w:ascii="Arial" w:cs="Arial" w:eastAsia="Arial" w:hAnsi="Arial"/>
          <w:sz w:val="19"/>
          <w:szCs w:val="19"/>
          <w:color w:val="auto"/>
        </w:rPr>
        <w:t>. Executive understands that the nature of Executive's position gives him access to and knowledge of Confidential Information and places him in a position of trust and confidence with the Company Group. Executive understands and acknowledges that the intellectual services he provides to the Company Group are unique, special, and extraordinary. Executive further understands and acknowledges that the Company Group's ability to reserve these for the exclusive knowledge and use of the Company Group is of great competitive importance and commercial value to the Company Group, and that improper use or disclosure by Executive is likely to result in unfair or unlawful competitive activity.</w:t>
      </w:r>
    </w:p>
    <w:p>
      <w:pPr>
        <w:spacing w:after="0" w:line="190" w:lineRule="exact"/>
        <w:rPr>
          <w:sz w:val="20"/>
          <w:szCs w:val="20"/>
          <w:color w:val="auto"/>
        </w:rPr>
      </w:pPr>
    </w:p>
    <w:p>
      <w:pPr>
        <w:jc w:val="both"/>
        <w:ind w:firstLine="1797"/>
        <w:spacing w:after="0" w:line="24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Non-Competition</w:t>
      </w:r>
      <w:r>
        <w:rPr>
          <w:rFonts w:ascii="Arial" w:cs="Arial" w:eastAsia="Arial" w:hAnsi="Arial"/>
          <w:sz w:val="19"/>
          <w:szCs w:val="19"/>
          <w:color w:val="auto"/>
        </w:rPr>
        <w:t>. Executive covenants and agrees that, during his employment with the Company, Executive will not directly or indirectly, engage in any business (as an owner, joint venturer, partner, stockholder, director, officer, consultant, agent or otherwise, other than as the owner of less than 1% of the outstanding class of a publicly traded security) which competes with the business in which the Company is presently engaged or may be engaged at any time during the Employment Term. Nothing in this Section 9.2 shall be construed as limiting Executive's duty of loyalty to the Company while he is employed by the Company, or any other duty he may otherwise have to the Company while he is employed by the Company.</w:t>
      </w:r>
    </w:p>
    <w:p>
      <w:pPr>
        <w:spacing w:after="0" w:line="190" w:lineRule="exact"/>
        <w:rPr>
          <w:sz w:val="20"/>
          <w:szCs w:val="20"/>
          <w:color w:val="auto"/>
        </w:rPr>
      </w:pPr>
    </w:p>
    <w:p>
      <w:pPr>
        <w:jc w:val="both"/>
        <w:ind w:firstLine="1797"/>
        <w:spacing w:after="0"/>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Executive covenants and agrees that during his employment with the Company and for a period of one (1) years after the Termination Date, irrespective of the reason for the termination (the "</w:t>
      </w:r>
      <w:r>
        <w:rPr>
          <w:rFonts w:ascii="Arial" w:cs="Arial" w:eastAsia="Arial" w:hAnsi="Arial"/>
          <w:sz w:val="19"/>
          <w:szCs w:val="19"/>
          <w:i w:val="1"/>
          <w:iCs w:val="1"/>
          <w:color w:val="auto"/>
        </w:rPr>
        <w:t>Restricted Period</w:t>
      </w:r>
      <w:r>
        <w:rPr>
          <w:rFonts w:ascii="Arial" w:cs="Arial" w:eastAsia="Arial" w:hAnsi="Arial"/>
          <w:sz w:val="19"/>
          <w:szCs w:val="19"/>
          <w:color w:val="auto"/>
        </w:rPr>
        <w:t>") Restricted Period, Executive shall not, individually or jointly with others, directly or indirectly, recruit, hire, encourage, or attempt to recruit or hire, or by assisting others, any employees, contractors, or other service provider of the Company Group with whom Executive worked, had business contact, or about whom Executive gained non-public or Confidential Information (hereinafter, "</w:t>
      </w:r>
      <w:r>
        <w:rPr>
          <w:rFonts w:ascii="Arial" w:cs="Arial" w:eastAsia="Arial" w:hAnsi="Arial"/>
          <w:sz w:val="19"/>
          <w:szCs w:val="19"/>
          <w:i w:val="1"/>
          <w:iCs w:val="1"/>
          <w:color w:val="auto"/>
        </w:rPr>
        <w:t>Company Group's employees or former employees</w:t>
      </w:r>
      <w:r>
        <w:rPr>
          <w:rFonts w:ascii="Arial" w:cs="Arial" w:eastAsia="Arial" w:hAnsi="Arial"/>
          <w:sz w:val="19"/>
          <w:szCs w:val="19"/>
          <w:color w:val="auto"/>
        </w:rPr>
        <w:t>"), nor shall Executive contact or communicate with same, other than on behalf or the Company Group, for the purpose of inducing, assisting, encouraging and/or facilitating the Company Group's employees to terminate their employment with the Company Group or find employment or work with another person or entity.</w:t>
      </w:r>
    </w:p>
    <w:p>
      <w:pPr>
        <w:spacing w:after="0" w:line="196"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Additionally, Executive shall not provide or pass along to any person or entity the name, contact and/or background information about any of the Company Group's employees or provide references or any other information about them. Additionally, Executive shall not provide or pass along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ind w:right="100"/>
        <w:spacing w:after="0" w:line="260" w:lineRule="auto"/>
        <w:rPr>
          <w:sz w:val="20"/>
          <w:szCs w:val="20"/>
          <w:color w:val="auto"/>
        </w:rPr>
      </w:pPr>
      <w:r>
        <w:rPr>
          <w:rFonts w:ascii="Arial" w:cs="Arial" w:eastAsia="Arial" w:hAnsi="Arial"/>
          <w:sz w:val="18"/>
          <w:szCs w:val="18"/>
          <w:color w:val="auto"/>
        </w:rPr>
        <w:t>Company Group's employees any information regarding potential jobs or entities or persons to work for, including but not limited to, job openings, job postings, or the names or contact information of individuals or companies hiring people or accepting job applications. Further, Executive shall not offer employment to or work to any employees of the Company Group's employees or former employees. For purposes of this covenant "Company Group's employees or former employees" shall refer to employees of the Company Group Executive supervised, was supervised by, or otherwise worked with in any capacity during the twelve (12) month period prior to the Termination Date.</w:t>
      </w:r>
    </w:p>
    <w:p>
      <w:pPr>
        <w:spacing w:after="0" w:line="323" w:lineRule="exact"/>
        <w:rPr>
          <w:sz w:val="20"/>
          <w:szCs w:val="20"/>
          <w:color w:val="auto"/>
        </w:rPr>
      </w:pPr>
    </w:p>
    <w:p>
      <w:pPr>
        <w:jc w:val="both"/>
        <w:ind w:firstLine="1797"/>
        <w:spacing w:after="0" w:line="243"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Reasonableness.</w:t>
      </w:r>
      <w:r>
        <w:rPr>
          <w:rFonts w:ascii="Arial" w:cs="Arial" w:eastAsia="Arial" w:hAnsi="Arial"/>
          <w:sz w:val="19"/>
          <w:szCs w:val="19"/>
          <w:color w:val="auto"/>
        </w:rPr>
        <w:t xml:space="preserve"> The Company and Executive have attempted to specify a reasonable period of time and reasonable restrictions to which the provisions of this Section 9 shall apply. The Company and Executive agree, however, that if a court or agency of competent jurisdiction determines that any of the terms of this Section 9 are not enforceable because they are overbroad or for any other reason, the provisions of this Section 9 shall be reformed and modified to reflect restrictions that are determined to be reasonable by such court or agency of competent jurisdiction.</w:t>
      </w:r>
    </w:p>
    <w:p>
      <w:pPr>
        <w:spacing w:after="0" w:line="190" w:lineRule="exact"/>
        <w:rPr>
          <w:sz w:val="20"/>
          <w:szCs w:val="20"/>
          <w:color w:val="auto"/>
        </w:rPr>
      </w:pPr>
    </w:p>
    <w:p>
      <w:pPr>
        <w:jc w:val="both"/>
        <w:ind w:firstLine="906"/>
        <w:spacing w:after="0" w:line="269" w:lineRule="auto"/>
        <w:tabs>
          <w:tab w:leader="none" w:pos="178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and covenants that he will not at any time make, publish or communicate to any person or entity or in any public forum any defamatory or disparaging remarks, comments or statements concerning the Company Group or its businesses, or any of its employees, officers, and existing and prospective customers, suppliers, investors and other associated third parties. This Section 10 does not, in any way, restrict or impede Executive from exercising protected rights to the extent that such rights cannot be waived by agreement or from complying with any applicable law or regulation or a valid order of a court of competent jurisdiction or an authorized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government agency, provided that such compliance does not exceed that required by the law, regulation or order. Executive shall promptly provide written notice of any such order to the Company's General Counsel.</w:t>
      </w:r>
    </w:p>
    <w:p>
      <w:pPr>
        <w:spacing w:after="0" w:line="190" w:lineRule="exact"/>
        <w:rPr>
          <w:sz w:val="20"/>
          <w:szCs w:val="20"/>
          <w:color w:val="auto"/>
        </w:rPr>
      </w:pPr>
    </w:p>
    <w:p>
      <w:pPr>
        <w:jc w:val="both"/>
        <w:ind w:firstLine="906"/>
        <w:spacing w:after="0" w:line="263" w:lineRule="auto"/>
        <w:tabs>
          <w:tab w:leader="none" w:pos="177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Executive acknowledges and agrees that the services to be rendered by him to the Company are of a special and unique character; that Executive will obtain knowledge and skill relevant to the Company's industry, methods of doing business and marketing strategies by virtue of Executive's employment; and that the protective covenants and other terms and conditions of this Agreement are reasonable and reasonably necessary to protect the legitimate business interest of the Company Group.</w:t>
      </w:r>
    </w:p>
    <w:p>
      <w:pPr>
        <w:spacing w:after="0" w:line="172" w:lineRule="exact"/>
        <w:rPr>
          <w:rFonts w:ascii="Arial" w:cs="Arial" w:eastAsia="Arial" w:hAnsi="Arial"/>
          <w:sz w:val="18"/>
          <w:szCs w:val="18"/>
          <w:color w:val="auto"/>
        </w:rPr>
      </w:pPr>
    </w:p>
    <w:p>
      <w:pPr>
        <w:jc w:val="both"/>
        <w:ind w:firstLine="906"/>
        <w:spacing w:after="0" w:line="270" w:lineRule="auto"/>
        <w:tabs>
          <w:tab w:leader="none" w:pos="178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or threatened breach by Executive of Sections 7 - 10 of this Agreement, Executive hereby consents and agrees that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w:t>
      </w:r>
    </w:p>
    <w:p>
      <w:pPr>
        <w:spacing w:after="0"/>
        <w:tabs>
          <w:tab w:leader="none" w:pos="4760" w:val="left"/>
        </w:tabs>
        <w:rPr>
          <w:sz w:val="20"/>
          <w:szCs w:val="20"/>
          <w:color w:val="auto"/>
        </w:rPr>
      </w:pPr>
      <w:r>
        <w:rPr>
          <w:rFonts w:ascii="Arial" w:cs="Arial" w:eastAsia="Arial" w:hAnsi="Arial"/>
          <w:sz w:val="19"/>
          <w:szCs w:val="19"/>
          <w:color w:val="auto"/>
        </w:rPr>
        <w:t>aforementioned equitable relief shall be in addition to, not in</w:t>
      </w:r>
      <w:r>
        <w:rPr>
          <w:sz w:val="20"/>
          <w:szCs w:val="20"/>
          <w:color w:val="auto"/>
        </w:rPr>
        <w:tab/>
      </w:r>
      <w:r>
        <w:rPr>
          <w:rFonts w:ascii="Arial" w:cs="Arial" w:eastAsia="Arial" w:hAnsi="Arial"/>
          <w:sz w:val="17"/>
          <w:szCs w:val="17"/>
          <w:color w:val="auto"/>
        </w:rPr>
        <w:t>lieu of, legal remedies, monetary damages or other available forms of relief.</w:t>
      </w:r>
    </w:p>
    <w:p>
      <w:pPr>
        <w:spacing w:after="0" w:line="198" w:lineRule="exact"/>
        <w:rPr>
          <w:sz w:val="20"/>
          <w:szCs w:val="20"/>
          <w:color w:val="auto"/>
        </w:rPr>
      </w:pPr>
    </w:p>
    <w:p>
      <w:pPr>
        <w:jc w:val="both"/>
        <w:ind w:firstLine="906"/>
        <w:spacing w:after="0" w:line="269" w:lineRule="auto"/>
        <w:tabs>
          <w:tab w:leader="none" w:pos="178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the Company employing Executive, and the salary and benefits provided under this Agreement, Executive and the Company agree that all claims arising out of or relating to his employment, including its termination, shall be resolved by binding arbitration. This Agreement expressly does not prohibit either party from seeking an application for a provisional remedy pursuant to Cal. Code Civ. Proc. Section 1281.8. The dispute will be arbitrated in accordance with the rules of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under its existing Employment Arbitration Rules. These rules may be found at https://www.adr.org/sites/default/files/Employment-Rules-</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Web.pdf. The Company shall pay for the arbitration administrative costs and arbitrator's fees pursuant to applicable law and the AAA rules. Each party in the arbitration shall bear his/its own attorneys' fees and legal costs. The parties agree to file any demand for arbitration within the time limit established by the applicable statute of limitations for the asserted claims. Failure to demand arbitration within the prescribed time period shall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result in waiver of said claims. The parties agree that the arbitration will be venued at or near Los Angeles, California.</w:t>
      </w:r>
    </w:p>
    <w:p>
      <w:pPr>
        <w:spacing w:after="0" w:line="214" w:lineRule="exact"/>
        <w:rPr>
          <w:sz w:val="20"/>
          <w:szCs w:val="20"/>
          <w:color w:val="auto"/>
        </w:rPr>
      </w:pPr>
    </w:p>
    <w:p>
      <w:pPr>
        <w:jc w:val="both"/>
        <w:ind w:firstLine="898"/>
        <w:spacing w:after="0" w:line="242" w:lineRule="auto"/>
        <w:rPr>
          <w:sz w:val="20"/>
          <w:szCs w:val="20"/>
          <w:color w:val="auto"/>
        </w:rPr>
      </w:pPr>
      <w:r>
        <w:rPr>
          <w:rFonts w:ascii="Arial" w:cs="Arial" w:eastAsia="Arial" w:hAnsi="Arial"/>
          <w:sz w:val="19"/>
          <w:szCs w:val="19"/>
          <w:color w:val="auto"/>
        </w:rPr>
        <w:t>This pre-dispute resolution agreement will cover all matters directly or indirectly arising out of or related to Executive's employment, recruitment, relocation and/or termination of employment, including, but not limited to, claims involving laws against any form of discrimination or wrongful termination, and whether brought under federal or state law, and/or claims involving other employees. Excluded from this arbitration provision are workers' compensation claims, unemployment insurance claims or any other claim which is not subject to arbitration by law. THE PARTIES UNDERSTAND AND AGREE THAT THEY ARE WAIVING THEIR RIGHTS TO BRING SUCH CLAIMS TO COURT, INCLUDING THE RIGHT TO A JURY TRIAL.</w:t>
      </w:r>
    </w:p>
    <w:p>
      <w:pPr>
        <w:spacing w:after="0" w:line="190" w:lineRule="exact"/>
        <w:rPr>
          <w:sz w:val="20"/>
          <w:szCs w:val="20"/>
          <w:color w:val="auto"/>
        </w:rPr>
      </w:pPr>
    </w:p>
    <w:p>
      <w:pPr>
        <w:ind w:left="1800" w:hanging="894"/>
        <w:spacing w:after="0"/>
        <w:tabs>
          <w:tab w:leader="none" w:pos="180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Proprietary Rights.</w:t>
      </w:r>
    </w:p>
    <w:p>
      <w:pPr>
        <w:spacing w:after="0" w:line="214" w:lineRule="exact"/>
        <w:rPr>
          <w:sz w:val="20"/>
          <w:szCs w:val="20"/>
          <w:color w:val="auto"/>
        </w:rPr>
      </w:pPr>
    </w:p>
    <w:p>
      <w:pPr>
        <w:jc w:val="both"/>
        <w:ind w:firstLine="1797"/>
        <w:spacing w:after="0" w:line="25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Work Product</w:t>
      </w:r>
      <w:r>
        <w:rPr>
          <w:rFonts w:ascii="Arial" w:cs="Arial" w:eastAsia="Arial" w:hAnsi="Arial"/>
          <w:sz w:val="18"/>
          <w:szCs w:val="18"/>
          <w:color w:val="auto"/>
        </w:rPr>
        <w:t>. Executive acknowledges and agrees that all writings, works of authorship, technology, inventions, discoveries, ideas and other work product of any nature whatsoever, that are created, prepared, produced, authored, edited, amended, conceived or reduced to practice by Executive individually or jointly with others during the period of his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Arial" w:cs="Arial" w:eastAsia="Arial" w:hAnsi="Arial"/>
          <w:sz w:val="18"/>
          <w:szCs w:val="18"/>
          <w:i w:val="1"/>
          <w:iCs w:val="1"/>
          <w:color w:val="auto"/>
        </w:rPr>
        <w:t>Work Product</w:t>
      </w:r>
      <w:r>
        <w:rPr>
          <w:rFonts w:ascii="Arial" w:cs="Arial" w:eastAsia="Arial" w:hAnsi="Arial"/>
          <w:sz w:val="18"/>
          <w:szCs w:val="18"/>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8"/>
          <w:szCs w:val="18"/>
          <w:i w:val="1"/>
          <w:iCs w:val="1"/>
          <w:color w:val="auto"/>
        </w:rPr>
        <w:t>Intellectual Property Rights</w:t>
      </w:r>
      <w:r>
        <w:rPr>
          <w:rFonts w:ascii="Arial" w:cs="Arial" w:eastAsia="Arial" w:hAnsi="Arial"/>
          <w:sz w:val="18"/>
          <w:szCs w:val="18"/>
          <w:color w:val="auto"/>
        </w:rPr>
        <w:t>"), shall be the sole and exclusive property of the Company.</w:t>
      </w:r>
    </w:p>
    <w:p>
      <w:pPr>
        <w:spacing w:after="0" w:line="185" w:lineRule="exact"/>
        <w:rPr>
          <w:sz w:val="20"/>
          <w:szCs w:val="20"/>
          <w:color w:val="auto"/>
        </w:rPr>
      </w:pPr>
    </w:p>
    <w:p>
      <w:pPr>
        <w:jc w:val="both"/>
        <w:ind w:firstLine="1797"/>
        <w:spacing w:after="0" w:line="25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Work Made for Hire; Assignment</w:t>
      </w:r>
      <w:r>
        <w:rPr>
          <w:rFonts w:ascii="Arial" w:cs="Arial" w:eastAsia="Arial" w:hAnsi="Arial"/>
          <w:sz w:val="18"/>
          <w:szCs w:val="18"/>
          <w:color w:val="auto"/>
        </w:rPr>
        <w:t>. Subject to Section 14.3, below,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Executive hereby irrevocably assigns to the Company, for no additional consideration,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85" w:lineRule="exact"/>
        <w:rPr>
          <w:sz w:val="20"/>
          <w:szCs w:val="20"/>
          <w:color w:val="auto"/>
        </w:rPr>
      </w:pPr>
    </w:p>
    <w:p>
      <w:pPr>
        <w:jc w:val="both"/>
        <w:ind w:firstLine="1797"/>
        <w:spacing w:after="0" w:line="273"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California Labor Code Section 2870</w:t>
      </w:r>
      <w:r>
        <w:rPr>
          <w:rFonts w:ascii="Arial" w:cs="Arial" w:eastAsia="Arial" w:hAnsi="Arial"/>
          <w:sz w:val="17"/>
          <w:szCs w:val="17"/>
          <w:color w:val="auto"/>
        </w:rPr>
        <w:t>. Executive acknowledges and agrees that Executive's agreement to assign and assignment of rights to the Company as set forth in Section 14.2 above shall not apply to any invention that qualifies fully under the provisions of California Labor Code Section 2870, where Executive developed such invention entirely on Executive's own time without using the Company's equipment, supplies, facilities or Confidential Information and such invention does not either relate at the time of conception or reduction to practice of the invention to the Company's business, or actual or demonstrably anticipated research or development of the Company; or result from any work performed by Executive for the Company. Executive will promptly identify in writing to the Company all inventions made by Executive that Executive believes meet the criteria of California Labor Code Section 2870 to permit a determination as to whether or not the invention constitutes Work Product subject to the assignment provisions set forth in Section 14.2 hereof. If any invention is determined, pursuant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0" w:name="page51"/>
    <w:bookmarkEnd w:id="50"/>
    <w:p>
      <w:pPr>
        <w:jc w:val="both"/>
        <w:spacing w:after="0" w:line="242" w:lineRule="auto"/>
        <w:rPr>
          <w:sz w:val="20"/>
          <w:szCs w:val="20"/>
          <w:color w:val="auto"/>
        </w:rPr>
      </w:pPr>
      <w:r>
        <w:rPr>
          <w:rFonts w:ascii="Arial" w:cs="Arial" w:eastAsia="Arial" w:hAnsi="Arial"/>
          <w:sz w:val="19"/>
          <w:szCs w:val="19"/>
          <w:color w:val="auto"/>
        </w:rPr>
        <w:t>California Labor Code Section 2870, not to be the property of the Company, Executive agrees, prior to commercially exploiting such invention or disclosing such invention to any third party, to submit to the Company an offer of commercially reasonable license terms with respect to such invention, and the Company will notify Executive within ten (10) business days after Company's receipt of such offer if the Company accepts such offer or desires to commence negotiations of the terms set forth in Executive's offer. If no definitive agreement is reached within sixty (60) days after the Company's acceptance of Executive's offer or commencement of negotiations, Executive may commence negotiations with any third party with respect to the licensing and exploitation of such invention.</w:t>
      </w:r>
    </w:p>
    <w:p>
      <w:pPr>
        <w:spacing w:after="0" w:line="190" w:lineRule="exact"/>
        <w:rPr>
          <w:sz w:val="20"/>
          <w:szCs w:val="20"/>
          <w:color w:val="auto"/>
        </w:rPr>
      </w:pPr>
    </w:p>
    <w:p>
      <w:pPr>
        <w:jc w:val="both"/>
        <w:ind w:firstLine="1797"/>
        <w:spacing w:after="0" w:line="272"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Further Assurances; Power of Attorney</w:t>
      </w:r>
      <w:r>
        <w:rPr>
          <w:rFonts w:ascii="Arial" w:cs="Arial" w:eastAsia="Arial" w:hAnsi="Arial"/>
          <w:sz w:val="17"/>
          <w:szCs w:val="17"/>
          <w:color w:val="auto"/>
        </w:rPr>
        <w:t>. During and after his employment, Executive agrees to reasonably cooperate with the Company to (a) apply for, obtain, perfect and transfer to the Company the Work Product as well as an Intellectual Property Right in the Work Product in any jurisdiction in the world; and (b) maintain, protect and enforce the same, including, without limitation, executing and delivering to the Company any and all applications, oaths, declarations, affidavits, waivers, assignments and other documents and instruments as shall be requested by the Company. Executive hereby irrevocably grants the Company power of attorney to execute and deliver any such documents on Executive's behalf in his name and to do all other lawfully permitted acts to transfer the Work Product to the Company and further the transfer, issuance, prosecution and maintenance of all Intellectual Property Rights therein, to the full extent permitted by law, if Executive does not promptly cooperate with the Company's request (without limiting the rights the Company shall have in such circumstances by operation of law). The power of attorney is coupled with an interest and shall not be effected by Executive's subsequent incapacity.</w:t>
      </w:r>
    </w:p>
    <w:p>
      <w:pPr>
        <w:spacing w:after="0" w:line="166"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No License</w:t>
      </w:r>
      <w:r>
        <w:rPr>
          <w:rFonts w:ascii="Arial" w:cs="Arial" w:eastAsia="Arial" w:hAnsi="Arial"/>
          <w:sz w:val="19"/>
          <w:szCs w:val="19"/>
          <w:color w:val="auto"/>
        </w:rPr>
        <w:t>. Executive understands that this Agreement does not, and shall not be construed to, grant Executive any license or right of any nature with respect to any Work Product or Intellectual Property Rights or any Confidential Information, materials, software or other tools made available to him by the Company.</w:t>
      </w:r>
    </w:p>
    <w:p>
      <w:pPr>
        <w:spacing w:after="0" w:line="184" w:lineRule="exact"/>
        <w:rPr>
          <w:sz w:val="20"/>
          <w:szCs w:val="20"/>
          <w:color w:val="auto"/>
        </w:rPr>
      </w:pPr>
    </w:p>
    <w:p>
      <w:pPr>
        <w:jc w:val="both"/>
        <w:ind w:firstLine="906"/>
        <w:spacing w:after="0" w:line="271" w:lineRule="auto"/>
        <w:tabs>
          <w:tab w:leader="none" w:pos="178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Exit Obligations</w:t>
      </w:r>
      <w:r>
        <w:rPr>
          <w:rFonts w:ascii="Arial" w:cs="Arial" w:eastAsia="Arial" w:hAnsi="Arial"/>
          <w:sz w:val="17"/>
          <w:szCs w:val="17"/>
          <w:color w:val="auto"/>
        </w:rPr>
        <w:t>. Upon voluntary or involuntary termination of Executive's employment, Executive shall (i) provide or return to the Company any and all Company Group property and all Company Group documents and materials belonging to the Company and stored in any fashion, including but not limited to those that constitute or contain any Confidential Information or Work Product, that are in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possession or control of Executive, whether they were provided to Executive by the Company Group or any of its business associates or created by Executive in connection with his employment by the Company; and (ii) delete or destroy all copies of any such documents and materials not returned to the Company that remain in Executive's possession or control, including those stored on any non-Company Group devices, networks, storage locations and media in Executive's possession or control.</w:t>
      </w:r>
    </w:p>
    <w:p>
      <w:pPr>
        <w:spacing w:after="0" w:line="194" w:lineRule="exact"/>
        <w:rPr>
          <w:sz w:val="20"/>
          <w:szCs w:val="20"/>
          <w:color w:val="auto"/>
        </w:rPr>
      </w:pPr>
    </w:p>
    <w:p>
      <w:pPr>
        <w:jc w:val="both"/>
        <w:ind w:firstLine="906"/>
        <w:spacing w:after="0" w:line="270" w:lineRule="auto"/>
        <w:tabs>
          <w:tab w:leader="none" w:pos="178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Publicity</w:t>
      </w:r>
      <w:r>
        <w:rPr>
          <w:rFonts w:ascii="Arial" w:cs="Arial" w:eastAsia="Arial" w:hAnsi="Arial"/>
          <w:sz w:val="17"/>
          <w:szCs w:val="17"/>
          <w:color w:val="auto"/>
        </w:rPr>
        <w:t>. Executive hereby irrevocably consents to any and all uses and displays, by the Company Group and its agents, representatives and licensees, of Executive's name, voice, likeness, image, appearance and biographical information in, on or in connection with any pictures, photographs, audio and video recordings, digital images, websites, television programs and advertising, other advertising and publicity, sales and marketing brochures, books, magazines, other publications, CDs, DVDs, tapes and all other printed and electronic forms and media</w:t>
      </w:r>
    </w:p>
    <w:p>
      <w:pPr>
        <w:jc w:val="both"/>
        <w:spacing w:after="0" w:line="238" w:lineRule="auto"/>
        <w:rPr>
          <w:sz w:val="20"/>
          <w:szCs w:val="20"/>
          <w:color w:val="auto"/>
        </w:rPr>
      </w:pPr>
      <w:r>
        <w:rPr>
          <w:rFonts w:ascii="Arial" w:cs="Arial" w:eastAsia="Arial" w:hAnsi="Arial"/>
          <w:sz w:val="19"/>
          <w:szCs w:val="19"/>
          <w:color w:val="auto"/>
        </w:rPr>
        <w:t>throughout the world, at any time during or after the period of his employment by the Company, for all legitimate commercial and business purposes of the Company Group ("</w:t>
      </w:r>
      <w:r>
        <w:rPr>
          <w:rFonts w:ascii="Arial" w:cs="Arial" w:eastAsia="Arial" w:hAnsi="Arial"/>
          <w:sz w:val="19"/>
          <w:szCs w:val="19"/>
          <w:i w:val="1"/>
          <w:iCs w:val="1"/>
          <w:color w:val="auto"/>
        </w:rPr>
        <w:t>Permitted Uses</w:t>
      </w:r>
      <w:r>
        <w:rPr>
          <w:rFonts w:ascii="Arial" w:cs="Arial" w:eastAsia="Arial" w:hAnsi="Arial"/>
          <w:sz w:val="19"/>
          <w:szCs w:val="19"/>
          <w:color w:val="auto"/>
        </w:rPr>
        <w:t>") without further consent from or royalty, payment or other compensation to Executive. Executive hereby forever waives and releases the Company Group and its directors, officers, employees and agents from any and all claims, actions, damages, losses, costs, expenses and liability of any kind, arising under any legal or equitable theory whatsoever at any time during or after the period of his employment by the Company, arising directly or indirectly from the Company Group's and its agents', representatives' and licensees' exercise of their rights in connection with any Permitted Uses.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jc w:val="both"/>
        <w:ind w:firstLine="906"/>
        <w:spacing w:after="0" w:line="260" w:lineRule="auto"/>
        <w:tabs>
          <w:tab w:leader="none" w:pos="178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may withhold from any payments made under this Agreement all applicable taxes, including but not limited to income, employment, and social insurance taxes, as shall be required by law. Executive acknowledges and represents that the Company has not provided any tax advice to Executive in connection with this Agreement and that Executive has been advised by the Company to seek tax advice from Executive's own tax advisors regarding this Agreement and payments that may be made to Executive pursuant to this Agreement, including specifically, the application of the provisions of Section 409A of the Code to such payments.</w:t>
      </w:r>
    </w:p>
    <w:p>
      <w:pPr>
        <w:spacing w:after="0" w:line="174" w:lineRule="exact"/>
        <w:rPr>
          <w:rFonts w:ascii="Arial" w:cs="Arial" w:eastAsia="Arial" w:hAnsi="Arial"/>
          <w:sz w:val="18"/>
          <w:szCs w:val="18"/>
          <w:color w:val="auto"/>
        </w:rPr>
      </w:pPr>
    </w:p>
    <w:p>
      <w:pPr>
        <w:jc w:val="both"/>
        <w:ind w:firstLine="906"/>
        <w:spacing w:after="0" w:line="271" w:lineRule="auto"/>
        <w:tabs>
          <w:tab w:leader="none" w:pos="178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Set Off Mitigation.</w:t>
      </w:r>
      <w:r>
        <w:rPr>
          <w:rFonts w:ascii="Arial" w:cs="Arial" w:eastAsia="Arial" w:hAnsi="Arial"/>
          <w:sz w:val="17"/>
          <w:szCs w:val="17"/>
          <w:color w:val="auto"/>
        </w:rPr>
        <w:t xml:space="preserve"> The Company's obligation to pay Executive the amounts provided and to make the arrangements provided hereunder shall be subject to set-off, or recoupment of agreed amounts owed by Executive to the Company or its affiliates; provided, however,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no right shall exist with regard to setoff or recoupment to the extent it would violate Section 409A of the Code and there shall be no right to setoff or recoupment with regard to any not agreed upon amounts. Executive shall not be required to mitigate the amount of any payment provided pursuant to this Agreement by seeking other employment or otherwise, and except as provided in Section 5.5(d), the amount of any payment provided for pursuant to this Agreement shall not be reduced by any compensation earned as a result of Executive's other employment or otherwise.</w:t>
      </w:r>
    </w:p>
    <w:p>
      <w:pPr>
        <w:spacing w:after="0" w:line="168" w:lineRule="exact"/>
        <w:rPr>
          <w:rFonts w:ascii="Arial" w:cs="Arial" w:eastAsia="Arial" w:hAnsi="Arial"/>
          <w:sz w:val="17"/>
          <w:szCs w:val="17"/>
          <w:color w:val="auto"/>
        </w:rPr>
      </w:pPr>
    </w:p>
    <w:p>
      <w:pPr>
        <w:jc w:val="both"/>
        <w:ind w:firstLine="906"/>
        <w:spacing w:after="0" w:line="292" w:lineRule="auto"/>
        <w:tabs>
          <w:tab w:leader="none" w:pos="178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for all purposes, shall be construed in accordance with the laws of the State of California without regard to conflicts of law principles; provided, however, that any provisions relating to equity compensation shall also be subject to any federal or state securities laws that may be applicable and the rules of any stock exchange on which the relevant equity is listed for trading.</w:t>
      </w:r>
    </w:p>
    <w:p>
      <w:pPr>
        <w:spacing w:after="0" w:line="150" w:lineRule="exact"/>
        <w:rPr>
          <w:rFonts w:ascii="Arial" w:cs="Arial" w:eastAsia="Arial" w:hAnsi="Arial"/>
          <w:sz w:val="17"/>
          <w:szCs w:val="17"/>
          <w:color w:val="auto"/>
        </w:rPr>
      </w:pPr>
    </w:p>
    <w:p>
      <w:pPr>
        <w:jc w:val="both"/>
        <w:ind w:firstLine="906"/>
        <w:spacing w:after="0" w:line="269" w:lineRule="auto"/>
        <w:tabs>
          <w:tab w:leader="none" w:pos="178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Unless specifically provided or stated herein, this Agreement contains all of the understandings and representations between Executive and the Company pertaining to the subject matter hereof and supersedes all prior and contemporaneous understandings, agreements, representations and warranties, both written and oral, with respect to such subject matter. Without limiting the generality of the foregoing, the parties specifically acknowledge that this Agreement supersedes any agreements Executive had with the Company and any of its affiliates or predecessors relating to the subject matter hereof. The parties mutually agree that the Agreement can be specifically</w:t>
      </w:r>
    </w:p>
    <w:p>
      <w:pPr>
        <w:spacing w:after="0" w:line="1" w:lineRule="exact"/>
        <w:rPr>
          <w:sz w:val="20"/>
          <w:szCs w:val="20"/>
          <w:color w:val="auto"/>
        </w:rPr>
      </w:pPr>
    </w:p>
    <w:p>
      <w:pPr>
        <w:spacing w:after="0"/>
        <w:tabs>
          <w:tab w:leader="none" w:pos="2380" w:val="left"/>
        </w:tabs>
        <w:rPr>
          <w:sz w:val="20"/>
          <w:szCs w:val="20"/>
          <w:color w:val="auto"/>
        </w:rPr>
      </w:pPr>
      <w:r>
        <w:rPr>
          <w:rFonts w:ascii="Arial" w:cs="Arial" w:eastAsia="Arial" w:hAnsi="Arial"/>
          <w:sz w:val="19"/>
          <w:szCs w:val="19"/>
          <w:color w:val="auto"/>
        </w:rPr>
        <w:t>enforced in court and can be</w:t>
      </w:r>
      <w:r>
        <w:rPr>
          <w:sz w:val="20"/>
          <w:szCs w:val="20"/>
          <w:color w:val="auto"/>
        </w:rPr>
        <w:tab/>
      </w:r>
      <w:r>
        <w:rPr>
          <w:rFonts w:ascii="Arial" w:cs="Arial" w:eastAsia="Arial" w:hAnsi="Arial"/>
          <w:sz w:val="17"/>
          <w:szCs w:val="17"/>
          <w:color w:val="auto"/>
        </w:rPr>
        <w:t>cited as evidence in legal proceedings alleging breach of the Agreement.</w:t>
      </w:r>
    </w:p>
    <w:p>
      <w:pPr>
        <w:spacing w:after="0" w:line="198" w:lineRule="exact"/>
        <w:rPr>
          <w:sz w:val="20"/>
          <w:szCs w:val="20"/>
          <w:color w:val="auto"/>
        </w:rPr>
      </w:pPr>
    </w:p>
    <w:p>
      <w:pPr>
        <w:jc w:val="both"/>
        <w:ind w:firstLine="906"/>
        <w:spacing w:after="0" w:line="269" w:lineRule="auto"/>
        <w:tabs>
          <w:tab w:leader="none" w:pos="178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provision of this Agreement may be amended or modified unless such amendment or modification is agreed to in writing and signed by Executive and by an executive officer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exercise of any other such right,  power or privilege.</w:t>
      </w:r>
    </w:p>
    <w:p>
      <w:pPr>
        <w:spacing w:after="0" w:line="198" w:lineRule="exact"/>
        <w:rPr>
          <w:sz w:val="20"/>
          <w:szCs w:val="20"/>
          <w:color w:val="auto"/>
        </w:rPr>
      </w:pPr>
    </w:p>
    <w:p>
      <w:pPr>
        <w:jc w:val="both"/>
        <w:ind w:firstLine="906"/>
        <w:spacing w:after="0" w:line="243" w:lineRule="auto"/>
        <w:tabs>
          <w:tab w:leader="none" w:pos="178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Should any provision of this Agreement be held by a court or arbitrator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 The parties further agree that any such court or arbitrator is expressly authorized to modify any such unenforceable provision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color w:val="auto"/>
        </w:rPr>
        <w:t>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 The parties expressly agree that this Agreement as so modified by the court or arbitrator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83" w:lineRule="exact"/>
        <w:rPr>
          <w:sz w:val="20"/>
          <w:szCs w:val="20"/>
          <w:color w:val="auto"/>
        </w:rPr>
      </w:pPr>
    </w:p>
    <w:p>
      <w:pPr>
        <w:ind w:firstLine="906"/>
        <w:spacing w:after="0" w:line="289" w:lineRule="auto"/>
        <w:tabs>
          <w:tab w:leader="none" w:pos="178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xml:space="preserve"> Captions and headings of the sections and paragraphs of this Agreement are intended solely for convenience and no provision of this Agreement is to be construed by reference to the caption or heading of any Section or paragraph.</w:t>
      </w:r>
    </w:p>
    <w:p>
      <w:pPr>
        <w:spacing w:after="0" w:line="149" w:lineRule="exact"/>
        <w:rPr>
          <w:rFonts w:ascii="Arial" w:cs="Arial" w:eastAsia="Arial" w:hAnsi="Arial"/>
          <w:sz w:val="18"/>
          <w:szCs w:val="18"/>
          <w:color w:val="auto"/>
        </w:rPr>
      </w:pPr>
    </w:p>
    <w:p>
      <w:pPr>
        <w:ind w:firstLine="906"/>
        <w:spacing w:after="0" w:line="261" w:lineRule="auto"/>
        <w:tabs>
          <w:tab w:leader="none" w:pos="1783"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each of which shall be deemed an original, but all of which taken together shall constitute one and the same instrument.</w:t>
      </w:r>
    </w:p>
    <w:p>
      <w:pPr>
        <w:spacing w:after="0" w:line="172" w:lineRule="exact"/>
        <w:rPr>
          <w:rFonts w:ascii="Arial" w:cs="Arial" w:eastAsia="Arial" w:hAnsi="Arial"/>
          <w:sz w:val="19"/>
          <w:szCs w:val="19"/>
          <w:color w:val="auto"/>
        </w:rPr>
      </w:pPr>
    </w:p>
    <w:p>
      <w:pPr>
        <w:ind w:left="1800" w:hanging="894"/>
        <w:spacing w:after="0"/>
        <w:tabs>
          <w:tab w:leader="none" w:pos="180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Additional Section 409A Provisions.</w:t>
      </w:r>
    </w:p>
    <w:p>
      <w:pPr>
        <w:spacing w:after="0" w:line="213" w:lineRule="exact"/>
        <w:rPr>
          <w:rFonts w:ascii="Arial" w:cs="Arial" w:eastAsia="Arial" w:hAnsi="Arial"/>
          <w:sz w:val="19"/>
          <w:szCs w:val="19"/>
          <w:color w:val="auto"/>
        </w:rPr>
      </w:pPr>
    </w:p>
    <w:p>
      <w:pPr>
        <w:ind w:left="1800"/>
        <w:spacing w:after="0"/>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w:t>
      </w:r>
    </w:p>
    <w:p>
      <w:pPr>
        <w:spacing w:after="0" w:line="214" w:lineRule="exact"/>
        <w:rPr>
          <w:sz w:val="20"/>
          <w:szCs w:val="20"/>
          <w:color w:val="auto"/>
        </w:rPr>
      </w:pPr>
    </w:p>
    <w:p>
      <w:pPr>
        <w:jc w:val="both"/>
        <w:ind w:firstLine="1797"/>
        <w:spacing w:after="0" w:line="260" w:lineRule="auto"/>
        <w:rPr>
          <w:sz w:val="20"/>
          <w:szCs w:val="20"/>
          <w:color w:val="auto"/>
        </w:rPr>
      </w:pPr>
      <w:r>
        <w:rPr>
          <w:rFonts w:ascii="Arial" w:cs="Arial" w:eastAsia="Arial" w:hAnsi="Arial"/>
          <w:sz w:val="18"/>
          <w:szCs w:val="18"/>
          <w:color w:val="auto"/>
        </w:rPr>
        <w:t>25.1. 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18"/>
          <w:szCs w:val="18"/>
          <w:u w:val="single" w:color="auto"/>
          <w:color w:val="auto"/>
        </w:rPr>
        <w:t>Delay 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75" w:lineRule="exact"/>
        <w:rPr>
          <w:sz w:val="20"/>
          <w:szCs w:val="20"/>
          <w:color w:val="auto"/>
        </w:rPr>
      </w:pPr>
    </w:p>
    <w:p>
      <w:pPr>
        <w:jc w:val="both"/>
        <w:ind w:firstLine="1797"/>
        <w:spacing w:after="0" w:line="261" w:lineRule="auto"/>
        <w:rPr>
          <w:sz w:val="20"/>
          <w:szCs w:val="20"/>
          <w:color w:val="auto"/>
        </w:rPr>
      </w:pPr>
      <w:r>
        <w:rPr>
          <w:rFonts w:ascii="Arial" w:cs="Arial" w:eastAsia="Arial" w:hAnsi="Arial"/>
          <w:sz w:val="19"/>
          <w:szCs w:val="19"/>
          <w:color w:val="auto"/>
        </w:rPr>
        <w:t>25.2. Each payment in a series of payments hereunder shall be deemed to be a separate payment for purposes of Section 409A of the Code.</w:t>
      </w:r>
    </w:p>
    <w:p>
      <w:pPr>
        <w:spacing w:after="0" w:line="173" w:lineRule="exact"/>
        <w:rPr>
          <w:sz w:val="20"/>
          <w:szCs w:val="20"/>
          <w:color w:val="auto"/>
        </w:rPr>
      </w:pPr>
    </w:p>
    <w:p>
      <w:pPr>
        <w:jc w:val="both"/>
        <w:ind w:firstLine="1797"/>
        <w:spacing w:after="0" w:line="258" w:lineRule="auto"/>
        <w:rPr>
          <w:sz w:val="20"/>
          <w:szCs w:val="20"/>
          <w:color w:val="auto"/>
        </w:rPr>
      </w:pPr>
      <w:r>
        <w:rPr>
          <w:rFonts w:ascii="Arial" w:cs="Arial" w:eastAsia="Arial" w:hAnsi="Arial"/>
          <w:sz w:val="18"/>
          <w:szCs w:val="18"/>
          <w:color w:val="auto"/>
        </w:rPr>
        <w:t>25.3. 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Section 5 as if Executive had undergone such termination of employment (under the same circumstances) on the date of Executive's ultimate "separation from service."</w:t>
      </w:r>
    </w:p>
    <w:p>
      <w:pPr>
        <w:spacing w:after="0" w:line="177" w:lineRule="exact"/>
        <w:rPr>
          <w:sz w:val="20"/>
          <w:szCs w:val="20"/>
          <w:color w:val="auto"/>
        </w:rPr>
      </w:pPr>
    </w:p>
    <w:p>
      <w:pPr>
        <w:jc w:val="both"/>
        <w:ind w:firstLine="1797"/>
        <w:spacing w:after="0" w:line="245" w:lineRule="auto"/>
        <w:rPr>
          <w:sz w:val="20"/>
          <w:szCs w:val="20"/>
          <w:color w:val="auto"/>
        </w:rPr>
      </w:pPr>
      <w:r>
        <w:rPr>
          <w:rFonts w:ascii="Arial" w:cs="Arial" w:eastAsia="Arial" w:hAnsi="Arial"/>
          <w:sz w:val="19"/>
          <w:szCs w:val="19"/>
          <w:color w:val="auto"/>
        </w:rPr>
        <w:t>25.4. 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3" w:name="page54"/>
    <w:bookmarkEnd w:id="53"/>
    <w:p>
      <w:pPr>
        <w:jc w:val="both"/>
        <w:spacing w:after="0" w:line="245" w:lineRule="auto"/>
        <w:rPr>
          <w:sz w:val="20"/>
          <w:szCs w:val="20"/>
          <w:color w:val="auto"/>
        </w:rPr>
      </w:pPr>
      <w:r>
        <w:rPr>
          <w:rFonts w:ascii="Arial" w:cs="Arial" w:eastAsia="Arial" w:hAnsi="Arial"/>
          <w:sz w:val="19"/>
          <w:szCs w:val="19"/>
          <w:color w:val="auto"/>
        </w:rPr>
        <w:t xml:space="preserve">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88" w:lineRule="exact"/>
        <w:rPr>
          <w:sz w:val="20"/>
          <w:szCs w:val="20"/>
          <w:color w:val="auto"/>
        </w:rPr>
      </w:pPr>
    </w:p>
    <w:p>
      <w:pPr>
        <w:jc w:val="both"/>
        <w:ind w:firstLine="1797"/>
        <w:spacing w:after="0" w:line="260" w:lineRule="auto"/>
        <w:rPr>
          <w:sz w:val="20"/>
          <w:szCs w:val="20"/>
          <w:color w:val="auto"/>
        </w:rPr>
      </w:pPr>
      <w:r>
        <w:rPr>
          <w:rFonts w:ascii="Arial" w:cs="Arial" w:eastAsia="Arial" w:hAnsi="Arial"/>
          <w:sz w:val="18"/>
          <w:szCs w:val="18"/>
          <w:color w:val="auto"/>
        </w:rPr>
        <w:t>25.5. While the payments and benefits provided hereunder are intended to be structured in a manner to avoid the implication of any penalty taxes under Section 409A of the Code, in no event whatsoever shall any member of the Company Group be liable for any additional tax, interest, or penalties that may be imposed on Executive as a result of Section 409A of the Code for failing to comply with Section 409A of the Code (other than for withholding obligations or other obligations applicable to employers, if any, under Section 409A of the Code) provided that the Company Group act in reasonable good faith in connection with complying with Section 409A of the Code.</w:t>
      </w:r>
    </w:p>
    <w:p>
      <w:pPr>
        <w:spacing w:after="0" w:line="175" w:lineRule="exact"/>
        <w:rPr>
          <w:sz w:val="20"/>
          <w:szCs w:val="20"/>
          <w:color w:val="auto"/>
        </w:rPr>
      </w:pPr>
    </w:p>
    <w:p>
      <w:pPr>
        <w:ind w:left="1800" w:hanging="894"/>
        <w:spacing w:after="0"/>
        <w:tabs>
          <w:tab w:leader="none" w:pos="180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Successors and Assigns; No Third-Party Beneficiaries</w:t>
      </w:r>
      <w:r>
        <w:rPr>
          <w:rFonts w:ascii="Arial" w:cs="Arial" w:eastAsia="Arial" w:hAnsi="Arial"/>
          <w:sz w:val="19"/>
          <w:szCs w:val="19"/>
          <w:color w:val="auto"/>
        </w:rPr>
        <w:t>.</w:t>
      </w:r>
    </w:p>
    <w:p>
      <w:pPr>
        <w:spacing w:after="0" w:line="214"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26.1. This Agreement shall inure to the benefit of the Company and its respective permitted successors and assigns. Neither this Agreement nor any of the rights, obligations, or interests arising hereunder may be assigned by the Company to any person other than to an acquiror of all or substantially all of the assets of the Company who assumes the agreement in writing.</w:t>
      </w:r>
    </w:p>
    <w:p>
      <w:pPr>
        <w:spacing w:after="0" w:line="184" w:lineRule="exact"/>
        <w:rPr>
          <w:sz w:val="20"/>
          <w:szCs w:val="20"/>
          <w:color w:val="auto"/>
        </w:rPr>
      </w:pPr>
    </w:p>
    <w:p>
      <w:pPr>
        <w:jc w:val="both"/>
        <w:ind w:firstLine="1797"/>
        <w:spacing w:after="0" w:line="246" w:lineRule="auto"/>
        <w:rPr>
          <w:sz w:val="20"/>
          <w:szCs w:val="20"/>
          <w:color w:val="auto"/>
        </w:rPr>
      </w:pPr>
      <w:r>
        <w:rPr>
          <w:rFonts w:ascii="Arial" w:cs="Arial" w:eastAsia="Arial" w:hAnsi="Arial"/>
          <w:sz w:val="19"/>
          <w:szCs w:val="19"/>
          <w:color w:val="auto"/>
        </w:rPr>
        <w:t xml:space="preserve">26.2. Executive's rights and obligations under this Agreement shall not be transferable by Executive by assignment or otherwise, without the prior written consent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Executive shall die, all</w:t>
      </w:r>
    </w:p>
    <w:p>
      <w:pPr>
        <w:jc w:val="both"/>
        <w:spacing w:after="0" w:line="243" w:lineRule="auto"/>
        <w:rPr>
          <w:sz w:val="20"/>
          <w:szCs w:val="20"/>
          <w:color w:val="auto"/>
        </w:rPr>
      </w:pPr>
      <w:r>
        <w:rPr>
          <w:rFonts w:ascii="Arial" w:cs="Arial" w:eastAsia="Arial" w:hAnsi="Arial"/>
          <w:sz w:val="19"/>
          <w:szCs w:val="19"/>
          <w:color w:val="auto"/>
        </w:rPr>
        <w:t>amounts then payable to Executive hereunder shall be paid in accordance with the terms of this Agreement to Executive's devisee, legatee, or other designee, or if there be no such designee, to Executive's estate.</w:t>
      </w:r>
    </w:p>
    <w:p>
      <w:pPr>
        <w:spacing w:after="0" w:line="190"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26.3. Except as otherwise set forth in Section 5.3 or Section 26.2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184" w:lineRule="exact"/>
        <w:rPr>
          <w:sz w:val="20"/>
          <w:szCs w:val="20"/>
          <w:color w:val="auto"/>
        </w:rPr>
      </w:pPr>
    </w:p>
    <w:p>
      <w:pPr>
        <w:jc w:val="both"/>
        <w:ind w:firstLine="906"/>
        <w:spacing w:after="0" w:line="243" w:lineRule="auto"/>
        <w:tabs>
          <w:tab w:leader="none" w:pos="178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Notification to Subsequent Employer</w:t>
      </w:r>
      <w:r>
        <w:rPr>
          <w:rFonts w:ascii="Arial" w:cs="Arial" w:eastAsia="Arial" w:hAnsi="Arial"/>
          <w:sz w:val="19"/>
          <w:szCs w:val="19"/>
          <w:color w:val="auto"/>
        </w:rPr>
        <w:t>. When Executive's employment with the Company terminates, Executive agrees to notify any subsequent employer of the protective covenants sections contained in this Agreement. Executive will also deliver a copy of such notice to the Company before Executive commences employment with any subsequent employer. In addition, Executive authorizes the Company to provide a copy of the protective covenants sections of this Agreement to third parties, including but not limited to, Executive's subsequent, anticipated or possible future employer.</w:t>
      </w:r>
    </w:p>
    <w:p>
      <w:pPr>
        <w:spacing w:after="0" w:line="189" w:lineRule="exact"/>
        <w:rPr>
          <w:rFonts w:ascii="Arial" w:cs="Arial" w:eastAsia="Arial" w:hAnsi="Arial"/>
          <w:sz w:val="19"/>
          <w:szCs w:val="19"/>
          <w:color w:val="auto"/>
        </w:rPr>
      </w:pPr>
    </w:p>
    <w:p>
      <w:pPr>
        <w:jc w:val="both"/>
        <w:ind w:firstLine="906"/>
        <w:spacing w:after="0" w:line="249" w:lineRule="auto"/>
        <w:tabs>
          <w:tab w:leader="none" w:pos="178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Executive shall be entitled to indemnification to the maximum extent permitted by law with regard to actions or inactions taken in good faith performance of Executive's duties to the Company and directors and officers liability insurance coverage in accordance with the Company's policies that cover officers and directors generally.</w:t>
      </w:r>
    </w:p>
    <w:p>
      <w:pPr>
        <w:spacing w:after="0" w:line="183" w:lineRule="exact"/>
        <w:rPr>
          <w:rFonts w:ascii="Arial" w:cs="Arial" w:eastAsia="Arial" w:hAnsi="Arial"/>
          <w:sz w:val="19"/>
          <w:szCs w:val="19"/>
          <w:color w:val="auto"/>
        </w:rPr>
      </w:pPr>
    </w:p>
    <w:p>
      <w:pPr>
        <w:ind w:left="1800" w:hanging="894"/>
        <w:spacing w:after="0"/>
        <w:tabs>
          <w:tab w:leader="none" w:pos="180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214" w:lineRule="exact"/>
        <w:rPr>
          <w:sz w:val="20"/>
          <w:szCs w:val="20"/>
          <w:color w:val="auto"/>
        </w:rPr>
      </w:pPr>
    </w:p>
    <w:p>
      <w:pPr>
        <w:jc w:val="both"/>
        <w:ind w:firstLine="1797"/>
        <w:spacing w:after="0" w:line="245" w:lineRule="auto"/>
        <w:rPr>
          <w:sz w:val="20"/>
          <w:szCs w:val="20"/>
          <w:color w:val="auto"/>
        </w:rPr>
      </w:pPr>
      <w:r>
        <w:rPr>
          <w:rFonts w:ascii="Arial" w:cs="Arial" w:eastAsia="Arial" w:hAnsi="Arial"/>
          <w:sz w:val="19"/>
          <w:szCs w:val="19"/>
          <w:color w:val="auto"/>
        </w:rPr>
        <w:t xml:space="preserve">29.1. </w:t>
      </w:r>
      <w:r>
        <w:rPr>
          <w:rFonts w:ascii="Arial" w:cs="Arial" w:eastAsia="Arial" w:hAnsi="Arial"/>
          <w:sz w:val="19"/>
          <w:szCs w:val="19"/>
          <w:u w:val="single" w:color="auto"/>
          <w:color w:val="auto"/>
        </w:rPr>
        <w:t>Place of Delivery</w:t>
      </w:r>
      <w:r>
        <w:rPr>
          <w:rFonts w:ascii="Arial" w:cs="Arial" w:eastAsia="Arial" w:hAnsi="Arial"/>
          <w:sz w:val="19"/>
          <w:szCs w:val="19"/>
          <w:color w:val="auto"/>
        </w:rPr>
        <w:t>.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provided, that unless and until some other address be so designated, all notices and communications by Executive to the Company shall be mailed or delivered to the Company at its principal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4" w:name="page55"/>
    <w:bookmarkEnd w:id="54"/>
    <w:p>
      <w:pPr>
        <w:jc w:val="both"/>
        <w:ind w:right="20"/>
        <w:spacing w:after="0" w:line="261" w:lineRule="auto"/>
        <w:rPr>
          <w:sz w:val="20"/>
          <w:szCs w:val="20"/>
          <w:color w:val="auto"/>
        </w:rPr>
      </w:pPr>
      <w:r>
        <w:rPr>
          <w:rFonts w:ascii="Arial" w:cs="Arial" w:eastAsia="Arial" w:hAnsi="Arial"/>
          <w:sz w:val="19"/>
          <w:szCs w:val="19"/>
          <w:color w:val="auto"/>
        </w:rPr>
        <w:t>executive office, and all notices and communications by the Company to Executive may be given to Executive personally or may be mailed to Executive at Executive's last known address, as reflected in the Company's records.</w:t>
      </w:r>
    </w:p>
    <w:p>
      <w:pPr>
        <w:spacing w:after="0" w:line="173"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 xml:space="preserve">29.2. </w:t>
      </w:r>
      <w:r>
        <w:rPr>
          <w:rFonts w:ascii="Arial" w:cs="Arial" w:eastAsia="Arial" w:hAnsi="Arial"/>
          <w:sz w:val="19"/>
          <w:szCs w:val="19"/>
          <w:u w:val="single" w:color="auto"/>
          <w:color w:val="auto"/>
        </w:rPr>
        <w:t>Date of Delivery</w:t>
      </w:r>
      <w:r>
        <w:rPr>
          <w:rFonts w:ascii="Arial" w:cs="Arial" w:eastAsia="Arial" w:hAnsi="Arial"/>
          <w:sz w:val="19"/>
          <w:szCs w:val="19"/>
          <w:color w:val="auto"/>
        </w:rPr>
        <w:t>. Any notice so addressed shall be deemed to be given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84" w:lineRule="exact"/>
        <w:rPr>
          <w:sz w:val="20"/>
          <w:szCs w:val="20"/>
          <w:color w:val="auto"/>
        </w:rPr>
      </w:pPr>
    </w:p>
    <w:p>
      <w:pPr>
        <w:ind w:left="1800" w:hanging="894"/>
        <w:spacing w:after="0"/>
        <w:tabs>
          <w:tab w:leader="none" w:pos="18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Representations of Executive</w:t>
      </w:r>
      <w:r>
        <w:rPr>
          <w:rFonts w:ascii="Arial" w:cs="Arial" w:eastAsia="Arial" w:hAnsi="Arial"/>
          <w:sz w:val="19"/>
          <w:szCs w:val="19"/>
          <w:color w:val="auto"/>
        </w:rPr>
        <w:t>. Executive represents and warrants to the Company that:</w:t>
      </w:r>
    </w:p>
    <w:p>
      <w:pPr>
        <w:spacing w:after="0" w:line="214" w:lineRule="exact"/>
        <w:rPr>
          <w:sz w:val="20"/>
          <w:szCs w:val="20"/>
          <w:color w:val="auto"/>
        </w:rPr>
      </w:pPr>
    </w:p>
    <w:p>
      <w:pPr>
        <w:jc w:val="both"/>
        <w:ind w:firstLine="1797"/>
        <w:spacing w:after="0" w:line="249" w:lineRule="auto"/>
        <w:rPr>
          <w:sz w:val="20"/>
          <w:szCs w:val="20"/>
          <w:color w:val="auto"/>
        </w:rPr>
      </w:pPr>
      <w:r>
        <w:rPr>
          <w:rFonts w:ascii="Arial" w:cs="Arial" w:eastAsia="Arial" w:hAnsi="Arial"/>
          <w:sz w:val="19"/>
          <w:szCs w:val="19"/>
          <w:color w:val="auto"/>
        </w:rPr>
        <w:t>30.1. Executive is entering into this Agreement voluntarily and that Executive's employment hereunder and compliance with the terms and conditions hereof will not conflict with or result in the breach by Executive of any agreement to which Executive is a party or by which Executive may be bound;</w:t>
      </w:r>
    </w:p>
    <w:p>
      <w:pPr>
        <w:spacing w:after="0" w:line="184"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30.2. Executive has not violated, and in connection with Executive's employment with the Company will not violate, any</w:t>
      </w:r>
    </w:p>
    <w:p>
      <w:pPr>
        <w:spacing w:after="0" w:line="37" w:lineRule="exact"/>
        <w:rPr>
          <w:sz w:val="20"/>
          <w:szCs w:val="20"/>
          <w:color w:val="auto"/>
        </w:rPr>
      </w:pPr>
    </w:p>
    <w:p>
      <w:pPr>
        <w:spacing w:after="0"/>
        <w:tabs>
          <w:tab w:leader="none" w:pos="5280" w:val="left"/>
        </w:tabs>
        <w:rPr>
          <w:sz w:val="20"/>
          <w:szCs w:val="20"/>
          <w:color w:val="auto"/>
        </w:rPr>
      </w:pPr>
      <w:r>
        <w:rPr>
          <w:rFonts w:ascii="Arial" w:cs="Arial" w:eastAsia="Arial" w:hAnsi="Arial"/>
          <w:sz w:val="19"/>
          <w:szCs w:val="19"/>
          <w:color w:val="auto"/>
        </w:rPr>
        <w:t>non-solicitation, non-competition, or other similar covenant or</w:t>
      </w:r>
      <w:r>
        <w:rPr>
          <w:sz w:val="20"/>
          <w:szCs w:val="20"/>
          <w:color w:val="auto"/>
        </w:rPr>
        <w:tab/>
      </w:r>
      <w:r>
        <w:rPr>
          <w:rFonts w:ascii="Arial" w:cs="Arial" w:eastAsia="Arial" w:hAnsi="Arial"/>
          <w:sz w:val="17"/>
          <w:szCs w:val="17"/>
          <w:color w:val="auto"/>
        </w:rPr>
        <w:t>agreement with any person by which Executive is or may be bound; and</w:t>
      </w:r>
    </w:p>
    <w:p>
      <w:pPr>
        <w:spacing w:after="0" w:line="198" w:lineRule="exact"/>
        <w:rPr>
          <w:sz w:val="20"/>
          <w:szCs w:val="20"/>
          <w:color w:val="auto"/>
        </w:rPr>
      </w:pPr>
    </w:p>
    <w:p>
      <w:pPr>
        <w:jc w:val="both"/>
        <w:ind w:firstLine="1797"/>
        <w:spacing w:after="0" w:line="261" w:lineRule="auto"/>
        <w:rPr>
          <w:sz w:val="20"/>
          <w:szCs w:val="20"/>
          <w:color w:val="auto"/>
        </w:rPr>
      </w:pPr>
      <w:r>
        <w:rPr>
          <w:rFonts w:ascii="Arial" w:cs="Arial" w:eastAsia="Arial" w:hAnsi="Arial"/>
          <w:sz w:val="19"/>
          <w:szCs w:val="19"/>
          <w:color w:val="auto"/>
        </w:rPr>
        <w:t>30.3. In connection with Executive's employment with the Company, Executive will not use any confidential or proprietary information Executive may have obtained in connection with employment or service with any prior service recipient.</w:t>
      </w:r>
    </w:p>
    <w:p>
      <w:pPr>
        <w:spacing w:after="0" w:line="173" w:lineRule="exact"/>
        <w:rPr>
          <w:sz w:val="20"/>
          <w:szCs w:val="20"/>
          <w:color w:val="auto"/>
        </w:rPr>
      </w:pPr>
    </w:p>
    <w:p>
      <w:pPr>
        <w:ind w:left="1800" w:hanging="894"/>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Upon the expiration or other termination of this Agreement, the respective rights and obligations of the parties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hereto shall survive such expiration or other termination to the extent  necessary to carry out the intentions of the parties under this Agreement.</w:t>
      </w:r>
    </w:p>
    <w:p>
      <w:pPr>
        <w:spacing w:after="0" w:line="221" w:lineRule="exact"/>
        <w:rPr>
          <w:sz w:val="20"/>
          <w:szCs w:val="20"/>
          <w:color w:val="auto"/>
        </w:rPr>
      </w:pPr>
    </w:p>
    <w:p>
      <w:pPr>
        <w:jc w:val="both"/>
        <w:ind w:firstLine="906"/>
        <w:spacing w:after="0" w:line="245" w:lineRule="auto"/>
        <w:tabs>
          <w:tab w:leader="none" w:pos="178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Acknowledgment of Full Understanding</w:t>
      </w:r>
      <w:r>
        <w:rPr>
          <w:rFonts w:ascii="Arial" w:cs="Arial" w:eastAsia="Arial" w:hAnsi="Arial"/>
          <w:sz w:val="19"/>
          <w:szCs w:val="19"/>
          <w:color w:val="auto"/>
        </w:rPr>
        <w:t>. EXECUTIVE ACKNOWLEDGES AND AGREES THAT HE HAS FULLY READ, UNDERSTANDS AND VOLUNTARILY ENTERS INTO THIS AGREEMENT. EXECUTIVE ACKNOWLEDGES AND AGREES THAT HE HAS HAD AN OPPORTUNITY TO ASK QUESTIONS AND CONSULT WITH AN ATTORNEY OF HIS CHOICE BEFORE SIGNING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5" w:name="page56"/>
    <w:bookmarkEnd w:id="55"/>
    <w:p>
      <w:pPr>
        <w:ind w:left="680"/>
        <w:spacing w:after="0"/>
        <w:rPr>
          <w:sz w:val="20"/>
          <w:szCs w:val="20"/>
          <w:color w:val="auto"/>
        </w:rPr>
      </w:pPr>
      <w:r>
        <w:rPr>
          <w:rFonts w:ascii="Arial" w:cs="Arial" w:eastAsia="Arial" w:hAnsi="Arial"/>
          <w:sz w:val="17"/>
          <w:szCs w:val="17"/>
          <w:color w:val="auto"/>
        </w:rPr>
        <w:t>IN WITNESS WHEREOF, the parties hereto have executed this Agreement as of the date first above written.</w:t>
      </w:r>
    </w:p>
    <w:p>
      <w:pPr>
        <w:sectPr>
          <w:pgSz w:w="11900" w:h="16838" w:orient="portrait"/>
          <w:cols w:equalWidth="0" w:num="1">
            <w:col w:w="9019"/>
          </w:cols>
          <w:pgMar w:left="1440" w:top="347" w:right="1440" w:bottom="1440" w:gutter="0" w:footer="0" w:header="0"/>
        </w:sectPr>
      </w:pPr>
    </w:p>
    <w:p>
      <w:pPr>
        <w:spacing w:after="0" w:line="231"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AVITA MEDICAL, INC.</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20" w:type="dxa"/>
            <w:vAlign w:val="bottom"/>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Lou Panaccio</w:t>
            </w:r>
          </w:p>
        </w:tc>
      </w:tr>
      <w:tr>
        <w:trPr>
          <w:trHeight w:val="234"/>
        </w:trPr>
        <w:tc>
          <w:tcPr>
            <w:tcW w:w="860" w:type="dxa"/>
            <w:vAlign w:val="bottom"/>
          </w:tcPr>
          <w:p>
            <w:pPr>
              <w:spacing w:after="0"/>
              <w:rPr>
                <w:sz w:val="20"/>
                <w:szCs w:val="20"/>
                <w:color w:val="auto"/>
              </w:rPr>
            </w:pPr>
            <w:r>
              <w:rPr>
                <w:rFonts w:ascii="Arial" w:cs="Arial" w:eastAsia="Arial" w:hAnsi="Arial"/>
                <w:sz w:val="19"/>
                <w:szCs w:val="19"/>
                <w:color w:val="auto"/>
              </w:rPr>
              <w:t>Name:</w:t>
            </w:r>
          </w:p>
        </w:tc>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9"/>
                <w:szCs w:val="19"/>
                <w:color w:val="auto"/>
              </w:rPr>
              <w:t>Lou Panaccio</w:t>
            </w:r>
          </w:p>
        </w:tc>
      </w:tr>
      <w:tr>
        <w:trPr>
          <w:trHeight w:val="626"/>
        </w:trPr>
        <w:tc>
          <w:tcPr>
            <w:tcW w:w="7060" w:type="dxa"/>
            <w:vAlign w:val="bottom"/>
            <w:gridSpan w:val="3"/>
          </w:tcPr>
          <w:p>
            <w:pPr>
              <w:spacing w:after="0"/>
              <w:rPr>
                <w:sz w:val="20"/>
                <w:szCs w:val="20"/>
                <w:color w:val="auto"/>
              </w:rPr>
            </w:pPr>
            <w:r>
              <w:rPr>
                <w:rFonts w:ascii="Arial" w:cs="Arial" w:eastAsia="Arial" w:hAnsi="Arial"/>
                <w:sz w:val="19"/>
                <w:szCs w:val="19"/>
                <w:b w:val="1"/>
                <w:bCs w:val="1"/>
                <w:color w:val="auto"/>
              </w:rPr>
              <w:t>EXECUTIVE</w:t>
            </w:r>
          </w:p>
        </w:tc>
      </w:tr>
      <w:tr>
        <w:trPr>
          <w:trHeight w:val="430"/>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James Corbett</w:t>
            </w:r>
          </w:p>
        </w:tc>
      </w:tr>
      <w:tr>
        <w:trPr>
          <w:trHeight w:val="187"/>
        </w:trPr>
        <w:tc>
          <w:tcPr>
            <w:tcW w:w="860" w:type="dxa"/>
            <w:vAlign w:val="bottom"/>
          </w:tcPr>
          <w:p>
            <w:pPr>
              <w:spacing w:after="0" w:line="187" w:lineRule="exact"/>
              <w:rPr>
                <w:sz w:val="20"/>
                <w:szCs w:val="20"/>
                <w:color w:val="auto"/>
              </w:rPr>
            </w:pPr>
            <w:r>
              <w:rPr>
                <w:rFonts w:ascii="Arial" w:cs="Arial" w:eastAsia="Arial" w:hAnsi="Arial"/>
                <w:sz w:val="19"/>
                <w:szCs w:val="19"/>
                <w:color w:val="auto"/>
              </w:rPr>
              <w:t>Name:</w:t>
            </w:r>
          </w:p>
        </w:tc>
        <w:tc>
          <w:tcPr>
            <w:tcW w:w="6200" w:type="dxa"/>
            <w:vAlign w:val="bottom"/>
            <w:gridSpan w:val="2"/>
          </w:tcPr>
          <w:p>
            <w:pPr>
              <w:spacing w:after="0" w:line="187" w:lineRule="exact"/>
              <w:rPr>
                <w:sz w:val="20"/>
                <w:szCs w:val="20"/>
                <w:color w:val="auto"/>
              </w:rPr>
            </w:pPr>
            <w:r>
              <w:rPr>
                <w:rFonts w:ascii="Arial" w:cs="Arial" w:eastAsia="Arial" w:hAnsi="Arial"/>
                <w:sz w:val="19"/>
                <w:szCs w:val="19"/>
                <w:color w:val="auto"/>
              </w:rPr>
              <w:t>James Corbett</w:t>
            </w:r>
          </w:p>
        </w:tc>
      </w:tr>
      <w:tr>
        <w:trPr>
          <w:trHeight w:val="240"/>
        </w:trPr>
        <w:tc>
          <w:tcPr>
            <w:tcW w:w="860" w:type="dxa"/>
            <w:vAlign w:val="bottom"/>
          </w:tcPr>
          <w:p>
            <w:pPr>
              <w:spacing w:after="0"/>
              <w:rPr>
                <w:sz w:val="20"/>
                <w:szCs w:val="20"/>
                <w:color w:val="auto"/>
              </w:rPr>
            </w:pPr>
            <w:r>
              <w:rPr>
                <w:rFonts w:ascii="Arial" w:cs="Arial" w:eastAsia="Arial" w:hAnsi="Arial"/>
                <w:sz w:val="19"/>
                <w:szCs w:val="19"/>
                <w:color w:val="auto"/>
              </w:rPr>
              <w:t>Date:</w:t>
            </w:r>
          </w:p>
        </w:tc>
        <w:tc>
          <w:tcPr>
            <w:tcW w:w="6200" w:type="dxa"/>
            <w:vAlign w:val="bottom"/>
            <w:gridSpan w:val="2"/>
          </w:tcPr>
          <w:p>
            <w:pPr>
              <w:spacing w:after="0"/>
              <w:rPr>
                <w:sz w:val="20"/>
                <w:szCs w:val="20"/>
                <w:color w:val="auto"/>
              </w:rPr>
            </w:pPr>
            <w:r>
              <w:rPr>
                <w:rFonts w:ascii="Arial" w:cs="Arial" w:eastAsia="Arial" w:hAnsi="Arial"/>
                <w:sz w:val="19"/>
                <w:szCs w:val="19"/>
                <w:color w:val="auto"/>
              </w:rPr>
              <w:t>September 26,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9"/>
          <w:szCs w:val="19"/>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Definitions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Obligations</w:t>
      </w:r>
      <w:r>
        <w:rPr>
          <w:rFonts w:ascii="Arial" w:cs="Arial" w:eastAsia="Arial" w:hAnsi="Arial"/>
          <w:sz w:val="18"/>
          <w:szCs w:val="18"/>
          <w:color w:val="auto"/>
        </w:rPr>
        <w:t>" shall mean (i) all accrued but unpaid Base Salary through the date of termination of Executive's employment, (ii) any unpaid or unreimbursed expenses incurred in accordance with Section 4.6 hereof, (iii) any benefits provided under the Company's employee benefit plans upon a termination of employment, including rights with respect to Company equity, in accordance with the terms contained therein, or in any grant, and (iv) all rights to indemnification and directors and officers liability insurance coverage.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Salary</w:t>
      </w:r>
      <w:r>
        <w:rPr>
          <w:rFonts w:ascii="Arial" w:cs="Arial" w:eastAsia="Arial" w:hAnsi="Arial"/>
          <w:sz w:val="19"/>
          <w:szCs w:val="19"/>
          <w:color w:val="auto"/>
        </w:rPr>
        <w:t>" shall mean the salary provided in Section 4.1, as in effect from time to time.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Directors of the Company.</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shall mean the occurrence of any of the following events: (i) Executive's unauthorized misuse of the Company's trade secrets or proprietary information, (ii) Executive's conviction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have the meaning set forth in the Company's 2020 Omnibus Incentive Plan.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 and the rules and regulations promulgated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Company together with any of its direct or indirect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have the meaning set forth in the Company's 2020 Omnibus Incentive Plan.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Employment Term</w:t>
      </w:r>
      <w:r>
        <w:rPr>
          <w:rFonts w:ascii="Arial" w:cs="Arial" w:eastAsia="Arial" w:hAnsi="Arial"/>
          <w:sz w:val="19"/>
          <w:szCs w:val="19"/>
          <w:color w:val="auto"/>
        </w:rPr>
        <w:t>" shall mean the period during which Executive is employed by the Company, as specified in Section 2 hereof.</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the occurrence of any of the following, in each case during the Employment Term without Executive's written consent:</w:t>
      </w:r>
    </w:p>
    <w:p>
      <w:pPr>
        <w:spacing w:after="0" w:line="37" w:lineRule="exact"/>
        <w:rPr>
          <w:sz w:val="20"/>
          <w:szCs w:val="20"/>
          <w:color w:val="auto"/>
        </w:rPr>
      </w:pPr>
    </w:p>
    <w:p>
      <w:pPr>
        <w:jc w:val="both"/>
        <w:ind w:firstLine="8"/>
        <w:spacing w:after="0" w:line="265" w:lineRule="auto"/>
        <w:tabs>
          <w:tab w:leader="none" w:pos="24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breach by the Company of any material provision of this Agreement, or (iv) a material diminution in the nature or scope of Executive's authority or responsibilities from those applicable to Executive as of the Effective Date; provided that in no event shall Executive's resignation be for "Good Reason" unless (x) an event or circumstance set forth in clauses (i), (ii), (iii), (iv), (v) or</w:t>
      </w: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shall have occurred and Executive provides the Company with written notice thereof within a reasonable period of time, not to exceed ninety</w:t>
      </w:r>
    </w:p>
    <w:p>
      <w:pPr>
        <w:spacing w:after="0" w:line="20"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(90) days, after the initial occurrence or existence of such event or circumstance, which notice specifically identifies the event or circumstance that Executive believes constitutes Good Reason, (y) the Company fails to correct the circumstance or event so identified within thirty (30) days after the receipt of such notice, and (z) Executive resigns within one hundred and twenty (120) days after the date of delivery of the notice referred to in clause (x) above. Executive acknowledges and agrees that Executive's exclusive remedy in the event of any breach of this Agreement shall be to assert Good Reason pursuant to the terms and conditions of Section 5.6.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 of Claims</w:t>
      </w:r>
      <w:r>
        <w:rPr>
          <w:rFonts w:ascii="Arial" w:cs="Arial" w:eastAsia="Arial" w:hAnsi="Arial"/>
          <w:sz w:val="17"/>
          <w:szCs w:val="17"/>
          <w:color w:val="auto"/>
        </w:rPr>
        <w:t>" shall mean the Release of Claims in the form provided to Executive by the Company on or following the Termination Date.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570" w:right="339" w:bottom="1440" w:gutter="0" w:footer="0" w:header="0"/>
        </w:sectPr>
      </w:pPr>
    </w:p>
    <w:bookmarkStart w:id="57" w:name="page58"/>
    <w:bookmarkEnd w:id="57"/>
    <w:p>
      <w:pPr>
        <w:ind w:left="912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78740</wp:posOffset>
            </wp:positionV>
            <wp:extent cx="7174865" cy="7959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795972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58" w:name="page59"/>
    <w:bookmarkEnd w:id="58"/>
    <w:p>
      <w:pPr>
        <w:spacing w:after="0"/>
        <w:tabs>
          <w:tab w:leader="none" w:pos="10360" w:val="left"/>
        </w:tabs>
        <w:rPr>
          <w:sz w:val="20"/>
          <w:szCs w:val="20"/>
          <w:color w:val="auto"/>
        </w:rPr>
      </w:pPr>
      <w:r>
        <w:rPr>
          <w:rFonts w:ascii="Arial" w:cs="Arial" w:eastAsia="Arial" w:hAnsi="Arial"/>
          <w:sz w:val="16"/>
          <w:szCs w:val="16"/>
          <w:color w:val="auto"/>
        </w:rPr>
        <w:t>HHSO100201500028C P00011</w:t>
      </w:r>
      <w:r>
        <w:rPr>
          <w:sz w:val="20"/>
          <w:szCs w:val="20"/>
          <w:color w:val="auto"/>
        </w:rPr>
        <w:tab/>
      </w:r>
      <w:r>
        <w:rPr>
          <w:rFonts w:ascii="Arial" w:cs="Arial" w:eastAsia="Arial" w:hAnsi="Arial"/>
          <w:sz w:val="16"/>
          <w:szCs w:val="16"/>
          <w:color w:val="auto"/>
        </w:rPr>
        <w:t>Page 2 of 4</w:t>
      </w:r>
    </w:p>
    <w:p>
      <w:pPr>
        <w:sectPr>
          <w:pgSz w:w="11900" w:h="16838" w:orient="portrait"/>
          <w:cols w:equalWidth="0" w:num="1">
            <w:col w:w="11220"/>
          </w:cols>
          <w:pgMar w:left="340" w:top="1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40" w:right="1260"/>
        <w:spacing w:after="0" w:line="271" w:lineRule="auto"/>
        <w:rPr>
          <w:sz w:val="20"/>
          <w:szCs w:val="20"/>
          <w:color w:val="auto"/>
        </w:rPr>
      </w:pPr>
      <w:r>
        <w:rPr>
          <w:rFonts w:ascii="Arial" w:cs="Arial" w:eastAsia="Arial" w:hAnsi="Arial"/>
          <w:sz w:val="18"/>
          <w:szCs w:val="18"/>
          <w:b w:val="1"/>
          <w:bCs w:val="1"/>
          <w:color w:val="auto"/>
        </w:rPr>
        <w:t>Beginning with the effective date of this modification, the Government and the Contractor mutually agree as follows:</w:t>
      </w:r>
    </w:p>
    <w:p>
      <w:pPr>
        <w:spacing w:after="0" w:line="154"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ARTICLE B.5. ADVANCE UNDERSTANDINGS </w:t>
      </w:r>
      <w:r>
        <w:rPr>
          <w:rFonts w:ascii="Arial" w:cs="Arial" w:eastAsia="Arial" w:hAnsi="Arial"/>
          <w:sz w:val="18"/>
          <w:szCs w:val="18"/>
          <w:color w:val="auto"/>
        </w:rPr>
        <w:t>is modified to update paragraph l.8:</w:t>
      </w:r>
    </w:p>
    <w:p>
      <w:pPr>
        <w:spacing w:after="0" w:line="198" w:lineRule="exact"/>
        <w:rPr>
          <w:sz w:val="20"/>
          <w:szCs w:val="20"/>
          <w:color w:val="auto"/>
        </w:rPr>
      </w:pPr>
    </w:p>
    <w:p>
      <w:pPr>
        <w:ind w:left="2640" w:hanging="731"/>
        <w:spacing w:after="0"/>
        <w:tabs>
          <w:tab w:leader="none" w:pos="2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Understandings</w:t>
      </w:r>
    </w:p>
    <w:p>
      <w:pPr>
        <w:spacing w:after="0" w:line="211" w:lineRule="exact"/>
        <w:rPr>
          <w:rFonts w:ascii="Arial" w:cs="Arial" w:eastAsia="Arial" w:hAnsi="Arial"/>
          <w:sz w:val="18"/>
          <w:szCs w:val="18"/>
          <w:b w:val="1"/>
          <w:bCs w:val="1"/>
          <w:color w:val="auto"/>
        </w:rPr>
      </w:pPr>
    </w:p>
    <w:p>
      <w:pPr>
        <w:ind w:left="2980" w:right="1660" w:hanging="360"/>
        <w:spacing w:after="0" w:line="271" w:lineRule="auto"/>
        <w:tabs>
          <w:tab w:leader="none" w:pos="29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overall VMI quantity of all device components is reduced to ensure a new overall total of [**] RECELL devices.</w:t>
      </w:r>
    </w:p>
    <w:p>
      <w:pPr>
        <w:spacing w:after="0" w:line="153" w:lineRule="exact"/>
        <w:rPr>
          <w:rFonts w:ascii="Arial" w:cs="Arial" w:eastAsia="Arial" w:hAnsi="Arial"/>
          <w:sz w:val="18"/>
          <w:szCs w:val="18"/>
          <w:b w:val="1"/>
          <w:bCs w:val="1"/>
          <w:color w:val="auto"/>
        </w:rPr>
      </w:pPr>
    </w:p>
    <w:p>
      <w:pPr>
        <w:ind w:left="3700" w:right="1420" w:hanging="351"/>
        <w:spacing w:after="0" w:line="253" w:lineRule="auto"/>
        <w:tabs>
          <w:tab w:leader="none" w:pos="3700"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BARDA approves the reduction of the total VMI units to no less than [**] RECELL Units by Dec 2023. This reduction is intended to occur in collaboration with Avita and other partners like ABA.</w:t>
      </w:r>
    </w:p>
    <w:p>
      <w:pPr>
        <w:spacing w:after="0" w:line="168" w:lineRule="exact"/>
        <w:rPr>
          <w:rFonts w:ascii="Arial" w:cs="Arial" w:eastAsia="Arial" w:hAnsi="Arial"/>
          <w:sz w:val="18"/>
          <w:szCs w:val="18"/>
          <w:b w:val="1"/>
          <w:bCs w:val="1"/>
          <w:color w:val="auto"/>
        </w:rPr>
      </w:pPr>
    </w:p>
    <w:p>
      <w:pPr>
        <w:ind w:left="3700" w:right="1020" w:hanging="351"/>
        <w:spacing w:after="0" w:line="242" w:lineRule="auto"/>
        <w:tabs>
          <w:tab w:leader="none" w:pos="3700"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VMI units removed from the inventory as part of this reduction are intended to support ‘RECELL care practice integration/adoption activities’. These units may support product training for new users, students, residents, extended users like PAs for training workshops &amp; demonstrations and such activities that can “build preparedness” at the end user care provider level.</w:t>
      </w:r>
    </w:p>
    <w:p>
      <w:pPr>
        <w:spacing w:after="0" w:line="178" w:lineRule="exact"/>
        <w:rPr>
          <w:rFonts w:ascii="Arial" w:cs="Arial" w:eastAsia="Arial" w:hAnsi="Arial"/>
          <w:sz w:val="18"/>
          <w:szCs w:val="18"/>
          <w:b w:val="1"/>
          <w:bCs w:val="1"/>
          <w:color w:val="auto"/>
        </w:rPr>
      </w:pPr>
    </w:p>
    <w:p>
      <w:pPr>
        <w:ind w:left="3700" w:right="1220" w:hanging="351"/>
        <w:spacing w:after="0" w:line="253" w:lineRule="auto"/>
        <w:tabs>
          <w:tab w:leader="none" w:pos="3700"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As Avita/BARDA identifies opportunities to reduce the total VMI, the total number of devices to be removed and use-case must be pre- approved by the COR/CO via email.</w:t>
      </w:r>
    </w:p>
    <w:p>
      <w:pPr>
        <w:spacing w:after="0" w:line="168" w:lineRule="exact"/>
        <w:rPr>
          <w:rFonts w:ascii="Arial" w:cs="Arial" w:eastAsia="Arial" w:hAnsi="Arial"/>
          <w:sz w:val="18"/>
          <w:szCs w:val="18"/>
          <w:b w:val="1"/>
          <w:bCs w:val="1"/>
          <w:color w:val="auto"/>
        </w:rPr>
      </w:pPr>
    </w:p>
    <w:p>
      <w:pPr>
        <w:ind w:left="3700" w:right="1100" w:hanging="351"/>
        <w:spacing w:after="0" w:line="247" w:lineRule="auto"/>
        <w:tabs>
          <w:tab w:leader="none" w:pos="3700"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When the contract ends in Dec 2023, the remaining [**] RECELL units must be used within the following 6 months for the same purposes identified in b. above, either by Avita or be transferred to USG custody (site / TBD) or be disposed of as determined closer to the end of the contract.</w:t>
      </w:r>
    </w:p>
    <w:p>
      <w:pPr>
        <w:spacing w:after="0" w:line="160"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ARTICLE F.3. DELIVERIES </w:t>
      </w:r>
      <w:r>
        <w:rPr>
          <w:rFonts w:ascii="Arial" w:cs="Arial" w:eastAsia="Arial" w:hAnsi="Arial"/>
          <w:sz w:val="18"/>
          <w:szCs w:val="18"/>
          <w:color w:val="auto"/>
        </w:rPr>
        <w:t>is hereby modified as follows:</w:t>
      </w:r>
    </w:p>
    <w:p>
      <w:pPr>
        <w:spacing w:after="0" w:line="20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Addresses: CO – [**] COR – [**]</w:t>
      </w:r>
    </w:p>
    <w:p>
      <w:pPr>
        <w:spacing w:after="0" w:line="379"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ARTICLE G.1. CONTRACTING OFFICER </w:t>
      </w:r>
      <w:r>
        <w:rPr>
          <w:rFonts w:ascii="Arial" w:cs="Arial" w:eastAsia="Arial" w:hAnsi="Arial"/>
          <w:sz w:val="18"/>
          <w:szCs w:val="18"/>
          <w:color w:val="auto"/>
        </w:rPr>
        <w:t>is hereby modified as follows:</w:t>
      </w:r>
    </w:p>
    <w:p>
      <w:pPr>
        <w:spacing w:after="0" w:line="23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Contracting Officer (CO) will represent the Government for the purpose of this contract:</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ARTICLE G.4. INVOICE SUBMISSION </w:t>
      </w:r>
      <w:r>
        <w:rPr>
          <w:rFonts w:ascii="Arial" w:cs="Arial" w:eastAsia="Arial" w:hAnsi="Arial"/>
          <w:sz w:val="18"/>
          <w:szCs w:val="18"/>
          <w:color w:val="auto"/>
        </w:rPr>
        <w:t>is hereby modified as follows:</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Electronic Invoicing and Payment Requirements - Invoice Processing Platform (IPP)</w:t>
      </w:r>
    </w:p>
    <w:p>
      <w:pPr>
        <w:spacing w:after="0" w:line="18" w:lineRule="exact"/>
        <w:rPr>
          <w:sz w:val="20"/>
          <w:szCs w:val="20"/>
          <w:color w:val="auto"/>
        </w:rPr>
      </w:pPr>
    </w:p>
    <w:p>
      <w:pPr>
        <w:ind w:left="1900" w:right="1420" w:hanging="360"/>
        <w:spacing w:after="0" w:line="248" w:lineRule="auto"/>
        <w:tabs>
          <w:tab w:leader="none" w:pos="1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Invoice submissions for goods and or services delivered to facilitate payments must be made electronically through the U.S. Department of Treasury’s Invoice Processing Platform System (IPP).</w:t>
      </w:r>
    </w:p>
    <w:p>
      <w:pPr>
        <w:spacing w:after="0" w:line="1" w:lineRule="exact"/>
        <w:rPr>
          <w:rFonts w:ascii="Arial" w:cs="Arial" w:eastAsia="Arial" w:hAnsi="Arial"/>
          <w:sz w:val="17"/>
          <w:szCs w:val="17"/>
          <w:color w:val="auto"/>
        </w:rPr>
      </w:pPr>
    </w:p>
    <w:p>
      <w:pPr>
        <w:ind w:left="1900" w:right="1160" w:hanging="360"/>
        <w:spacing w:after="0" w:line="234" w:lineRule="auto"/>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Invoice Submission for Payment means any request for contract financing payment or invoice payment by the Contractor. To constitute a proper invoice, the payment request must comply with the requirements identified in the applicable Prompt Payment clause included in the contract, or the clause 52.212-4 Contract Terms and Conditions – Commercial Items included in commercial items contracts. The IPP website address is: https://www.ipp.gov.</w:t>
      </w:r>
    </w:p>
    <w:p>
      <w:pPr>
        <w:spacing w:after="0" w:line="3" w:lineRule="exact"/>
        <w:rPr>
          <w:rFonts w:ascii="Arial" w:cs="Arial" w:eastAsia="Arial" w:hAnsi="Arial"/>
          <w:sz w:val="18"/>
          <w:szCs w:val="18"/>
          <w:color w:val="auto"/>
        </w:rPr>
      </w:pPr>
    </w:p>
    <w:p>
      <w:pPr>
        <w:jc w:val="both"/>
        <w:ind w:left="1900" w:right="1100" w:hanging="360"/>
        <w:spacing w:after="0"/>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Agency will enroll the Contractors new to IPP. The Contractor must follow the IPP registration email instructions for enrollment to register the Collector Account for submitting invoice requests for payment. The Contractor Government Business Point of Contact (as listed in SAM)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330835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155" w:right="339" w:bottom="1440" w:gutter="0" w:footer="0" w:header="0"/>
          <w:type w:val="continuous"/>
        </w:sectPr>
      </w:pPr>
    </w:p>
    <w:bookmarkStart w:id="59" w:name="page60"/>
    <w:bookmarkEnd w:id="59"/>
    <w:p>
      <w:pPr>
        <w:spacing w:after="0"/>
        <w:tabs>
          <w:tab w:leader="none" w:pos="10360" w:val="left"/>
        </w:tabs>
        <w:rPr>
          <w:sz w:val="20"/>
          <w:szCs w:val="20"/>
          <w:color w:val="auto"/>
        </w:rPr>
      </w:pPr>
      <w:r>
        <w:rPr>
          <w:rFonts w:ascii="Arial" w:cs="Arial" w:eastAsia="Arial" w:hAnsi="Arial"/>
          <w:sz w:val="16"/>
          <w:szCs w:val="16"/>
          <w:color w:val="auto"/>
        </w:rPr>
        <w:t>HHSO100201500028C P00011</w:t>
      </w:r>
      <w:r>
        <w:rPr>
          <w:sz w:val="20"/>
          <w:szCs w:val="20"/>
          <w:color w:val="auto"/>
        </w:rPr>
        <w:tab/>
      </w:r>
      <w:r>
        <w:rPr>
          <w:rFonts w:ascii="Arial" w:cs="Arial" w:eastAsia="Arial" w:hAnsi="Arial"/>
          <w:sz w:val="16"/>
          <w:szCs w:val="16"/>
          <w:color w:val="auto"/>
        </w:rPr>
        <w:t>Page 3 of 4</w:t>
      </w:r>
    </w:p>
    <w:p>
      <w:pPr>
        <w:sectPr>
          <w:pgSz w:w="11900" w:h="16838" w:orient="portrait"/>
          <w:cols w:equalWidth="0" w:num="1">
            <w:col w:w="11220"/>
          </w:cols>
          <w:pgMar w:left="340" w:top="15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260" w:right="1440" w:hanging="355"/>
        <w:spacing w:after="0" w:line="248" w:lineRule="auto"/>
        <w:tabs>
          <w:tab w:leader="none" w:pos="22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Registration email from the Federal Reserve Bank of St. Louis (FRBSTL) within 3 – 5 business days of the contract award for new contracts or date of modification for existing contracts. o Registration emails are sent via email from [**] Contractor assistance with enrollment can be obtained by contacting the IPP Production Helpdesk via email to [**]or phone [**]</w:t>
      </w:r>
    </w:p>
    <w:p>
      <w:pPr>
        <w:spacing w:after="0" w:line="2" w:lineRule="exact"/>
        <w:rPr>
          <w:rFonts w:ascii="Arial" w:cs="Arial" w:eastAsia="Arial" w:hAnsi="Arial"/>
          <w:sz w:val="17"/>
          <w:szCs w:val="17"/>
          <w:color w:val="auto"/>
        </w:rPr>
      </w:pPr>
    </w:p>
    <w:p>
      <w:pPr>
        <w:ind w:left="2260" w:right="1260" w:hanging="355"/>
        <w:spacing w:after="0" w:line="238" w:lineRule="auto"/>
        <w:tabs>
          <w:tab w:leader="none" w:pos="2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Contractor POC will receive two emails from </w:t>
      </w:r>
      <w:r>
        <w:rPr>
          <w:rFonts w:ascii="Arial" w:cs="Arial" w:eastAsia="Arial" w:hAnsi="Arial"/>
          <w:sz w:val="18"/>
          <w:szCs w:val="18"/>
          <w:b w:val="1"/>
          <w:bCs w:val="1"/>
          <w:color w:val="auto"/>
        </w:rPr>
        <w:t>IPP Customer Support</w:t>
      </w:r>
      <w:r>
        <w:rPr>
          <w:rFonts w:ascii="Arial" w:cs="Arial" w:eastAsia="Arial" w:hAnsi="Arial"/>
          <w:sz w:val="18"/>
          <w:szCs w:val="18"/>
          <w:color w:val="auto"/>
        </w:rPr>
        <w:t>, the first email contains the initial administrative IPP User ID. The second email, sent within 24 hours of receipt of the first email, contains a temporary password. You must log in with the temporary password within 30 days.</w:t>
      </w:r>
    </w:p>
    <w:p>
      <w:pPr>
        <w:spacing w:after="0" w:line="177" w:lineRule="exact"/>
        <w:rPr>
          <w:rFonts w:ascii="Arial" w:cs="Arial" w:eastAsia="Arial" w:hAnsi="Arial"/>
          <w:sz w:val="18"/>
          <w:szCs w:val="18"/>
          <w:color w:val="auto"/>
        </w:rPr>
      </w:pPr>
    </w:p>
    <w:p>
      <w:pPr>
        <w:ind w:left="1900" w:hanging="360"/>
        <w:spacing w:after="0"/>
        <w:tabs>
          <w:tab w:leader="none" w:pos="1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your company is already registered to use IPP, you will not be required to re-register.</w:t>
      </w:r>
    </w:p>
    <w:p>
      <w:pPr>
        <w:spacing w:after="0" w:line="9" w:lineRule="exact"/>
        <w:rPr>
          <w:rFonts w:ascii="Arial" w:cs="Arial" w:eastAsia="Arial" w:hAnsi="Arial"/>
          <w:sz w:val="18"/>
          <w:szCs w:val="18"/>
          <w:color w:val="auto"/>
        </w:rPr>
      </w:pPr>
    </w:p>
    <w:p>
      <w:pPr>
        <w:ind w:left="1900" w:right="1360" w:hanging="360"/>
        <w:spacing w:after="0" w:line="261" w:lineRule="auto"/>
        <w:tabs>
          <w:tab w:leader="none" w:pos="1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Contractor is unable to comply with the requirement to use IPP for submitting invoices for payment as authorized by HHSAR 332.7002, a written request must be submitted to the Contracting Officer to explain the circumstances that require the authorization of alternate payment procedures.</w:t>
      </w:r>
    </w:p>
    <w:p>
      <w:pPr>
        <w:spacing w:after="0" w:line="17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xml:space="preserve">Additional </w:t>
      </w:r>
      <w:r>
        <w:rPr>
          <w:rFonts w:ascii="Arial" w:cs="Arial" w:eastAsia="Arial" w:hAnsi="Arial"/>
          <w:sz w:val="18"/>
          <w:szCs w:val="18"/>
          <w:color w:val="1E1F21"/>
        </w:rPr>
        <w:t>Office of the Assistant Secretary for Preparedness and Response</w:t>
      </w:r>
      <w:r>
        <w:rPr>
          <w:rFonts w:ascii="Arial" w:cs="Arial" w:eastAsia="Arial" w:hAnsi="Arial"/>
          <w:sz w:val="18"/>
          <w:szCs w:val="18"/>
          <w:color w:val="auto"/>
        </w:rPr>
        <w:t xml:space="preserve"> (ASPR) requirements:</w:t>
      </w:r>
    </w:p>
    <w:p>
      <w:pPr>
        <w:spacing w:after="0" w:line="212" w:lineRule="exact"/>
        <w:rPr>
          <w:sz w:val="20"/>
          <w:szCs w:val="20"/>
          <w:color w:val="auto"/>
        </w:rPr>
      </w:pPr>
    </w:p>
    <w:p>
      <w:pPr>
        <w:jc w:val="both"/>
        <w:ind w:left="1900" w:right="1060" w:hanging="360"/>
        <w:spacing w:after="0" w:line="234"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contractor shall submit monthly invoices under this contract unless otherwise agreed upon by all parties. For indefinite delivery and blanket purchase agreement vehicles, separate invoices must be submitted for each order.</w:t>
      </w:r>
    </w:p>
    <w:p>
      <w:pPr>
        <w:spacing w:after="0" w:line="2" w:lineRule="exact"/>
        <w:rPr>
          <w:rFonts w:ascii="Arial" w:cs="Arial" w:eastAsia="Arial" w:hAnsi="Arial"/>
          <w:sz w:val="18"/>
          <w:szCs w:val="18"/>
          <w:color w:val="auto"/>
        </w:rPr>
      </w:pPr>
    </w:p>
    <w:p>
      <w:pPr>
        <w:ind w:left="1900" w:right="1760" w:hanging="360"/>
        <w:spacing w:after="0" w:line="226"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Invoices must break-out price/cost by contract line item number (CLIN) as specified in the pricing section of the contract.</w:t>
      </w:r>
    </w:p>
    <w:p>
      <w:pPr>
        <w:spacing w:after="0" w:line="1" w:lineRule="exact"/>
        <w:rPr>
          <w:rFonts w:ascii="Arial" w:cs="Arial" w:eastAsia="Arial" w:hAnsi="Arial"/>
          <w:sz w:val="18"/>
          <w:szCs w:val="18"/>
          <w:color w:val="auto"/>
        </w:rPr>
      </w:pPr>
    </w:p>
    <w:p>
      <w:pPr>
        <w:ind w:left="1900" w:hanging="360"/>
        <w:spacing w:after="0"/>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Invoices must include the Dun &amp; Bradstreet Number (DUNS) of the Contractor.</w:t>
      </w:r>
    </w:p>
    <w:p>
      <w:pPr>
        <w:spacing w:after="0" w:line="9" w:lineRule="exact"/>
        <w:rPr>
          <w:rFonts w:ascii="Arial" w:cs="Arial" w:eastAsia="Arial" w:hAnsi="Arial"/>
          <w:sz w:val="18"/>
          <w:szCs w:val="18"/>
          <w:color w:val="auto"/>
        </w:rPr>
      </w:pPr>
    </w:p>
    <w:p>
      <w:pPr>
        <w:ind w:left="1900" w:right="1400" w:hanging="360"/>
        <w:spacing w:after="0" w:line="234"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Invoices that include time and materials or labor hours CLINS must include supporting documentation to (1) substantiate the number of labor hours invoiced for each labor category, and (2) substantiate material costs incurred (when applicable).</w:t>
      </w:r>
    </w:p>
    <w:p>
      <w:pPr>
        <w:spacing w:after="0" w:line="2" w:lineRule="exact"/>
        <w:rPr>
          <w:rFonts w:ascii="Arial" w:cs="Arial" w:eastAsia="Arial" w:hAnsi="Arial"/>
          <w:sz w:val="18"/>
          <w:szCs w:val="18"/>
          <w:color w:val="auto"/>
        </w:rPr>
      </w:pPr>
    </w:p>
    <w:p>
      <w:pPr>
        <w:ind w:left="1900" w:right="2480" w:hanging="360"/>
        <w:spacing w:after="0" w:line="234"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Invoices that include cost-reimbursement CLINs must be submitted in a format showing expenditures for that month, as well as contract cumulative amounts.</w:t>
      </w:r>
    </w:p>
    <w:p>
      <w:pPr>
        <w:spacing w:after="0" w:line="1" w:lineRule="exact"/>
        <w:rPr>
          <w:sz w:val="20"/>
          <w:szCs w:val="20"/>
          <w:color w:val="auto"/>
        </w:rPr>
      </w:pPr>
    </w:p>
    <w:p>
      <w:pPr>
        <w:ind w:left="1540" w:right="1400"/>
        <w:spacing w:after="0" w:line="234" w:lineRule="auto"/>
        <w:rPr>
          <w:sz w:val="20"/>
          <w:szCs w:val="20"/>
          <w:color w:val="auto"/>
        </w:rPr>
      </w:pPr>
      <w:r>
        <w:rPr>
          <w:rFonts w:ascii="Arial" w:cs="Arial" w:eastAsia="Arial" w:hAnsi="Arial"/>
          <w:sz w:val="18"/>
          <w:szCs w:val="18"/>
          <w:color w:val="auto"/>
        </w:rPr>
        <w:t>At a minimum the following cost information shall be included, in addition to supporting documentation to substantiate costs incurred.</w:t>
      </w:r>
    </w:p>
    <w:p>
      <w:pPr>
        <w:spacing w:after="0" w:line="1" w:lineRule="exact"/>
        <w:rPr>
          <w:sz w:val="20"/>
          <w:szCs w:val="20"/>
          <w:color w:val="auto"/>
        </w:rPr>
      </w:pPr>
    </w:p>
    <w:p>
      <w:pPr>
        <w:ind w:left="1900" w:right="1640" w:hanging="360"/>
        <w:spacing w:after="0" w:line="234"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Labor - include all persons, listing the person's name, title, number of hours worked, hourly rate, the total cost per person and a total amount for this category;</w:t>
      </w:r>
    </w:p>
    <w:p>
      <w:pPr>
        <w:spacing w:after="0" w:line="1" w:lineRule="exact"/>
        <w:rPr>
          <w:rFonts w:ascii="Arial" w:cs="Arial" w:eastAsia="Arial" w:hAnsi="Arial"/>
          <w:sz w:val="18"/>
          <w:szCs w:val="18"/>
          <w:color w:val="auto"/>
        </w:rPr>
      </w:pPr>
    </w:p>
    <w:p>
      <w:pPr>
        <w:ind w:left="1900" w:right="1580" w:hanging="360"/>
        <w:spacing w:after="0" w:line="234"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Indirect Costs (i.e., Fringe Benefits, Overhead, General and Administrative, Other Indirects)- show rate, base and total amount;</w:t>
      </w:r>
    </w:p>
    <w:p>
      <w:pPr>
        <w:spacing w:after="0" w:line="1" w:lineRule="exact"/>
        <w:rPr>
          <w:rFonts w:ascii="Arial" w:cs="Arial" w:eastAsia="Arial" w:hAnsi="Arial"/>
          <w:sz w:val="18"/>
          <w:szCs w:val="18"/>
          <w:color w:val="auto"/>
        </w:rPr>
      </w:pPr>
    </w:p>
    <w:p>
      <w:pPr>
        <w:ind w:left="1900" w:right="1860" w:hanging="360"/>
        <w:spacing w:after="0" w:line="234"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Consultants (if applicable) - include the name, number of days or hours worked, daily or hourly rate, and a total amount per consultant;</w:t>
      </w:r>
    </w:p>
    <w:p>
      <w:pPr>
        <w:spacing w:after="0" w:line="1" w:lineRule="exact"/>
        <w:rPr>
          <w:rFonts w:ascii="Arial" w:cs="Arial" w:eastAsia="Arial" w:hAnsi="Arial"/>
          <w:sz w:val="18"/>
          <w:szCs w:val="18"/>
          <w:color w:val="auto"/>
        </w:rPr>
      </w:pPr>
    </w:p>
    <w:p>
      <w:pPr>
        <w:ind w:left="1900" w:right="1560" w:hanging="360"/>
        <w:spacing w:after="0" w:line="234"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Travel - include for each airplane or train trip taken the name of the traveler, date of travel, destination, the transportation costs including ground transportation shown separately and the per diem costs. Other travel costs shall also be listed;</w:t>
      </w:r>
    </w:p>
    <w:p>
      <w:pPr>
        <w:spacing w:after="0" w:line="2" w:lineRule="exact"/>
        <w:rPr>
          <w:rFonts w:ascii="Arial" w:cs="Arial" w:eastAsia="Arial" w:hAnsi="Arial"/>
          <w:sz w:val="18"/>
          <w:szCs w:val="18"/>
          <w:color w:val="auto"/>
        </w:rPr>
      </w:pPr>
    </w:p>
    <w:p>
      <w:pPr>
        <w:ind w:left="1900" w:right="1680" w:hanging="360"/>
        <w:spacing w:after="0" w:line="234"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Subcontractors (if applicable) - include, for each subcontractor, the same data as required for the prime Contractor;</w:t>
      </w:r>
    </w:p>
    <w:p>
      <w:pPr>
        <w:spacing w:after="0" w:line="1" w:lineRule="exact"/>
        <w:rPr>
          <w:rFonts w:ascii="Arial" w:cs="Arial" w:eastAsia="Arial" w:hAnsi="Arial"/>
          <w:sz w:val="18"/>
          <w:szCs w:val="18"/>
          <w:color w:val="auto"/>
        </w:rPr>
      </w:pPr>
    </w:p>
    <w:p>
      <w:pPr>
        <w:ind w:left="1900" w:right="1620" w:hanging="360"/>
        <w:spacing w:after="0" w:line="226"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Direct Costs - include a listing of all other direct charges to the contract, i.e., office supplies, telephone, duplication, postage; and</w:t>
      </w:r>
    </w:p>
    <w:p>
      <w:pPr>
        <w:spacing w:after="0" w:line="1" w:lineRule="exact"/>
        <w:rPr>
          <w:rFonts w:ascii="Arial" w:cs="Arial" w:eastAsia="Arial" w:hAnsi="Arial"/>
          <w:sz w:val="18"/>
          <w:szCs w:val="18"/>
          <w:color w:val="auto"/>
        </w:rPr>
      </w:pPr>
    </w:p>
    <w:p>
      <w:pPr>
        <w:ind w:left="1900" w:hanging="360"/>
        <w:spacing w:after="0"/>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 – amount as allowable in accordance with the Schedule and FAR 52.216-8 if applicable.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I.3. ADDITIONAL CONTRACT CLAUSES </w:t>
      </w:r>
      <w:r>
        <w:rPr>
          <w:rFonts w:ascii="Arial" w:cs="Arial" w:eastAsia="Arial" w:hAnsi="Arial"/>
          <w:sz w:val="18"/>
          <w:szCs w:val="18"/>
          <w:color w:val="auto"/>
        </w:rPr>
        <w:t>is modified to include the following clause: HHSAR</w:t>
      </w:r>
    </w:p>
    <w:p>
      <w:pPr>
        <w:ind w:left="1540"/>
        <w:spacing w:after="0" w:line="219" w:lineRule="auto"/>
        <w:rPr>
          <w:sz w:val="20"/>
          <w:szCs w:val="20"/>
          <w:color w:val="auto"/>
        </w:rPr>
      </w:pPr>
      <w:r>
        <w:rPr>
          <w:rFonts w:ascii="Arial" w:cs="Arial" w:eastAsia="Arial" w:hAnsi="Arial"/>
          <w:sz w:val="18"/>
          <w:szCs w:val="18"/>
          <w:color w:val="auto"/>
        </w:rPr>
        <w:t>352.232-71 Electronic Submission of Payment Requests (FEB 2022)</w:t>
      </w:r>
    </w:p>
    <w:p>
      <w:pPr>
        <w:ind w:left="15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As used in this clause—</w:t>
      </w:r>
    </w:p>
    <w:p>
      <w:pPr>
        <w:spacing w:after="0" w:line="9" w:lineRule="exact"/>
        <w:rPr>
          <w:sz w:val="20"/>
          <w:szCs w:val="20"/>
          <w:color w:val="auto"/>
        </w:rPr>
      </w:pPr>
    </w:p>
    <w:p>
      <w:pPr>
        <w:ind w:left="1540" w:right="1260"/>
        <w:spacing w:after="0"/>
        <w:rPr>
          <w:sz w:val="20"/>
          <w:szCs w:val="20"/>
          <w:color w:val="auto"/>
        </w:rPr>
      </w:pPr>
      <w:r>
        <w:rPr>
          <w:rFonts w:ascii="Arial" w:cs="Arial" w:eastAsia="Arial" w:hAnsi="Arial"/>
          <w:sz w:val="18"/>
          <w:szCs w:val="18"/>
          <w:i w:val="1"/>
          <w:iCs w:val="1"/>
          <w:color w:val="auto"/>
        </w:rPr>
        <w:t xml:space="preserve">Payment request </w:t>
      </w:r>
      <w:r>
        <w:rPr>
          <w:rFonts w:ascii="Arial" w:cs="Arial" w:eastAsia="Arial" w:hAnsi="Arial"/>
          <w:sz w:val="18"/>
          <w:szCs w:val="18"/>
          <w:color w:val="auto"/>
        </w:rPr>
        <w:t>means a bill, voucher, invoice, or request for contract financing payment with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supporting documentation. The payment request must comply with the requirements identified in FAR 32.905(b), “Content of Invoices” and the applicable Payment clause included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330835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155" w:right="339" w:bottom="1440" w:gutter="0" w:footer="0" w:header="0"/>
          <w:type w:val="continuous"/>
        </w:sectPr>
      </w:pPr>
    </w:p>
    <w:bookmarkStart w:id="60" w:name="page61"/>
    <w:bookmarkEnd w:id="60"/>
    <w:p>
      <w:pPr>
        <w:spacing w:after="0"/>
        <w:tabs>
          <w:tab w:leader="none" w:pos="10360" w:val="left"/>
        </w:tabs>
        <w:rPr>
          <w:sz w:val="20"/>
          <w:szCs w:val="20"/>
          <w:color w:val="auto"/>
        </w:rPr>
      </w:pPr>
      <w:r>
        <w:rPr>
          <w:rFonts w:ascii="Arial" w:cs="Arial" w:eastAsia="Arial" w:hAnsi="Arial"/>
          <w:sz w:val="16"/>
          <w:szCs w:val="16"/>
          <w:color w:val="auto"/>
        </w:rPr>
        <w:t>HHSO100201500028C P00011</w:t>
      </w:r>
      <w:r>
        <w:rPr>
          <w:sz w:val="20"/>
          <w:szCs w:val="20"/>
          <w:color w:val="auto"/>
        </w:rPr>
        <w:tab/>
      </w:r>
      <w:r>
        <w:rPr>
          <w:rFonts w:ascii="Arial" w:cs="Arial" w:eastAsia="Arial" w:hAnsi="Arial"/>
          <w:sz w:val="16"/>
          <w:szCs w:val="16"/>
          <w:color w:val="auto"/>
        </w:rPr>
        <w:t>Page 4 of 4</w:t>
      </w:r>
    </w:p>
    <w:p>
      <w:pPr>
        <w:sectPr>
          <w:pgSz w:w="11900" w:h="16838" w:orient="portrait"/>
          <w:cols w:equalWidth="0" w:num="1">
            <w:col w:w="11220"/>
          </w:cols>
          <w:pgMar w:left="340" w:top="155" w:right="339" w:bottom="1440" w:gutter="0" w:footer="0" w:header="0"/>
        </w:sectPr>
      </w:pPr>
    </w:p>
    <w:p>
      <w:pPr>
        <w:spacing w:after="0" w:line="245" w:lineRule="exact"/>
        <w:rPr>
          <w:sz w:val="20"/>
          <w:szCs w:val="20"/>
          <w:color w:val="auto"/>
        </w:rPr>
      </w:pPr>
    </w:p>
    <w:p>
      <w:pPr>
        <w:ind w:left="1900" w:right="1120" w:hanging="360"/>
        <w:spacing w:after="0" w:line="234" w:lineRule="auto"/>
        <w:tabs>
          <w:tab w:leader="none" w:pos="1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provided in paragraph (c) of this clause, the Contractor shall submit payment requests electronically using the Department of Treasury Invoice Processing Platform (IPP) or successor system. Information regarding IPP, including IPP Customer Support contact information, is available at </w:t>
      </w:r>
      <w:r>
        <w:rPr>
          <w:rFonts w:ascii="Arial" w:cs="Arial" w:eastAsia="Arial" w:hAnsi="Arial"/>
          <w:sz w:val="18"/>
          <w:szCs w:val="18"/>
          <w:color w:val="0460C1"/>
        </w:rPr>
        <w:t xml:space="preserve">www.ipp.gov </w:t>
      </w:r>
      <w:r>
        <w:rPr>
          <w:rFonts w:ascii="Arial" w:cs="Arial" w:eastAsia="Arial" w:hAnsi="Arial"/>
          <w:sz w:val="18"/>
          <w:szCs w:val="18"/>
          <w:color w:val="000000"/>
        </w:rPr>
        <w:t>or any successor site.</w:t>
      </w:r>
    </w:p>
    <w:p>
      <w:pPr>
        <w:spacing w:after="0" w:line="2" w:lineRule="exact"/>
        <w:rPr>
          <w:rFonts w:ascii="Arial" w:cs="Arial" w:eastAsia="Arial" w:hAnsi="Arial"/>
          <w:sz w:val="18"/>
          <w:szCs w:val="18"/>
          <w:color w:val="auto"/>
        </w:rPr>
      </w:pPr>
    </w:p>
    <w:p>
      <w:pPr>
        <w:ind w:left="1900" w:right="1320" w:hanging="360"/>
        <w:spacing w:after="0" w:line="234" w:lineRule="auto"/>
        <w:tabs>
          <w:tab w:leader="none" w:pos="1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Contractor may submit payment requests using other than IPP only when the Contracting Officer authorizes alternate procedures in writing in accordance with HHS procedures.</w:t>
      </w:r>
    </w:p>
    <w:p>
      <w:pPr>
        <w:spacing w:after="0" w:line="1" w:lineRule="exact"/>
        <w:rPr>
          <w:rFonts w:ascii="Arial" w:cs="Arial" w:eastAsia="Arial" w:hAnsi="Arial"/>
          <w:sz w:val="18"/>
          <w:szCs w:val="18"/>
          <w:color w:val="auto"/>
        </w:rPr>
      </w:pPr>
    </w:p>
    <w:p>
      <w:pPr>
        <w:ind w:left="1900" w:right="1300" w:hanging="360"/>
        <w:spacing w:after="0" w:line="246" w:lineRule="auto"/>
        <w:tabs>
          <w:tab w:leader="none" w:pos="1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alternate payment procedures are authorized, the Contractor shall include a copy of the Contracting Officer's written authorization with each payment request.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(End of clause)</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other terms and conditions of this contract remain unchanged.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Modification #11</w:t>
      </w:r>
    </w:p>
    <w:p>
      <w:pPr>
        <w:sectPr>
          <w:pgSz w:w="11900" w:h="16838" w:orient="portrait"/>
          <w:cols w:equalWidth="0" w:num="1">
            <w:col w:w="11220"/>
          </w:cols>
          <w:pgMar w:left="340" w:top="155" w:right="339" w:bottom="1440" w:gutter="0" w:footer="0" w:header="0"/>
          <w:type w:val="continuous"/>
        </w:sectPr>
      </w:pPr>
    </w:p>
    <w:bookmarkStart w:id="61" w:name="page62"/>
    <w:bookmarkEnd w:id="61"/>
    <w:p>
      <w:pPr>
        <w:ind w:left="9200"/>
        <w:spacing w:after="0"/>
        <w:rPr>
          <w:sz w:val="20"/>
          <w:szCs w:val="20"/>
          <w:color w:val="auto"/>
        </w:rPr>
      </w:pPr>
      <w:r>
        <w:rPr>
          <w:rFonts w:ascii="Arial" w:cs="Arial" w:eastAsia="Arial" w:hAnsi="Arial"/>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126365</wp:posOffset>
            </wp:positionV>
            <wp:extent cx="6189345" cy="7646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189345" cy="764667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Corbett, certify that:</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40" w:right="540" w:hanging="498"/>
        <w:spacing w:after="0" w:line="263"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40" w:right="120" w:hanging="498"/>
        <w:spacing w:after="0" w:line="263"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40" w:right="200" w:hanging="498"/>
        <w:spacing w:after="0" w:line="263"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40" w:right="20" w:hanging="498"/>
        <w:spacing w:after="0" w:line="263"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40" w:right="160" w:hanging="498"/>
        <w:spacing w:after="0" w:line="342" w:lineRule="auto"/>
        <w:tabs>
          <w:tab w:leader="none" w:pos="16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40" w:right="440" w:hanging="498"/>
        <w:spacing w:after="0" w:line="277"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Corbett</w:t>
            </w:r>
          </w:p>
        </w:tc>
      </w:tr>
      <w:tr>
        <w:trPr>
          <w:trHeight w:val="195"/>
        </w:trPr>
        <w:tc>
          <w:tcPr>
            <w:tcW w:w="5640" w:type="dxa"/>
            <w:vAlign w:val="bottom"/>
          </w:tcPr>
          <w:p>
            <w:pPr>
              <w:spacing w:after="0"/>
              <w:rPr>
                <w:sz w:val="16"/>
                <w:szCs w:val="16"/>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James Corbett</w:t>
            </w:r>
          </w:p>
        </w:tc>
      </w:tr>
      <w:tr>
        <w:trPr>
          <w:trHeight w:val="216"/>
        </w:trPr>
        <w:tc>
          <w:tcPr>
            <w:tcW w:w="56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Holder, certify that:</w:t>
      </w:r>
    </w:p>
    <w:p>
      <w:pPr>
        <w:spacing w:after="0" w:line="11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40" w:right="580" w:hanging="498"/>
        <w:spacing w:after="0" w:line="263"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40" w:right="160" w:hanging="498"/>
        <w:spacing w:after="0" w:line="263"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40" w:right="200" w:hanging="498"/>
        <w:spacing w:after="0" w:line="263"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40" w:right="20" w:hanging="498"/>
        <w:spacing w:after="0" w:line="263"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40" w:right="160" w:hanging="498"/>
        <w:spacing w:after="0" w:line="342" w:lineRule="auto"/>
        <w:tabs>
          <w:tab w:leader="none" w:pos="16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40" w:right="440" w:hanging="498"/>
        <w:spacing w:after="0" w:line="277"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6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 Michael Holder</w:t>
            </w:r>
          </w:p>
        </w:tc>
      </w:tr>
      <w:tr>
        <w:trPr>
          <w:trHeight w:val="230"/>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Chief Financial Offer</w:t>
            </w:r>
          </w:p>
        </w:tc>
      </w:tr>
    </w:tbl>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Quarterly Report on Form 10-Q for the period ended September 30, 2022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Dated: November 10,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Corbett</w:t>
            </w:r>
          </w:p>
        </w:tc>
      </w:tr>
      <w:tr>
        <w:trPr>
          <w:trHeight w:val="242"/>
        </w:trPr>
        <w:tc>
          <w:tcPr>
            <w:tcW w:w="56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James Corbett</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93"/>
        </w:trPr>
        <w:tc>
          <w:tcPr>
            <w:tcW w:w="5640" w:type="dxa"/>
            <w:vAlign w:val="bottom"/>
          </w:tcPr>
          <w:p>
            <w:pPr>
              <w:spacing w:after="0"/>
              <w:rPr>
                <w:sz w:val="20"/>
                <w:szCs w:val="20"/>
                <w:color w:val="auto"/>
              </w:rPr>
            </w:pPr>
            <w:r>
              <w:rPr>
                <w:rFonts w:ascii="Arial" w:cs="Arial" w:eastAsia="Arial" w:hAnsi="Arial"/>
                <w:sz w:val="18"/>
                <w:szCs w:val="18"/>
                <w:color w:val="auto"/>
              </w:rPr>
              <w:t>Dated: November 10,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242"/>
        </w:trPr>
        <w:tc>
          <w:tcPr>
            <w:tcW w:w="56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Michael Holder</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both"/>
        <w:ind w:right="140"/>
        <w:spacing w:after="0" w:line="281" w:lineRule="auto"/>
        <w:rPr>
          <w:sz w:val="20"/>
          <w:szCs w:val="20"/>
          <w:color w:val="auto"/>
        </w:rPr>
      </w:pPr>
      <w:r>
        <w:rPr>
          <w:rFonts w:ascii="Arial" w:cs="Arial" w:eastAsia="Arial" w:hAnsi="Arial"/>
          <w:sz w:val="17"/>
          <w:szCs w:val="17"/>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4"/>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lvl w:ilvl="1">
      <w:lvlJc w:val="left"/>
      <w:lvlText w:val="o"/>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lvl w:ilvl="1">
      <w:lvlJc w:val="left"/>
      <w:lvlText w:val="o"/>
      <w:numFmt w:val="bullet"/>
      <w:start w:val="1"/>
    </w:lvl>
  </w:abstractNum>
  <w:abstractNum w:abstractNumId="11">
    <w:nsid w:val="3A95F874"/>
    <w:multiLevelType w:val="hybridMultilevel"/>
    <w:lvl w:ilvl="0">
      <w:lvlJc w:val="left"/>
      <w:lvlText w:val="†"/>
      <w:numFmt w:val="bullet"/>
      <w:start w:val="1"/>
    </w:lvl>
    <w:lvl w:ilvl="1">
      <w:lvlJc w:val="left"/>
      <w:lvlText w:val="%2"/>
      <w:numFmt w:val="decimal"/>
      <w:start w:val="104"/>
    </w:lvl>
  </w:abstractNum>
  <w:abstractNum w:abstractNumId="12">
    <w:nsid w:val="8138641"/>
    <w:multiLevelType w:val="hybridMultilevel"/>
    <w:lvl w:ilvl="0">
      <w:lvlJc w:val="left"/>
      <w:lvlText w:val="%1."/>
      <w:numFmt w:val="decimal"/>
      <w:start w:val="3"/>
    </w:lvl>
  </w:abstractNum>
  <w:abstractNum w:abstractNumId="13">
    <w:nsid w:val="1E7FF521"/>
    <w:multiLevelType w:val="hybridMultilevel"/>
    <w:lvl w:ilvl="0">
      <w:lvlJc w:val="left"/>
      <w:lvlText w:val="%1."/>
      <w:numFmt w:val="decimal"/>
      <w:start w:val="4"/>
    </w:lvl>
  </w:abstractNum>
  <w:abstractNum w:abstractNumId="14">
    <w:nsid w:val="7C3DBD3D"/>
    <w:multiLevelType w:val="hybridMultilevel"/>
    <w:lvl w:ilvl="0">
      <w:lvlJc w:val="left"/>
      <w:lvlText w:val="%1."/>
      <w:numFmt w:val="decimal"/>
      <w:start w:val="5"/>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3"/>
    </w:lvl>
  </w:abstractNum>
  <w:abstractNum w:abstractNumId="19">
    <w:nsid w:val="3006C83E"/>
    <w:multiLevelType w:val="hybridMultilevel"/>
    <w:lvl w:ilvl="0">
      <w:lvlJc w:val="left"/>
      <w:lvlText w:val="%1."/>
      <w:numFmt w:val="decimal"/>
      <w:start w:val="7"/>
    </w:lvl>
  </w:abstractNum>
  <w:abstractNum w:abstractNumId="20">
    <w:nsid w:val="614FD4A1"/>
    <w:multiLevelType w:val="hybridMultilevel"/>
    <w:lvl w:ilvl="0">
      <w:lvlJc w:val="left"/>
      <w:lvlText w:val="%1."/>
      <w:numFmt w:val="decimal"/>
      <w:start w:val="8"/>
    </w:lvl>
  </w:abstractNum>
  <w:abstractNum w:abstractNumId="21">
    <w:nsid w:val="419AC241"/>
    <w:multiLevelType w:val="hybridMultilevel"/>
    <w:lvl w:ilvl="0">
      <w:lvlJc w:val="left"/>
      <w:lvlText w:val="%1."/>
      <w:numFmt w:val="decimal"/>
      <w:start w:val="9"/>
    </w:lvl>
  </w:abstractNum>
  <w:abstractNum w:abstractNumId="22">
    <w:nsid w:val="5577F8E1"/>
    <w:multiLevelType w:val="hybridMultilevel"/>
    <w:lvl w:ilvl="0">
      <w:lvlJc w:val="left"/>
      <w:lvlText w:val="%1."/>
      <w:numFmt w:val="decimal"/>
      <w:start w:val="10"/>
    </w:lvl>
  </w:abstractNum>
  <w:abstractNum w:abstractNumId="23">
    <w:nsid w:val="440BADFC"/>
    <w:multiLevelType w:val="hybridMultilevel"/>
    <w:lvl w:ilvl="0">
      <w:lvlJc w:val="left"/>
      <w:lvlText w:val="%1."/>
      <w:numFmt w:val="decimal"/>
      <w:start w:val="11"/>
    </w:lvl>
  </w:abstractNum>
  <w:abstractNum w:abstractNumId="24">
    <w:nsid w:val="5072367"/>
    <w:multiLevelType w:val="hybridMultilevel"/>
    <w:lvl w:ilvl="0">
      <w:lvlJc w:val="left"/>
      <w:lvlText w:val="%1."/>
      <w:numFmt w:val="decimal"/>
      <w:start w:val="13"/>
    </w:lvl>
  </w:abstractNum>
  <w:abstractNum w:abstractNumId="25">
    <w:nsid w:val="3804823E"/>
    <w:multiLevelType w:val="hybridMultilevel"/>
    <w:lvl w:ilvl="0">
      <w:lvlJc w:val="left"/>
      <w:lvlText w:val="%1."/>
      <w:numFmt w:val="decimal"/>
      <w:start w:val="14"/>
    </w:lvl>
  </w:abstractNum>
  <w:abstractNum w:abstractNumId="26">
    <w:nsid w:val="77465F01"/>
    <w:multiLevelType w:val="hybridMultilevel"/>
    <w:lvl w:ilvl="0">
      <w:lvlJc w:val="left"/>
      <w:lvlText w:val="%1."/>
      <w:numFmt w:val="decimal"/>
      <w:start w:val="15"/>
    </w:lvl>
  </w:abstractNum>
  <w:abstractNum w:abstractNumId="27">
    <w:nsid w:val="7724C67E"/>
    <w:multiLevelType w:val="hybridMultilevel"/>
    <w:lvl w:ilvl="0">
      <w:lvlJc w:val="left"/>
      <w:lvlText w:val="%1."/>
      <w:numFmt w:val="decimal"/>
      <w:start w:val="16"/>
    </w:lvl>
  </w:abstractNum>
  <w:abstractNum w:abstractNumId="28">
    <w:nsid w:val="5C482A97"/>
    <w:multiLevelType w:val="hybridMultilevel"/>
    <w:lvl w:ilvl="0">
      <w:lvlJc w:val="left"/>
      <w:lvlText w:val="%1."/>
      <w:numFmt w:val="decimal"/>
      <w:start w:val="17"/>
    </w:lvl>
  </w:abstractNum>
  <w:abstractNum w:abstractNumId="29">
    <w:nsid w:val="2463B9EA"/>
    <w:multiLevelType w:val="hybridMultilevel"/>
    <w:lvl w:ilvl="0">
      <w:lvlJc w:val="left"/>
      <w:lvlText w:val="%1."/>
      <w:numFmt w:val="decimal"/>
      <w:start w:val="21"/>
    </w:lvl>
  </w:abstractNum>
  <w:abstractNum w:abstractNumId="30">
    <w:nsid w:val="5E884ADC"/>
    <w:multiLevelType w:val="hybridMultilevel"/>
    <w:lvl w:ilvl="0">
      <w:lvlJc w:val="left"/>
      <w:lvlText w:val="%1."/>
      <w:numFmt w:val="decimal"/>
      <w:start w:val="22"/>
    </w:lvl>
  </w:abstractNum>
  <w:abstractNum w:abstractNumId="31">
    <w:nsid w:val="51EAD36B"/>
    <w:multiLevelType w:val="hybridMultilevel"/>
    <w:lvl w:ilvl="0">
      <w:lvlJc w:val="left"/>
      <w:lvlText w:val="%1."/>
      <w:numFmt w:val="decimal"/>
      <w:start w:val="23"/>
    </w:lvl>
  </w:abstractNum>
  <w:abstractNum w:abstractNumId="32">
    <w:nsid w:val="2D517796"/>
    <w:multiLevelType w:val="hybridMultilevel"/>
    <w:lvl w:ilvl="0">
      <w:lvlJc w:val="left"/>
      <w:lvlText w:val="%1."/>
      <w:numFmt w:val="decimal"/>
      <w:start w:val="26"/>
    </w:lvl>
  </w:abstractNum>
  <w:abstractNum w:abstractNumId="33">
    <w:nsid w:val="580BD78F"/>
    <w:multiLevelType w:val="hybridMultilevel"/>
    <w:lvl w:ilvl="0">
      <w:lvlJc w:val="left"/>
      <w:lvlText w:val="%1."/>
      <w:numFmt w:val="decimal"/>
      <w:start w:val="27"/>
    </w:lvl>
  </w:abstractNum>
  <w:abstractNum w:abstractNumId="34">
    <w:nsid w:val="153EA438"/>
    <w:multiLevelType w:val="hybridMultilevel"/>
    <w:lvl w:ilvl="0">
      <w:lvlJc w:val="left"/>
      <w:lvlText w:val="%1."/>
      <w:numFmt w:val="decimal"/>
      <w:start w:val="30"/>
    </w:lvl>
  </w:abstractNum>
  <w:abstractNum w:abstractNumId="35">
    <w:nsid w:val="3855585C"/>
    <w:multiLevelType w:val="hybridMultilevel"/>
    <w:lvl w:ilvl="0">
      <w:lvlJc w:val="left"/>
      <w:lvlText w:val="%1."/>
      <w:numFmt w:val="decimal"/>
      <w:start w:val="31"/>
    </w:lvl>
  </w:abstractNum>
  <w:abstractNum w:abstractNumId="36">
    <w:nsid w:val="70A64E2A"/>
    <w:multiLevelType w:val="hybridMultilevel"/>
    <w:lvl w:ilvl="0">
      <w:lvlJc w:val="left"/>
      <w:lvlText w:val="%1."/>
      <w:numFmt w:val="decimal"/>
      <w:start w:val="32"/>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1)"/>
      <w:numFmt w:val="lowerRoman"/>
      <w:start w:val="6"/>
    </w:lvl>
  </w:abstractNum>
  <w:abstractNum w:abstractNumId="39">
    <w:nsid w:val="1D4ED43B"/>
    <w:multiLevelType w:val="hybridMultilevel"/>
    <w:lvl w:ilvl="0">
      <w:lvlJc w:val="left"/>
      <w:lvlText w:val="%1."/>
      <w:numFmt w:val="lowerLetter"/>
      <w:start w:val="12"/>
    </w:lvl>
    <w:lvl w:ilvl="1">
      <w:lvlJc w:val="left"/>
      <w:lvlText w:val="%2."/>
      <w:numFmt w:val="decimal"/>
      <w:start w:val="8"/>
    </w:lvl>
    <w:lvl w:ilvl="2">
      <w:lvlJc w:val="left"/>
      <w:lvlText w:val="%3."/>
      <w:numFmt w:val="lowerLetter"/>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lvl w:ilvl="1">
      <w:lvlJc w:val="left"/>
      <w:lvlText w:val="•"/>
      <w:numFmt w:val="bullet"/>
      <w:start w:val="1"/>
    </w:lvl>
  </w:abstractNum>
  <w:abstractNum w:abstractNumId="42">
    <w:nsid w:val="57E4CCAF"/>
    <w:multiLevelType w:val="hybridMultilevel"/>
    <w:lvl w:ilvl="0">
      <w:lvlJc w:val="left"/>
      <w:lvlText w:val="(%1)"/>
      <w:numFmt w:val="lowerRoman"/>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lowerLetter"/>
      <w:start w:val="2"/>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jpeg"/><Relationship Id="rId69" Type="http://schemas.openxmlformats.org/officeDocument/2006/relationships/hyperlink" Target="http://www.sec.gov/Archives/edgar/data/1762303/000119312520112315/d918609dex992.htm" TargetMode="External"/><Relationship Id="rId70" Type="http://schemas.openxmlformats.org/officeDocument/2006/relationships/hyperlink" Target="http://www.sec.gov/Archives/edgar/data/1762303/000119312520183429/d75062dex31.htm" TargetMode="External"/><Relationship Id="rId71" Type="http://schemas.openxmlformats.org/officeDocument/2006/relationships/hyperlink" Target="http://www.sec.gov/Archives/edgar/data/1762303/000156459022007617/rcel-ex32_14.htm" TargetMode="External"/><Relationship Id="rId72" Type="http://schemas.openxmlformats.org/officeDocument/2006/relationships/hyperlink" Target="http://www.sec.gov/Archives/edgar/data/1762303/000156459022007617/rcel-ex33_5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2022-11-10T18:10:22Z</dcterms:created>
  <dcterms:modified xsi:type="dcterms:W3CDTF">2022-11-10T18:10:22Z</dcterms:modified>
</cp:coreProperties>
</file>