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AVITA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05380C102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05380C102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34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34515"/>
                    </a:xfrm>
                    <a:prstGeom prst="rect">
                      <a:avLst/>
                    </a:prstGeom>
                    <a:noFill/>
                  </pic:spPr>
                </pic:pic>
              </a:graphicData>
            </a:graphic>
          </wp:anchor>
        </w:drawing>
      </w:r>
    </w:p>
    <w:p>
      <w:pPr>
        <w:spacing w:after="0" w:line="20" w:lineRule="exact"/>
        <w:rPr>
          <w:sz w:val="20"/>
          <w:szCs w:val="20"/>
          <w:color w:val="auto"/>
        </w:rPr>
      </w:pPr>
    </w:p>
    <w:p>
      <w:pPr>
        <w:ind w:left="1000" w:hanging="881"/>
        <w:spacing w:after="0"/>
        <w:tabs>
          <w:tab w:leader="none" w:pos="10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Redmile Group, LLC</w:t>
      </w:r>
    </w:p>
    <w:p>
      <w:pPr>
        <w:spacing w:after="0" w:line="27" w:lineRule="exact"/>
        <w:rPr>
          <w:sz w:val="20"/>
          <w:szCs w:val="20"/>
          <w:color w:val="auto"/>
        </w:rPr>
      </w:pPr>
    </w:p>
    <w:p>
      <w:pPr>
        <w:ind w:left="1000" w:hanging="881"/>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THE</w:t>
      </w:r>
      <w:r>
        <w:rPr>
          <w:rFonts w:ascii="Arial" w:cs="Arial" w:eastAsia="Arial" w:hAnsi="Arial"/>
          <w:sz w:val="18"/>
          <w:szCs w:val="18"/>
          <w:color w:val="auto"/>
        </w:rPr>
        <w:t xml:space="preserve"> A</w:t>
      </w:r>
      <w:r>
        <w:rPr>
          <w:rFonts w:ascii="Arial" w:cs="Arial" w:eastAsia="Arial" w:hAnsi="Arial"/>
          <w:sz w:val="12"/>
          <w:szCs w:val="12"/>
          <w:color w:val="auto"/>
        </w:rPr>
        <w:t>PPROPRIATE</w:t>
      </w:r>
      <w:r>
        <w:rPr>
          <w:rFonts w:ascii="Arial" w:cs="Arial" w:eastAsia="Arial" w:hAnsi="Arial"/>
          <w:sz w:val="18"/>
          <w:szCs w:val="18"/>
          <w:color w:val="auto"/>
        </w:rPr>
        <w:t xml:space="preserve"> B</w:t>
      </w:r>
      <w:r>
        <w:rPr>
          <w:rFonts w:ascii="Arial" w:cs="Arial" w:eastAsia="Arial" w:hAnsi="Arial"/>
          <w:sz w:val="12"/>
          <w:szCs w:val="12"/>
          <w:color w:val="auto"/>
        </w:rPr>
        <w:t>OX IF A</w:t>
      </w:r>
      <w:r>
        <w:rPr>
          <w:rFonts w:ascii="Arial" w:cs="Arial" w:eastAsia="Arial" w:hAnsi="Arial"/>
          <w:sz w:val="18"/>
          <w:szCs w:val="18"/>
          <w:color w:val="auto"/>
        </w:rPr>
        <w:t xml:space="preserve"> M</w:t>
      </w:r>
      <w:r>
        <w:rPr>
          <w:rFonts w:ascii="Arial" w:cs="Arial" w:eastAsia="Arial" w:hAnsi="Arial"/>
          <w:sz w:val="12"/>
          <w:szCs w:val="12"/>
          <w:color w:val="auto"/>
        </w:rPr>
        <w:t>EMBER OF A</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191" w:lineRule="exact"/>
        <w:rPr>
          <w:rFonts w:ascii="Arial" w:cs="Arial" w:eastAsia="Arial" w:hAnsi="Arial"/>
          <w:sz w:val="18"/>
          <w:szCs w:val="18"/>
          <w:b w:val="1"/>
          <w:bCs w:val="1"/>
          <w:color w:val="auto"/>
        </w:rPr>
      </w:pPr>
    </w:p>
    <w:p>
      <w:pPr>
        <w:ind w:left="1300" w:hanging="290"/>
        <w:spacing w:after="0" w:line="207" w:lineRule="exact"/>
        <w:tabs>
          <w:tab w:leader="none" w:pos="13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1300" w:hanging="290"/>
        <w:spacing w:after="0" w:line="207" w:lineRule="exact"/>
        <w:tabs>
          <w:tab w:leader="none" w:pos="13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1" w:lineRule="exact"/>
        <w:rPr>
          <w:sz w:val="20"/>
          <w:szCs w:val="20"/>
          <w:color w:val="auto"/>
        </w:rPr>
      </w:pPr>
    </w:p>
    <w:p>
      <w:pPr>
        <w:ind w:left="1000" w:hanging="881"/>
        <w:spacing w:after="0"/>
        <w:tabs>
          <w:tab w:leader="none" w:pos="10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223" w:lineRule="exact"/>
        <w:rPr>
          <w:sz w:val="20"/>
          <w:szCs w:val="20"/>
          <w:color w:val="auto"/>
        </w:rPr>
      </w:pPr>
    </w:p>
    <w:p>
      <w:pPr>
        <w:ind w:left="1000" w:hanging="881"/>
        <w:spacing w:after="0"/>
        <w:tabs>
          <w:tab w:leader="none" w:pos="10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Delaware</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700" w:type="dxa"/>
            <w:vAlign w:val="bottom"/>
            <w:tcBorders>
              <w:left w:val="single" w:sz="8" w:color="auto"/>
              <w:right w:val="single" w:sz="8" w:color="auto"/>
            </w:tcBorders>
          </w:tcPr>
          <w:p>
            <w:pPr>
              <w:spacing w:after="0"/>
              <w:rPr>
                <w:sz w:val="22"/>
                <w:szCs w:val="22"/>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5</w:t>
            </w:r>
          </w:p>
        </w:tc>
        <w:tc>
          <w:tcPr>
            <w:tcW w:w="8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394"/>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900" w:type="dxa"/>
            <w:vAlign w:val="bottom"/>
            <w:tcBorders>
              <w:bottom w:val="single" w:sz="8" w:color="auto"/>
              <w:right w:val="single" w:sz="8" w:color="auto"/>
            </w:tcBorders>
          </w:tcPr>
          <w:p>
            <w:pPr>
              <w:spacing w:after="0"/>
              <w:rPr>
                <w:sz w:val="24"/>
                <w:szCs w:val="24"/>
                <w:color w:val="auto"/>
              </w:rPr>
            </w:pPr>
          </w:p>
        </w:tc>
        <w:tc>
          <w:tcPr>
            <w:tcW w:w="8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8"/>
        </w:trPr>
        <w:tc>
          <w:tcPr>
            <w:tcW w:w="1700" w:type="dxa"/>
            <w:vAlign w:val="bottom"/>
            <w:tcBorders>
              <w:left w:val="single" w:sz="8" w:color="auto"/>
              <w:right w:val="single" w:sz="8" w:color="auto"/>
            </w:tcBorders>
            <w:vMerge w:val="continue"/>
          </w:tcPr>
          <w:p>
            <w:pPr>
              <w:spacing w:after="0"/>
              <w:rPr>
                <w:sz w:val="15"/>
                <w:szCs w:val="15"/>
                <w:color w:val="auto"/>
              </w:rPr>
            </w:pPr>
          </w:p>
        </w:tc>
        <w:tc>
          <w:tcPr>
            <w:tcW w:w="900" w:type="dxa"/>
            <w:vAlign w:val="bottom"/>
            <w:tcBorders>
              <w:right w:val="single" w:sz="8" w:color="auto"/>
            </w:tcBorders>
          </w:tcPr>
          <w:p>
            <w:pPr>
              <w:jc w:val="right"/>
              <w:ind w:right="630"/>
              <w:spacing w:after="0" w:line="177" w:lineRule="exact"/>
              <w:rPr>
                <w:sz w:val="20"/>
                <w:szCs w:val="20"/>
                <w:color w:val="auto"/>
              </w:rPr>
            </w:pPr>
            <w:r>
              <w:rPr>
                <w:rFonts w:ascii="Arial" w:cs="Arial" w:eastAsia="Arial" w:hAnsi="Arial"/>
                <w:sz w:val="18"/>
                <w:szCs w:val="18"/>
                <w:b w:val="1"/>
                <w:bCs w:val="1"/>
                <w:color w:val="auto"/>
              </w:rPr>
              <w:t>6</w:t>
            </w:r>
          </w:p>
        </w:tc>
        <w:tc>
          <w:tcPr>
            <w:tcW w:w="864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900" w:type="dxa"/>
            <w:vAlign w:val="bottom"/>
            <w:tcBorders>
              <w:right w:val="single" w:sz="8" w:color="auto"/>
            </w:tcBorders>
          </w:tcPr>
          <w:p>
            <w:pPr>
              <w:spacing w:after="0"/>
              <w:rPr>
                <w:sz w:val="18"/>
                <w:szCs w:val="18"/>
                <w:color w:val="auto"/>
              </w:rPr>
            </w:pPr>
          </w:p>
        </w:tc>
        <w:tc>
          <w:tcPr>
            <w:tcW w:w="8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900" w:type="dxa"/>
            <w:vAlign w:val="bottom"/>
            <w:tcBorders>
              <w:right w:val="single" w:sz="8" w:color="auto"/>
            </w:tcBorders>
          </w:tcPr>
          <w:p>
            <w:pPr>
              <w:spacing w:after="0"/>
              <w:rPr>
                <w:sz w:val="20"/>
                <w:szCs w:val="20"/>
                <w:color w:val="auto"/>
              </w:rPr>
            </w:pPr>
          </w:p>
        </w:tc>
        <w:tc>
          <w:tcPr>
            <w:tcW w:w="8640" w:type="dxa"/>
            <w:vAlign w:val="bottom"/>
            <w:tcBorders>
              <w:right w:val="single" w:sz="8" w:color="auto"/>
            </w:tcBorders>
          </w:tcPr>
          <w:p>
            <w:pPr>
              <w:ind w:left="80"/>
              <w:spacing w:after="0" w:line="235" w:lineRule="exact"/>
              <w:rPr>
                <w:sz w:val="20"/>
                <w:szCs w:val="20"/>
                <w:color w:val="auto"/>
              </w:rPr>
            </w:pPr>
            <w:r>
              <w:rPr>
                <w:rFonts w:ascii="Arial" w:cs="Arial" w:eastAsia="Arial" w:hAnsi="Arial"/>
                <w:sz w:val="17"/>
                <w:szCs w:val="17"/>
                <w:b w:val="1"/>
                <w:bCs w:val="1"/>
                <w:color w:val="auto"/>
              </w:rPr>
              <w:t xml:space="preserve">1,707,386 </w:t>
            </w:r>
            <w:r>
              <w:rPr>
                <w:rFonts w:ascii="Arial" w:cs="Arial" w:eastAsia="Arial" w:hAnsi="Arial"/>
                <w:sz w:val="27"/>
                <w:szCs w:val="27"/>
                <w:color w:val="auto"/>
                <w:vertAlign w:val="superscript"/>
              </w:rPr>
              <w:t>(</w:t>
            </w:r>
            <w:r>
              <w:rPr>
                <w:rFonts w:ascii="Arial" w:cs="Arial" w:eastAsia="Arial" w:hAnsi="Arial"/>
                <w:sz w:val="27"/>
                <w:szCs w:val="27"/>
                <w:b w:val="1"/>
                <w:bCs w:val="1"/>
                <w:color w:val="auto"/>
                <w:vertAlign w:val="superscript"/>
              </w:rPr>
              <w:t>1</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198"/>
        </w:trPr>
        <w:tc>
          <w:tcPr>
            <w:tcW w:w="170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8"/>
              </w:rPr>
              <w:t>OWNED BY</w:t>
            </w:r>
          </w:p>
        </w:tc>
        <w:tc>
          <w:tcPr>
            <w:tcW w:w="900" w:type="dxa"/>
            <w:vAlign w:val="bottom"/>
            <w:tcBorders>
              <w:right w:val="single" w:sz="8" w:color="auto"/>
            </w:tcBorders>
          </w:tcPr>
          <w:p>
            <w:pPr>
              <w:spacing w:after="0"/>
              <w:rPr>
                <w:sz w:val="17"/>
                <w:szCs w:val="17"/>
                <w:color w:val="auto"/>
              </w:rPr>
            </w:pPr>
          </w:p>
        </w:tc>
        <w:tc>
          <w:tcPr>
            <w:tcW w:w="8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900" w:type="dxa"/>
            <w:vAlign w:val="bottom"/>
            <w:tcBorders>
              <w:bottom w:val="single" w:sz="8" w:color="auto"/>
              <w:right w:val="single" w:sz="8" w:color="auto"/>
            </w:tcBorders>
          </w:tcPr>
          <w:p>
            <w:pPr>
              <w:spacing w:after="0"/>
              <w:rPr>
                <w:sz w:val="6"/>
                <w:szCs w:val="6"/>
                <w:color w:val="auto"/>
              </w:rPr>
            </w:pPr>
          </w:p>
        </w:tc>
        <w:tc>
          <w:tcPr>
            <w:tcW w:w="86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vMerge w:val="continue"/>
          </w:tcPr>
          <w:p>
            <w:pPr>
              <w:spacing w:after="0"/>
              <w:rPr>
                <w:sz w:val="10"/>
                <w:szCs w:val="10"/>
                <w:color w:val="auto"/>
              </w:rPr>
            </w:pPr>
          </w:p>
        </w:tc>
        <w:tc>
          <w:tcPr>
            <w:tcW w:w="900" w:type="dxa"/>
            <w:vAlign w:val="bottom"/>
            <w:tcBorders>
              <w:right w:val="single" w:sz="8" w:color="auto"/>
            </w:tcBorders>
            <w:vMerge w:val="restart"/>
          </w:tcPr>
          <w:p>
            <w:pPr>
              <w:jc w:val="right"/>
              <w:ind w:right="630"/>
              <w:spacing w:after="0"/>
              <w:rPr>
                <w:sz w:val="20"/>
                <w:szCs w:val="20"/>
                <w:color w:val="auto"/>
              </w:rPr>
            </w:pPr>
            <w:r>
              <w:rPr>
                <w:rFonts w:ascii="Arial" w:cs="Arial" w:eastAsia="Arial" w:hAnsi="Arial"/>
                <w:sz w:val="18"/>
                <w:szCs w:val="18"/>
                <w:b w:val="1"/>
                <w:bCs w:val="1"/>
                <w:color w:val="auto"/>
              </w:rPr>
              <w:t>7</w:t>
            </w:r>
          </w:p>
        </w:tc>
        <w:tc>
          <w:tcPr>
            <w:tcW w:w="86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04"/>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900" w:type="dxa"/>
            <w:vAlign w:val="bottom"/>
            <w:tcBorders>
              <w:right w:val="single" w:sz="8" w:color="auto"/>
            </w:tcBorders>
            <w:vMerge w:val="continue"/>
          </w:tcPr>
          <w:p>
            <w:pPr>
              <w:spacing w:after="0"/>
              <w:rPr>
                <w:sz w:val="9"/>
                <w:szCs w:val="9"/>
                <w:color w:val="auto"/>
              </w:rPr>
            </w:pPr>
          </w:p>
        </w:tc>
        <w:tc>
          <w:tcPr>
            <w:tcW w:w="86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700" w:type="dxa"/>
            <w:vAlign w:val="bottom"/>
            <w:tcBorders>
              <w:left w:val="single" w:sz="8" w:color="auto"/>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8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PERSON WITH</w:t>
            </w:r>
          </w:p>
        </w:tc>
        <w:tc>
          <w:tcPr>
            <w:tcW w:w="900" w:type="dxa"/>
            <w:vAlign w:val="bottom"/>
            <w:tcBorders>
              <w:right w:val="single" w:sz="8" w:color="auto"/>
            </w:tcBorders>
          </w:tcPr>
          <w:p>
            <w:pPr>
              <w:spacing w:after="0"/>
              <w:rPr>
                <w:sz w:val="20"/>
                <w:szCs w:val="20"/>
                <w:color w:val="auto"/>
              </w:rPr>
            </w:pPr>
          </w:p>
        </w:tc>
        <w:tc>
          <w:tcPr>
            <w:tcW w:w="86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1700" w:type="dxa"/>
            <w:vAlign w:val="bottom"/>
            <w:tcBorders>
              <w:left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86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700" w:type="dxa"/>
            <w:vAlign w:val="bottom"/>
            <w:tcBorders>
              <w:left w:val="single" w:sz="8" w:color="auto"/>
              <w:right w:val="single" w:sz="8" w:color="auto"/>
            </w:tcBorders>
          </w:tcPr>
          <w:p>
            <w:pPr>
              <w:spacing w:after="0"/>
              <w:rPr>
                <w:sz w:val="19"/>
                <w:szCs w:val="19"/>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8</w:t>
            </w:r>
          </w:p>
        </w:tc>
        <w:tc>
          <w:tcPr>
            <w:tcW w:w="8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577"/>
        </w:trPr>
        <w:tc>
          <w:tcPr>
            <w:tcW w:w="1700" w:type="dxa"/>
            <w:vAlign w:val="bottom"/>
            <w:tcBorders>
              <w:left w:val="single" w:sz="8" w:color="auto"/>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6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1,707,386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93"/>
        </w:trPr>
        <w:tc>
          <w:tcPr>
            <w:tcW w:w="1700" w:type="dxa"/>
            <w:vAlign w:val="bottom"/>
            <w:tcBorders>
              <w:left w:val="single" w:sz="8" w:color="auto"/>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86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ind w:left="120"/>
        <w:spacing w:after="0"/>
        <w:rPr>
          <w:sz w:val="20"/>
          <w:szCs w:val="20"/>
          <w:color w:val="auto"/>
        </w:rPr>
      </w:pPr>
      <w:r>
        <w:rPr>
          <w:rFonts w:ascii="Arial" w:cs="Arial" w:eastAsia="Arial" w:hAnsi="Arial"/>
          <w:sz w:val="18"/>
          <w:szCs w:val="18"/>
          <w:b w:val="1"/>
          <w:bCs w:val="1"/>
          <w:color w:val="auto"/>
        </w:rPr>
        <w:t>9</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10</w:t>
      </w: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-121920</wp:posOffset>
            </wp:positionV>
            <wp:extent cx="7132320" cy="213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13423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1,707,386 </w:t>
      </w:r>
      <w:r>
        <w:rPr>
          <w:rFonts w:ascii="Arial" w:cs="Arial" w:eastAsia="Arial" w:hAnsi="Arial"/>
          <w:sz w:val="29"/>
          <w:szCs w:val="29"/>
          <w:b w:val="1"/>
          <w:bCs w:val="1"/>
          <w:color w:val="auto"/>
          <w:vertAlign w:val="superscript"/>
        </w:rPr>
        <w:t>(1)</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HECK IF THE</w:t>
      </w:r>
      <w:r>
        <w:rPr>
          <w:rFonts w:ascii="Arial" w:cs="Arial" w:eastAsia="Arial" w:hAnsi="Arial"/>
          <w:sz w:val="17"/>
          <w:szCs w:val="17"/>
          <w:color w:val="auto"/>
        </w:rPr>
        <w:t xml:space="preserve"> A</w:t>
      </w:r>
      <w:r>
        <w:rPr>
          <w:rFonts w:ascii="Arial" w:cs="Arial" w:eastAsia="Arial" w:hAnsi="Arial"/>
          <w:sz w:val="11"/>
          <w:szCs w:val="11"/>
          <w:color w:val="auto"/>
        </w:rPr>
        <w:t>GGREGATE</w:t>
      </w:r>
      <w:r>
        <w:rPr>
          <w:rFonts w:ascii="Arial" w:cs="Arial" w:eastAsia="Arial" w:hAnsi="Arial"/>
          <w:sz w:val="17"/>
          <w:szCs w:val="17"/>
          <w:color w:val="auto"/>
        </w:rPr>
        <w:t xml:space="preserve"> A</w:t>
      </w:r>
      <w:r>
        <w:rPr>
          <w:rFonts w:ascii="Arial" w:cs="Arial" w:eastAsia="Arial" w:hAnsi="Arial"/>
          <w:sz w:val="11"/>
          <w:szCs w:val="11"/>
          <w:color w:val="auto"/>
        </w:rPr>
        <w:t>MOUNT IN</w:t>
      </w:r>
      <w:r>
        <w:rPr>
          <w:rFonts w:ascii="Arial" w:cs="Arial" w:eastAsia="Arial" w:hAnsi="Arial"/>
          <w:sz w:val="17"/>
          <w:szCs w:val="17"/>
          <w:color w:val="auto"/>
        </w:rPr>
        <w:t xml:space="preserve"> R</w:t>
      </w:r>
      <w:r>
        <w:rPr>
          <w:rFonts w:ascii="Arial" w:cs="Arial" w:eastAsia="Arial" w:hAnsi="Arial"/>
          <w:sz w:val="11"/>
          <w:szCs w:val="11"/>
          <w:color w:val="auto"/>
        </w:rPr>
        <w:t>OW</w:t>
      </w:r>
      <w:r>
        <w:rPr>
          <w:rFonts w:ascii="Arial" w:cs="Arial" w:eastAsia="Arial" w:hAnsi="Arial"/>
          <w:sz w:val="17"/>
          <w:szCs w:val="17"/>
          <w:color w:val="auto"/>
        </w:rPr>
        <w:t xml:space="preserve"> (9) E</w:t>
      </w:r>
      <w:r>
        <w:rPr>
          <w:rFonts w:ascii="Arial" w:cs="Arial" w:eastAsia="Arial" w:hAnsi="Arial"/>
          <w:sz w:val="11"/>
          <w:szCs w:val="11"/>
          <w:color w:val="auto"/>
        </w:rPr>
        <w:t>XCLUDES</w:t>
      </w:r>
      <w:r>
        <w:rPr>
          <w:rFonts w:ascii="Arial" w:cs="Arial" w:eastAsia="Arial" w:hAnsi="Arial"/>
          <w:sz w:val="17"/>
          <w:szCs w:val="17"/>
          <w:color w:val="auto"/>
        </w:rPr>
        <w:t xml:space="preserve"> C</w:t>
      </w:r>
      <w:r>
        <w:rPr>
          <w:rFonts w:ascii="Arial" w:cs="Arial" w:eastAsia="Arial" w:hAnsi="Arial"/>
          <w:sz w:val="11"/>
          <w:szCs w:val="11"/>
          <w:color w:val="auto"/>
        </w:rPr>
        <w:t>ERTAIN</w:t>
      </w:r>
      <w:r>
        <w:rPr>
          <w:rFonts w:ascii="Arial" w:cs="Arial" w:eastAsia="Arial" w:hAnsi="Arial"/>
          <w:sz w:val="17"/>
          <w:szCs w:val="17"/>
          <w:color w:val="auto"/>
        </w:rPr>
        <w:t xml:space="preserve"> S</w:t>
      </w:r>
      <w:r>
        <w:rPr>
          <w:rFonts w:ascii="Arial" w:cs="Arial" w:eastAsia="Arial" w:hAnsi="Arial"/>
          <w:sz w:val="11"/>
          <w:szCs w:val="11"/>
          <w:color w:val="auto"/>
        </w:rPr>
        <w:t>HARES</w:t>
      </w:r>
      <w:r>
        <w:rPr>
          <w:rFonts w:ascii="Arial" w:cs="Arial" w:eastAsia="Arial" w:hAnsi="Arial"/>
          <w:sz w:val="17"/>
          <w:szCs w:val="17"/>
          <w:color w:val="auto"/>
        </w:rPr>
        <w:t xml:space="preserve"> (S</w:t>
      </w:r>
      <w:r>
        <w:rPr>
          <w:rFonts w:ascii="Arial" w:cs="Arial" w:eastAsia="Arial" w:hAnsi="Arial"/>
          <w:sz w:val="11"/>
          <w:szCs w:val="11"/>
          <w:color w:val="auto"/>
        </w:rPr>
        <w:t>EE</w:t>
      </w:r>
      <w:r>
        <w:rPr>
          <w:rFonts w:ascii="Arial" w:cs="Arial" w:eastAsia="Arial" w:hAnsi="Arial"/>
          <w:sz w:val="17"/>
          <w:szCs w:val="17"/>
          <w:color w:val="auto"/>
        </w:rPr>
        <w:t xml:space="preserve"> I</w:t>
      </w:r>
      <w:r>
        <w:rPr>
          <w:rFonts w:ascii="Arial" w:cs="Arial" w:eastAsia="Arial" w:hAnsi="Arial"/>
          <w:sz w:val="11"/>
          <w:szCs w:val="11"/>
          <w:color w:val="auto"/>
        </w:rPr>
        <w:t>NSTRUCTIONS</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29"/>
          <w:szCs w:val="29"/>
          <w:b w:val="1"/>
          <w:bCs w:val="1"/>
          <w:color w:val="auto"/>
          <w:vertAlign w:val="superscript"/>
        </w:rPr>
        <w:t>(2)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334645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 w:space="700"/>
            <w:col w:w="10240"/>
          </w:cols>
          <w:pgMar w:left="320" w:top="904"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both"/>
        <w:ind w:firstLine="8"/>
        <w:spacing w:after="0" w:line="250" w:lineRule="auto"/>
        <w:tabs>
          <w:tab w:leader="none" w:pos="237"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Redmile Group, LLC’s beneficial ownership of the Issuer’s Common Stock (“Common Stock”) is comprised of 1,707,386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30" w:lineRule="exact"/>
        <w:rPr>
          <w:rFonts w:ascii="Arial" w:cs="Arial" w:eastAsia="Arial" w:hAnsi="Arial"/>
          <w:sz w:val="27"/>
          <w:szCs w:val="27"/>
          <w:color w:val="auto"/>
          <w:vertAlign w:val="superscript"/>
        </w:rPr>
      </w:pPr>
    </w:p>
    <w:p>
      <w:pPr>
        <w:ind w:firstLine="8"/>
        <w:spacing w:after="0" w:line="207" w:lineRule="auto"/>
        <w:tabs>
          <w:tab w:leader="none" w:pos="241"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Percentage based on 21,623,287 shares of Common Stock outstanding as of November 6, 2020, as reported by the Issuer in its Form 10-Q for the quarterly period ended September 30, 2020 filed with the Securities and Exchange Commission on November 10, 2020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05380C102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34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34515"/>
                    </a:xfrm>
                    <a:prstGeom prst="rect">
                      <a:avLst/>
                    </a:prstGeom>
                    <a:noFill/>
                  </pic:spPr>
                </pic:pic>
              </a:graphicData>
            </a:graphic>
          </wp:anchor>
        </w:drawing>
      </w:r>
    </w:p>
    <w:p>
      <w:pPr>
        <w:spacing w:after="0" w:line="20" w:lineRule="exact"/>
        <w:rPr>
          <w:sz w:val="20"/>
          <w:szCs w:val="20"/>
          <w:color w:val="auto"/>
        </w:rPr>
      </w:pPr>
    </w:p>
    <w:p>
      <w:pPr>
        <w:ind w:left="1000" w:hanging="881"/>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Jeremy C. Green</w:t>
      </w:r>
    </w:p>
    <w:p>
      <w:pPr>
        <w:spacing w:after="0" w:line="27" w:lineRule="exact"/>
        <w:rPr>
          <w:sz w:val="20"/>
          <w:szCs w:val="20"/>
          <w:color w:val="auto"/>
        </w:rPr>
      </w:pPr>
    </w:p>
    <w:p>
      <w:pPr>
        <w:ind w:left="1000" w:hanging="881"/>
        <w:spacing w:after="0"/>
        <w:tabs>
          <w:tab w:leader="none" w:pos="10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THE</w:t>
      </w:r>
      <w:r>
        <w:rPr>
          <w:rFonts w:ascii="Arial" w:cs="Arial" w:eastAsia="Arial" w:hAnsi="Arial"/>
          <w:sz w:val="18"/>
          <w:szCs w:val="18"/>
          <w:color w:val="auto"/>
        </w:rPr>
        <w:t xml:space="preserve"> A</w:t>
      </w:r>
      <w:r>
        <w:rPr>
          <w:rFonts w:ascii="Arial" w:cs="Arial" w:eastAsia="Arial" w:hAnsi="Arial"/>
          <w:sz w:val="12"/>
          <w:szCs w:val="12"/>
          <w:color w:val="auto"/>
        </w:rPr>
        <w:t>PPROPRIATE</w:t>
      </w:r>
      <w:r>
        <w:rPr>
          <w:rFonts w:ascii="Arial" w:cs="Arial" w:eastAsia="Arial" w:hAnsi="Arial"/>
          <w:sz w:val="18"/>
          <w:szCs w:val="18"/>
          <w:color w:val="auto"/>
        </w:rPr>
        <w:t xml:space="preserve"> B</w:t>
      </w:r>
      <w:r>
        <w:rPr>
          <w:rFonts w:ascii="Arial" w:cs="Arial" w:eastAsia="Arial" w:hAnsi="Arial"/>
          <w:sz w:val="12"/>
          <w:szCs w:val="12"/>
          <w:color w:val="auto"/>
        </w:rPr>
        <w:t>OX IF A</w:t>
      </w:r>
      <w:r>
        <w:rPr>
          <w:rFonts w:ascii="Arial" w:cs="Arial" w:eastAsia="Arial" w:hAnsi="Arial"/>
          <w:sz w:val="18"/>
          <w:szCs w:val="18"/>
          <w:color w:val="auto"/>
        </w:rPr>
        <w:t xml:space="preserve"> M</w:t>
      </w:r>
      <w:r>
        <w:rPr>
          <w:rFonts w:ascii="Arial" w:cs="Arial" w:eastAsia="Arial" w:hAnsi="Arial"/>
          <w:sz w:val="12"/>
          <w:szCs w:val="12"/>
          <w:color w:val="auto"/>
        </w:rPr>
        <w:t>EMBER OF A</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191" w:lineRule="exact"/>
        <w:rPr>
          <w:rFonts w:ascii="Arial" w:cs="Arial" w:eastAsia="Arial" w:hAnsi="Arial"/>
          <w:sz w:val="18"/>
          <w:szCs w:val="18"/>
          <w:b w:val="1"/>
          <w:bCs w:val="1"/>
          <w:color w:val="auto"/>
        </w:rPr>
      </w:pPr>
    </w:p>
    <w:p>
      <w:pPr>
        <w:ind w:left="1300" w:hanging="290"/>
        <w:spacing w:after="0" w:line="207" w:lineRule="exact"/>
        <w:tabs>
          <w:tab w:leader="none" w:pos="130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1300" w:hanging="290"/>
        <w:spacing w:after="0" w:line="207" w:lineRule="exact"/>
        <w:tabs>
          <w:tab w:leader="none" w:pos="130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1" w:lineRule="exact"/>
        <w:rPr>
          <w:sz w:val="20"/>
          <w:szCs w:val="20"/>
          <w:color w:val="auto"/>
        </w:rPr>
      </w:pPr>
    </w:p>
    <w:p>
      <w:pPr>
        <w:ind w:left="1000" w:hanging="881"/>
        <w:spacing w:after="0"/>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2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United Kingdom</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700" w:type="dxa"/>
            <w:vAlign w:val="bottom"/>
            <w:tcBorders>
              <w:left w:val="single" w:sz="8" w:color="auto"/>
              <w:right w:val="single" w:sz="8" w:color="auto"/>
            </w:tcBorders>
          </w:tcPr>
          <w:p>
            <w:pPr>
              <w:spacing w:after="0"/>
              <w:rPr>
                <w:sz w:val="22"/>
                <w:szCs w:val="22"/>
                <w:color w:val="auto"/>
              </w:rPr>
            </w:pP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5</w:t>
            </w:r>
          </w:p>
        </w:tc>
        <w:tc>
          <w:tcPr>
            <w:tcW w:w="8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394"/>
        </w:trPr>
        <w:tc>
          <w:tcPr>
            <w:tcW w:w="1700" w:type="dxa"/>
            <w:vAlign w:val="bottom"/>
            <w:tcBorders>
              <w:left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9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6</w:t>
            </w:r>
          </w:p>
        </w:tc>
        <w:tc>
          <w:tcPr>
            <w:tcW w:w="8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66"/>
        </w:trPr>
        <w:tc>
          <w:tcPr>
            <w:tcW w:w="1700" w:type="dxa"/>
            <w:vAlign w:val="bottom"/>
            <w:tcBorders>
              <w:left w:val="single" w:sz="8" w:color="auto"/>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900" w:type="dxa"/>
            <w:vAlign w:val="bottom"/>
            <w:tcBorders>
              <w:right w:val="single" w:sz="8" w:color="auto"/>
            </w:tcBorders>
          </w:tcPr>
          <w:p>
            <w:pPr>
              <w:spacing w:after="0"/>
              <w:rPr>
                <w:sz w:val="20"/>
                <w:szCs w:val="20"/>
                <w:color w:val="auto"/>
              </w:rPr>
            </w:pPr>
          </w:p>
        </w:tc>
        <w:tc>
          <w:tcPr>
            <w:tcW w:w="8640" w:type="dxa"/>
            <w:vAlign w:val="bottom"/>
            <w:tcBorders>
              <w:right w:val="single" w:sz="8" w:color="auto"/>
            </w:tcBorders>
          </w:tcPr>
          <w:p>
            <w:pPr>
              <w:ind w:left="80"/>
              <w:spacing w:after="0" w:line="235" w:lineRule="exact"/>
              <w:rPr>
                <w:sz w:val="20"/>
                <w:szCs w:val="20"/>
                <w:color w:val="auto"/>
              </w:rPr>
            </w:pPr>
            <w:r>
              <w:rPr>
                <w:rFonts w:ascii="Arial" w:cs="Arial" w:eastAsia="Arial" w:hAnsi="Arial"/>
                <w:sz w:val="17"/>
                <w:szCs w:val="17"/>
                <w:b w:val="1"/>
                <w:bCs w:val="1"/>
                <w:color w:val="auto"/>
              </w:rPr>
              <w:t xml:space="preserve">1,707,386 </w:t>
            </w:r>
            <w:r>
              <w:rPr>
                <w:rFonts w:ascii="Arial" w:cs="Arial" w:eastAsia="Arial" w:hAnsi="Arial"/>
                <w:sz w:val="27"/>
                <w:szCs w:val="27"/>
                <w:b w:val="1"/>
                <w:bCs w:val="1"/>
                <w:color w:val="auto"/>
                <w:vertAlign w:val="superscript"/>
              </w:rPr>
              <w:t>(3)</w:t>
            </w:r>
          </w:p>
        </w:tc>
        <w:tc>
          <w:tcPr>
            <w:tcW w:w="0" w:type="dxa"/>
            <w:vAlign w:val="bottom"/>
          </w:tcPr>
          <w:p>
            <w:pPr>
              <w:spacing w:after="0"/>
              <w:rPr>
                <w:sz w:val="1"/>
                <w:szCs w:val="1"/>
                <w:color w:val="auto"/>
              </w:rPr>
            </w:pPr>
          </w:p>
        </w:tc>
      </w:tr>
      <w:tr>
        <w:trPr>
          <w:trHeight w:val="198"/>
        </w:trPr>
        <w:tc>
          <w:tcPr>
            <w:tcW w:w="170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BENEFICIALLY</w:t>
            </w:r>
          </w:p>
        </w:tc>
        <w:tc>
          <w:tcPr>
            <w:tcW w:w="900" w:type="dxa"/>
            <w:vAlign w:val="bottom"/>
            <w:tcBorders>
              <w:right w:val="single" w:sz="8" w:color="auto"/>
            </w:tcBorders>
          </w:tcPr>
          <w:p>
            <w:pPr>
              <w:spacing w:after="0"/>
              <w:rPr>
                <w:sz w:val="17"/>
                <w:szCs w:val="17"/>
                <w:color w:val="auto"/>
              </w:rPr>
            </w:pPr>
          </w:p>
        </w:tc>
        <w:tc>
          <w:tcPr>
            <w:tcW w:w="8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900" w:type="dxa"/>
            <w:vAlign w:val="bottom"/>
            <w:tcBorders>
              <w:bottom w:val="single" w:sz="8" w:color="auto"/>
              <w:right w:val="single" w:sz="8" w:color="auto"/>
            </w:tcBorders>
          </w:tcPr>
          <w:p>
            <w:pPr>
              <w:spacing w:after="0"/>
              <w:rPr>
                <w:sz w:val="5"/>
                <w:szCs w:val="5"/>
                <w:color w:val="auto"/>
              </w:rPr>
            </w:pPr>
          </w:p>
        </w:tc>
        <w:tc>
          <w:tcPr>
            <w:tcW w:w="86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700" w:type="dxa"/>
            <w:vAlign w:val="bottom"/>
            <w:tcBorders>
              <w:left w:val="single" w:sz="8" w:color="auto"/>
              <w:right w:val="single" w:sz="8" w:color="auto"/>
            </w:tcBorders>
            <w:vMerge w:val="continue"/>
          </w:tcPr>
          <w:p>
            <w:pPr>
              <w:spacing w:after="0"/>
              <w:rPr>
                <w:sz w:val="13"/>
                <w:szCs w:val="13"/>
                <w:color w:val="auto"/>
              </w:rPr>
            </w:pPr>
          </w:p>
        </w:tc>
        <w:tc>
          <w:tcPr>
            <w:tcW w:w="900" w:type="dxa"/>
            <w:vAlign w:val="bottom"/>
            <w:tcBorders>
              <w:right w:val="single" w:sz="8" w:color="auto"/>
            </w:tcBorders>
          </w:tcPr>
          <w:p>
            <w:pPr>
              <w:jc w:val="right"/>
              <w:ind w:right="630"/>
              <w:spacing w:after="0" w:line="156" w:lineRule="exact"/>
              <w:rPr>
                <w:sz w:val="20"/>
                <w:szCs w:val="20"/>
                <w:color w:val="auto"/>
              </w:rPr>
            </w:pPr>
            <w:r>
              <w:rPr>
                <w:rFonts w:ascii="Arial" w:cs="Arial" w:eastAsia="Arial" w:hAnsi="Arial"/>
                <w:sz w:val="18"/>
                <w:szCs w:val="18"/>
                <w:b w:val="1"/>
                <w:bCs w:val="1"/>
                <w:color w:val="auto"/>
              </w:rPr>
              <w:t>7</w:t>
            </w:r>
          </w:p>
        </w:tc>
        <w:tc>
          <w:tcPr>
            <w:tcW w:w="86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98"/>
        </w:trPr>
        <w:tc>
          <w:tcPr>
            <w:tcW w:w="170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EACH</w:t>
            </w:r>
          </w:p>
        </w:tc>
        <w:tc>
          <w:tcPr>
            <w:tcW w:w="900" w:type="dxa"/>
            <w:vAlign w:val="bottom"/>
            <w:tcBorders>
              <w:right w:val="single" w:sz="8" w:color="auto"/>
            </w:tcBorders>
          </w:tcPr>
          <w:p>
            <w:pPr>
              <w:spacing w:after="0"/>
              <w:rPr>
                <w:sz w:val="17"/>
                <w:szCs w:val="17"/>
                <w:color w:val="auto"/>
              </w:rPr>
            </w:pPr>
          </w:p>
        </w:tc>
        <w:tc>
          <w:tcPr>
            <w:tcW w:w="8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900" w:type="dxa"/>
            <w:vAlign w:val="bottom"/>
            <w:tcBorders>
              <w:right w:val="single" w:sz="8" w:color="auto"/>
            </w:tcBorders>
          </w:tcPr>
          <w:p>
            <w:pPr>
              <w:spacing w:after="0"/>
              <w:rPr>
                <w:sz w:val="20"/>
                <w:szCs w:val="20"/>
                <w:color w:val="auto"/>
              </w:rPr>
            </w:pPr>
          </w:p>
        </w:tc>
        <w:tc>
          <w:tcPr>
            <w:tcW w:w="86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900" w:type="dxa"/>
            <w:vAlign w:val="bottom"/>
            <w:tcBorders>
              <w:bottom w:val="single" w:sz="8" w:color="auto"/>
              <w:right w:val="single" w:sz="8" w:color="auto"/>
            </w:tcBorders>
          </w:tcPr>
          <w:p>
            <w:pPr>
              <w:spacing w:after="0"/>
              <w:rPr>
                <w:sz w:val="4"/>
                <w:szCs w:val="4"/>
                <w:color w:val="auto"/>
              </w:rPr>
            </w:pPr>
          </w:p>
        </w:tc>
        <w:tc>
          <w:tcPr>
            <w:tcW w:w="8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700" w:type="dxa"/>
            <w:vAlign w:val="bottom"/>
            <w:tcBorders>
              <w:left w:val="single" w:sz="8" w:color="auto"/>
              <w:right w:val="single" w:sz="8" w:color="auto"/>
            </w:tcBorders>
            <w:vMerge w:val="continue"/>
          </w:tcPr>
          <w:p>
            <w:pPr>
              <w:spacing w:after="0"/>
              <w:rPr>
                <w:sz w:val="13"/>
                <w:szCs w:val="13"/>
                <w:color w:val="auto"/>
              </w:rPr>
            </w:pPr>
          </w:p>
        </w:tc>
        <w:tc>
          <w:tcPr>
            <w:tcW w:w="900" w:type="dxa"/>
            <w:vAlign w:val="bottom"/>
            <w:tcBorders>
              <w:right w:val="single" w:sz="8" w:color="auto"/>
            </w:tcBorders>
            <w:vMerge w:val="restart"/>
          </w:tcPr>
          <w:p>
            <w:pPr>
              <w:jc w:val="right"/>
              <w:ind w:right="630"/>
              <w:spacing w:after="0"/>
              <w:rPr>
                <w:sz w:val="20"/>
                <w:szCs w:val="20"/>
                <w:color w:val="auto"/>
              </w:rPr>
            </w:pPr>
            <w:r>
              <w:rPr>
                <w:rFonts w:ascii="Arial" w:cs="Arial" w:eastAsia="Arial" w:hAnsi="Arial"/>
                <w:sz w:val="18"/>
                <w:szCs w:val="18"/>
                <w:b w:val="1"/>
                <w:bCs w:val="1"/>
                <w:color w:val="auto"/>
              </w:rPr>
              <w:t>8</w:t>
            </w:r>
          </w:p>
        </w:tc>
        <w:tc>
          <w:tcPr>
            <w:tcW w:w="86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6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7"/>
        </w:trPr>
        <w:tc>
          <w:tcPr>
            <w:tcW w:w="1700" w:type="dxa"/>
            <w:vAlign w:val="bottom"/>
            <w:tcBorders>
              <w:left w:val="single" w:sz="8" w:color="auto"/>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6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1,707,386 </w:t>
            </w:r>
            <w:r>
              <w:rPr>
                <w:rFonts w:ascii="Arial" w:cs="Arial" w:eastAsia="Arial" w:hAnsi="Arial"/>
                <w:sz w:val="29"/>
                <w:szCs w:val="29"/>
                <w:b w:val="1"/>
                <w:bCs w:val="1"/>
                <w:color w:val="auto"/>
                <w:vertAlign w:val="superscript"/>
              </w:rPr>
              <w:t>(3)</w:t>
            </w:r>
          </w:p>
        </w:tc>
        <w:tc>
          <w:tcPr>
            <w:tcW w:w="0" w:type="dxa"/>
            <w:vAlign w:val="bottom"/>
          </w:tcPr>
          <w:p>
            <w:pPr>
              <w:spacing w:after="0"/>
              <w:rPr>
                <w:sz w:val="1"/>
                <w:szCs w:val="1"/>
                <w:color w:val="auto"/>
              </w:rPr>
            </w:pPr>
          </w:p>
        </w:tc>
      </w:tr>
      <w:tr>
        <w:trPr>
          <w:trHeight w:val="80"/>
        </w:trPr>
        <w:tc>
          <w:tcPr>
            <w:tcW w:w="1700" w:type="dxa"/>
            <w:vAlign w:val="bottom"/>
            <w:tcBorders>
              <w:left w:val="single" w:sz="8" w:color="auto"/>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86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ind w:left="120"/>
        <w:spacing w:after="0"/>
        <w:rPr>
          <w:sz w:val="20"/>
          <w:szCs w:val="20"/>
          <w:color w:val="auto"/>
        </w:rPr>
      </w:pPr>
      <w:r>
        <w:rPr>
          <w:rFonts w:ascii="Arial" w:cs="Arial" w:eastAsia="Arial" w:hAnsi="Arial"/>
          <w:sz w:val="18"/>
          <w:szCs w:val="18"/>
          <w:b w:val="1"/>
          <w:bCs w:val="1"/>
          <w:color w:val="auto"/>
        </w:rPr>
        <w:t>9</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10</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-121920</wp:posOffset>
            </wp:positionV>
            <wp:extent cx="7132320" cy="2005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1,707,386 </w:t>
      </w:r>
      <w:r>
        <w:rPr>
          <w:rFonts w:ascii="Arial" w:cs="Arial" w:eastAsia="Arial" w:hAnsi="Arial"/>
          <w:sz w:val="29"/>
          <w:szCs w:val="29"/>
          <w:b w:val="1"/>
          <w:bCs w:val="1"/>
          <w:color w:val="auto"/>
          <w:vertAlign w:val="superscript"/>
        </w:rPr>
        <w:t>(3)</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HECK IF THE</w:t>
      </w:r>
      <w:r>
        <w:rPr>
          <w:rFonts w:ascii="Arial" w:cs="Arial" w:eastAsia="Arial" w:hAnsi="Arial"/>
          <w:sz w:val="17"/>
          <w:szCs w:val="17"/>
          <w:color w:val="auto"/>
        </w:rPr>
        <w:t xml:space="preserve"> A</w:t>
      </w:r>
      <w:r>
        <w:rPr>
          <w:rFonts w:ascii="Arial" w:cs="Arial" w:eastAsia="Arial" w:hAnsi="Arial"/>
          <w:sz w:val="11"/>
          <w:szCs w:val="11"/>
          <w:color w:val="auto"/>
        </w:rPr>
        <w:t>GGREGATE</w:t>
      </w:r>
      <w:r>
        <w:rPr>
          <w:rFonts w:ascii="Arial" w:cs="Arial" w:eastAsia="Arial" w:hAnsi="Arial"/>
          <w:sz w:val="17"/>
          <w:szCs w:val="17"/>
          <w:color w:val="auto"/>
        </w:rPr>
        <w:t xml:space="preserve"> A</w:t>
      </w:r>
      <w:r>
        <w:rPr>
          <w:rFonts w:ascii="Arial" w:cs="Arial" w:eastAsia="Arial" w:hAnsi="Arial"/>
          <w:sz w:val="11"/>
          <w:szCs w:val="11"/>
          <w:color w:val="auto"/>
        </w:rPr>
        <w:t>MOUNT IN</w:t>
      </w:r>
      <w:r>
        <w:rPr>
          <w:rFonts w:ascii="Arial" w:cs="Arial" w:eastAsia="Arial" w:hAnsi="Arial"/>
          <w:sz w:val="17"/>
          <w:szCs w:val="17"/>
          <w:color w:val="auto"/>
        </w:rPr>
        <w:t xml:space="preserve"> R</w:t>
      </w:r>
      <w:r>
        <w:rPr>
          <w:rFonts w:ascii="Arial" w:cs="Arial" w:eastAsia="Arial" w:hAnsi="Arial"/>
          <w:sz w:val="11"/>
          <w:szCs w:val="11"/>
          <w:color w:val="auto"/>
        </w:rPr>
        <w:t>OW</w:t>
      </w:r>
      <w:r>
        <w:rPr>
          <w:rFonts w:ascii="Arial" w:cs="Arial" w:eastAsia="Arial" w:hAnsi="Arial"/>
          <w:sz w:val="17"/>
          <w:szCs w:val="17"/>
          <w:color w:val="auto"/>
        </w:rPr>
        <w:t xml:space="preserve"> (9) E</w:t>
      </w:r>
      <w:r>
        <w:rPr>
          <w:rFonts w:ascii="Arial" w:cs="Arial" w:eastAsia="Arial" w:hAnsi="Arial"/>
          <w:sz w:val="11"/>
          <w:szCs w:val="11"/>
          <w:color w:val="auto"/>
        </w:rPr>
        <w:t>XCLUDES</w:t>
      </w:r>
      <w:r>
        <w:rPr>
          <w:rFonts w:ascii="Arial" w:cs="Arial" w:eastAsia="Arial" w:hAnsi="Arial"/>
          <w:sz w:val="17"/>
          <w:szCs w:val="17"/>
          <w:color w:val="auto"/>
        </w:rPr>
        <w:t xml:space="preserve"> C</w:t>
      </w:r>
      <w:r>
        <w:rPr>
          <w:rFonts w:ascii="Arial" w:cs="Arial" w:eastAsia="Arial" w:hAnsi="Arial"/>
          <w:sz w:val="11"/>
          <w:szCs w:val="11"/>
          <w:color w:val="auto"/>
        </w:rPr>
        <w:t>ERTAIN</w:t>
      </w:r>
      <w:r>
        <w:rPr>
          <w:rFonts w:ascii="Arial" w:cs="Arial" w:eastAsia="Arial" w:hAnsi="Arial"/>
          <w:sz w:val="17"/>
          <w:szCs w:val="17"/>
          <w:color w:val="auto"/>
        </w:rPr>
        <w:t xml:space="preserve"> S</w:t>
      </w:r>
      <w:r>
        <w:rPr>
          <w:rFonts w:ascii="Arial" w:cs="Arial" w:eastAsia="Arial" w:hAnsi="Arial"/>
          <w:sz w:val="11"/>
          <w:szCs w:val="11"/>
          <w:color w:val="auto"/>
        </w:rPr>
        <w:t>HARES</w:t>
      </w:r>
      <w:r>
        <w:rPr>
          <w:rFonts w:ascii="Arial" w:cs="Arial" w:eastAsia="Arial" w:hAnsi="Arial"/>
          <w:sz w:val="17"/>
          <w:szCs w:val="17"/>
          <w:color w:val="auto"/>
        </w:rPr>
        <w:t xml:space="preserve"> (S</w:t>
      </w:r>
      <w:r>
        <w:rPr>
          <w:rFonts w:ascii="Arial" w:cs="Arial" w:eastAsia="Arial" w:hAnsi="Arial"/>
          <w:sz w:val="11"/>
          <w:szCs w:val="11"/>
          <w:color w:val="auto"/>
        </w:rPr>
        <w:t>EE</w:t>
      </w:r>
      <w:r>
        <w:rPr>
          <w:rFonts w:ascii="Arial" w:cs="Arial" w:eastAsia="Arial" w:hAnsi="Arial"/>
          <w:sz w:val="17"/>
          <w:szCs w:val="17"/>
          <w:color w:val="auto"/>
        </w:rPr>
        <w:t xml:space="preserve"> I</w:t>
      </w:r>
      <w:r>
        <w:rPr>
          <w:rFonts w:ascii="Arial" w:cs="Arial" w:eastAsia="Arial" w:hAnsi="Arial"/>
          <w:sz w:val="11"/>
          <w:szCs w:val="11"/>
          <w:color w:val="auto"/>
        </w:rPr>
        <w:t>NSTRUCTIONS</w:t>
      </w:r>
      <w:r>
        <w:rPr>
          <w:rFonts w:ascii="Arial" w:cs="Arial" w:eastAsia="Arial" w:hAnsi="Arial"/>
          <w:sz w:val="17"/>
          <w:szCs w:val="17"/>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7.9%</w:t>
      </w:r>
      <w:r>
        <w:rPr>
          <w:rFonts w:ascii="Arial" w:cs="Arial" w:eastAsia="Arial" w:hAnsi="Arial"/>
          <w:sz w:val="29"/>
          <w:szCs w:val="29"/>
          <w:b w:val="1"/>
          <w:bCs w:val="1"/>
          <w:color w:val="auto"/>
          <w:vertAlign w:val="superscript"/>
        </w:rPr>
        <w:t>(4)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334645</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 w:space="700"/>
            <w:col w:w="10240"/>
          </w:cols>
          <w:pgMar w:left="320" w:top="904"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both"/>
        <w:ind w:firstLine="8"/>
        <w:spacing w:after="0" w:line="250" w:lineRule="auto"/>
        <w:tabs>
          <w:tab w:leader="none" w:pos="235"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Jeremy C. Green’s beneficial ownership of Common Stock is comprised of 1,707,386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4" w:lineRule="exact"/>
        <w:rPr>
          <w:rFonts w:ascii="Arial" w:cs="Arial" w:eastAsia="Arial" w:hAnsi="Arial"/>
          <w:sz w:val="27"/>
          <w:szCs w:val="27"/>
          <w:color w:val="auto"/>
          <w:vertAlign w:val="superscript"/>
        </w:rPr>
      </w:pPr>
    </w:p>
    <w:p>
      <w:pPr>
        <w:ind w:left="220" w:hanging="212"/>
        <w:spacing w:after="0" w:line="205" w:lineRule="auto"/>
        <w:tabs>
          <w:tab w:leader="none" w:pos="22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Percentage based on 21,623,287 shares of Common Stock outstanding as of November 6, 2020, as reported by the Issuer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980" w:right="7639" w:hanging="324"/>
        <w:spacing w:after="0" w:line="530"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Name of Issuer AVITA Medical, Inc.</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980" w:right="6679"/>
        <w:spacing w:after="0" w:line="277" w:lineRule="auto"/>
        <w:rPr>
          <w:rFonts w:ascii="Arial" w:cs="Arial" w:eastAsia="Arial" w:hAnsi="Arial"/>
          <w:sz w:val="18"/>
          <w:szCs w:val="18"/>
          <w:color w:val="auto"/>
        </w:rPr>
      </w:pPr>
      <w:r>
        <w:rPr>
          <w:rFonts w:ascii="Arial" w:cs="Arial" w:eastAsia="Arial" w:hAnsi="Arial"/>
          <w:sz w:val="18"/>
          <w:szCs w:val="18"/>
          <w:color w:val="auto"/>
        </w:rPr>
        <w:t>28159 Avenue Stanford, Suite 220 Valencia, California 91355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Names of Persons Filing</w:t>
      </w:r>
    </w:p>
    <w:p>
      <w:pPr>
        <w:spacing w:after="0" w:line="225" w:lineRule="exact"/>
        <w:rPr>
          <w:rFonts w:ascii="Arial" w:cs="Arial" w:eastAsia="Arial" w:hAnsi="Arial"/>
          <w:sz w:val="18"/>
          <w:szCs w:val="18"/>
          <w:color w:val="auto"/>
        </w:rPr>
      </w:pPr>
    </w:p>
    <w:p>
      <w:pPr>
        <w:ind w:left="980" w:right="7619"/>
        <w:spacing w:after="0" w:line="342" w:lineRule="auto"/>
        <w:rPr>
          <w:rFonts w:ascii="Arial" w:cs="Arial" w:eastAsia="Arial" w:hAnsi="Arial"/>
          <w:sz w:val="18"/>
          <w:szCs w:val="18"/>
          <w:color w:val="auto"/>
        </w:rPr>
      </w:pPr>
      <w:r>
        <w:rPr>
          <w:rFonts w:ascii="Arial" w:cs="Arial" w:eastAsia="Arial" w:hAnsi="Arial"/>
          <w:sz w:val="16"/>
          <w:szCs w:val="16"/>
          <w:color w:val="auto"/>
        </w:rPr>
        <w:t>Redmile Group, LLC Jeremy C. Green</w:t>
      </w:r>
    </w:p>
    <w:p>
      <w:pPr>
        <w:spacing w:after="0" w:line="1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980" w:right="6839"/>
        <w:spacing w:after="0" w:line="257" w:lineRule="auto"/>
        <w:rPr>
          <w:rFonts w:ascii="Arial" w:cs="Arial" w:eastAsia="Arial" w:hAnsi="Arial"/>
          <w:sz w:val="18"/>
          <w:szCs w:val="18"/>
          <w:color w:val="auto"/>
        </w:rPr>
      </w:pPr>
      <w:r>
        <w:rPr>
          <w:rFonts w:ascii="Arial" w:cs="Arial" w:eastAsia="Arial" w:hAnsi="Arial"/>
          <w:sz w:val="18"/>
          <w:szCs w:val="18"/>
          <w:color w:val="auto"/>
        </w:rPr>
        <w:t>Redmile Group, LLC One Letterman Drive Building D, Suite D3-300 The Presidio of San Francisco San Francisco, California 94129</w:t>
      </w:r>
    </w:p>
    <w:p>
      <w:pPr>
        <w:spacing w:after="0" w:line="18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Jeremy C. Green</w:t>
      </w:r>
    </w:p>
    <w:p>
      <w:pPr>
        <w:spacing w:after="0" w:line="23" w:lineRule="exact"/>
        <w:rPr>
          <w:rFonts w:ascii="Arial" w:cs="Arial" w:eastAsia="Arial" w:hAnsi="Arial"/>
          <w:sz w:val="18"/>
          <w:szCs w:val="18"/>
          <w:color w:val="auto"/>
        </w:rPr>
      </w:pPr>
    </w:p>
    <w:p>
      <w:pPr>
        <w:ind w:left="980" w:right="6839"/>
        <w:spacing w:after="0" w:line="271" w:lineRule="auto"/>
        <w:rPr>
          <w:rFonts w:ascii="Arial" w:cs="Arial" w:eastAsia="Arial" w:hAnsi="Arial"/>
          <w:sz w:val="18"/>
          <w:szCs w:val="18"/>
          <w:color w:val="auto"/>
        </w:rPr>
      </w:pPr>
      <w:r>
        <w:rPr>
          <w:rFonts w:ascii="Arial" w:cs="Arial" w:eastAsia="Arial" w:hAnsi="Arial"/>
          <w:sz w:val="17"/>
          <w:szCs w:val="17"/>
          <w:color w:val="auto"/>
        </w:rPr>
        <w:t>c/o Redmile Group, LLC One Letterman Drive Building D, Suite D3-300 The Presidio of San Francisco San Francisco, California 94129</w:t>
      </w:r>
    </w:p>
    <w:p>
      <w:pPr>
        <w:spacing w:after="0" w:line="17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Redmile Group, LLC: Delaware</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Jeremy C. Green: United Kingdom</w:t>
      </w:r>
    </w:p>
    <w:p>
      <w:pPr>
        <w:spacing w:after="0" w:line="210" w:lineRule="exact"/>
        <w:rPr>
          <w:rFonts w:ascii="Arial" w:cs="Arial" w:eastAsia="Arial" w:hAnsi="Arial"/>
          <w:sz w:val="18"/>
          <w:szCs w:val="18"/>
          <w:color w:val="auto"/>
        </w:rPr>
      </w:pPr>
    </w:p>
    <w:p>
      <w:pPr>
        <w:ind w:left="980" w:right="6659" w:hanging="324"/>
        <w:spacing w:after="0" w:line="563"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Title of Class of Securities Common Stock, $0.0001 par value</w:t>
      </w:r>
    </w:p>
    <w:p>
      <w:pPr>
        <w:ind w:left="980" w:right="8019" w:hanging="324"/>
        <w:spacing w:after="0" w:line="560"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CUSIP Number 05380C102</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If this statement is filed pursuant to §§ 240.13d-1(b) or 240.13d-2(b) or (c), check whether the person filing is a:</w:t>
      </w:r>
    </w:p>
    <w:p>
      <w:pPr>
        <w:spacing w:after="0" w:line="196" w:lineRule="exact"/>
        <w:rPr>
          <w:sz w:val="20"/>
          <w:szCs w:val="20"/>
          <w:color w:val="auto"/>
        </w:rPr>
      </w:pPr>
    </w:p>
    <w:p>
      <w:pPr>
        <w:ind w:left="1420" w:hanging="440"/>
        <w:spacing w:after="0" w:line="207" w:lineRule="exact"/>
        <w:tabs>
          <w:tab w:leader="none" w:pos="14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ind w:left="1420" w:hanging="440"/>
        <w:spacing w:after="0" w:line="207" w:lineRule="exact"/>
        <w:tabs>
          <w:tab w:leader="none" w:pos="142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52"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52"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740" w:right="100" w:hanging="760"/>
        <w:spacing w:after="0" w:line="239" w:lineRule="exact"/>
        <w:tabs>
          <w:tab w:leader="none" w:pos="1416"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740" w:hanging="760"/>
        <w:spacing w:after="0" w:line="239" w:lineRule="exact"/>
        <w:tabs>
          <w:tab w:leader="none" w:pos="1416"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 __________</w:t>
      </w:r>
    </w:p>
    <w:p>
      <w:pPr>
        <w:spacing w:after="0" w:line="1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420" w:hanging="440"/>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440" w:right="7060"/>
        <w:spacing w:after="0" w:line="308" w:lineRule="auto"/>
        <w:rPr>
          <w:rFonts w:ascii="Arial" w:cs="Arial" w:eastAsia="Arial" w:hAnsi="Arial"/>
          <w:sz w:val="18"/>
          <w:szCs w:val="18"/>
          <w:color w:val="auto"/>
        </w:rPr>
      </w:pPr>
      <w:r>
        <w:rPr>
          <w:rFonts w:ascii="Arial" w:cs="Arial" w:eastAsia="Arial" w:hAnsi="Arial"/>
          <w:sz w:val="17"/>
          <w:szCs w:val="17"/>
          <w:color w:val="auto"/>
        </w:rPr>
        <w:t>Redmile Group, LLC – 1,707,386 * Jeremy C. Green – 1,707,386 *</w:t>
      </w:r>
    </w:p>
    <w:p>
      <w:pPr>
        <w:spacing w:after="0" w:line="146" w:lineRule="exact"/>
        <w:rPr>
          <w:rFonts w:ascii="Arial" w:cs="Arial" w:eastAsia="Arial" w:hAnsi="Arial"/>
          <w:sz w:val="18"/>
          <w:szCs w:val="18"/>
          <w:color w:val="auto"/>
        </w:rPr>
      </w:pPr>
    </w:p>
    <w:p>
      <w:pPr>
        <w:ind w:left="1420" w:hanging="440"/>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440" w:right="7360"/>
        <w:spacing w:after="0" w:line="308" w:lineRule="auto"/>
        <w:rPr>
          <w:rFonts w:ascii="Arial" w:cs="Arial" w:eastAsia="Arial" w:hAnsi="Arial"/>
          <w:sz w:val="18"/>
          <w:szCs w:val="18"/>
          <w:color w:val="auto"/>
        </w:rPr>
      </w:pPr>
      <w:r>
        <w:rPr>
          <w:rFonts w:ascii="Arial" w:cs="Arial" w:eastAsia="Arial" w:hAnsi="Arial"/>
          <w:sz w:val="17"/>
          <w:szCs w:val="17"/>
          <w:color w:val="auto"/>
        </w:rPr>
        <w:t>Redmile Group, LLC – 7.9%** Jeremy C. Green – 7.9%**</w:t>
      </w:r>
    </w:p>
    <w:p>
      <w:pPr>
        <w:spacing w:after="0" w:line="146" w:lineRule="exact"/>
        <w:rPr>
          <w:rFonts w:ascii="Arial" w:cs="Arial" w:eastAsia="Arial" w:hAnsi="Arial"/>
          <w:sz w:val="18"/>
          <w:szCs w:val="18"/>
          <w:color w:val="auto"/>
        </w:rPr>
      </w:pPr>
    </w:p>
    <w:p>
      <w:pPr>
        <w:ind w:left="1420" w:hanging="440"/>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Redmile Group, LLC has:</w:t>
      </w:r>
    </w:p>
    <w:p>
      <w:pPr>
        <w:spacing w:after="0" w:line="225" w:lineRule="exact"/>
        <w:rPr>
          <w:rFonts w:ascii="Arial" w:cs="Arial" w:eastAsia="Arial" w:hAnsi="Arial"/>
          <w:sz w:val="18"/>
          <w:szCs w:val="18"/>
          <w:color w:val="auto"/>
        </w:rPr>
      </w:pPr>
    </w:p>
    <w:p>
      <w:pPr>
        <w:ind w:left="1800" w:hanging="334"/>
        <w:spacing w:after="0"/>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ind w:left="1800" w:hanging="334"/>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1,707,386 *</w:t>
      </w:r>
    </w:p>
    <w:p>
      <w:pPr>
        <w:spacing w:after="0" w:line="225" w:lineRule="exact"/>
        <w:rPr>
          <w:rFonts w:ascii="Arial" w:cs="Arial" w:eastAsia="Arial" w:hAnsi="Arial"/>
          <w:sz w:val="18"/>
          <w:szCs w:val="18"/>
          <w:color w:val="auto"/>
        </w:rPr>
      </w:pPr>
    </w:p>
    <w:p>
      <w:pPr>
        <w:ind w:left="1820" w:right="5520" w:hanging="354"/>
        <w:spacing w:after="0" w:line="500" w:lineRule="auto"/>
        <w:tabs>
          <w:tab w:leader="none" w:pos="17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1820" w:right="5340" w:hanging="354"/>
        <w:spacing w:after="0" w:line="527" w:lineRule="auto"/>
        <w:tabs>
          <w:tab w:leader="none" w:pos="17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1,707,386*</w:t>
      </w:r>
    </w:p>
    <w:p>
      <w:pPr>
        <w:spacing w:after="0" w:line="387" w:lineRule="exact"/>
        <w:rPr>
          <w:sz w:val="20"/>
          <w:szCs w:val="20"/>
          <w:color w:val="auto"/>
        </w:rPr>
      </w:pPr>
    </w:p>
    <w:p>
      <w:pPr>
        <w:ind w:left="1820" w:right="6440" w:hanging="354"/>
        <w:spacing w:after="0" w:line="527" w:lineRule="auto"/>
        <w:tabs>
          <w:tab w:leader="none" w:pos="17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03" w:right="499" w:bottom="1440" w:gutter="0" w:footer="0" w:header="0"/>
        </w:sectPr>
      </w:pPr>
    </w:p>
    <w:bookmarkStart w:id="5" w:name="page6"/>
    <w:bookmarkEnd w:id="5"/>
    <w:p>
      <w:pPr>
        <w:ind w:left="1820" w:right="6420" w:hanging="354"/>
        <w:spacing w:after="0" w:line="500" w:lineRule="auto"/>
        <w:tabs>
          <w:tab w:leader="none" w:pos="17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 1,707,386*</w:t>
      </w:r>
    </w:p>
    <w:p>
      <w:pPr>
        <w:spacing w:after="0" w:line="1" w:lineRule="exact"/>
        <w:rPr>
          <w:rFonts w:ascii="Arial" w:cs="Arial" w:eastAsia="Arial" w:hAnsi="Arial"/>
          <w:sz w:val="18"/>
          <w:szCs w:val="18"/>
          <w:color w:val="auto"/>
        </w:rPr>
      </w:pPr>
    </w:p>
    <w:p>
      <w:pPr>
        <w:ind w:left="1820" w:right="5680" w:hanging="354"/>
        <w:spacing w:after="0" w:line="500" w:lineRule="auto"/>
        <w:tabs>
          <w:tab w:leader="none" w:pos="17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1820" w:right="5500" w:hanging="354"/>
        <w:spacing w:after="0" w:line="500" w:lineRule="auto"/>
        <w:tabs>
          <w:tab w:leader="none" w:pos="17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1,707,386*</w:t>
      </w:r>
    </w:p>
    <w:p>
      <w:pPr>
        <w:spacing w:after="0" w:line="1" w:lineRule="exact"/>
        <w:rPr>
          <w:rFonts w:ascii="Arial" w:cs="Arial" w:eastAsia="Arial" w:hAnsi="Arial"/>
          <w:sz w:val="18"/>
          <w:szCs w:val="18"/>
          <w:color w:val="auto"/>
        </w:rPr>
      </w:pPr>
    </w:p>
    <w:p>
      <w:pPr>
        <w:ind w:left="1460" w:right="40" w:hanging="243"/>
        <w:spacing w:after="0" w:line="273" w:lineRule="auto"/>
        <w:rPr>
          <w:rFonts w:ascii="Arial" w:cs="Arial" w:eastAsia="Arial" w:hAnsi="Arial"/>
          <w:sz w:val="18"/>
          <w:szCs w:val="18"/>
          <w:color w:val="auto"/>
        </w:rPr>
      </w:pPr>
      <w:r>
        <w:rPr>
          <w:rFonts w:ascii="Arial" w:cs="Arial" w:eastAsia="Arial" w:hAnsi="Arial"/>
          <w:sz w:val="17"/>
          <w:szCs w:val="17"/>
          <w:color w:val="auto"/>
        </w:rPr>
        <w:t>* Redmile Group, LLC’s and Jeremy C. Green’s beneficial ownership of the Issuer’s Common Stock is comprised of 1,707,386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177" w:lineRule="exact"/>
        <w:rPr>
          <w:rFonts w:ascii="Arial" w:cs="Arial" w:eastAsia="Arial" w:hAnsi="Arial"/>
          <w:sz w:val="18"/>
          <w:szCs w:val="18"/>
          <w:color w:val="auto"/>
        </w:rPr>
      </w:pPr>
    </w:p>
    <w:p>
      <w:pPr>
        <w:ind w:left="1460" w:hanging="23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Percentage based on 21,623,287 shares of Common Stock outstanding as of November 6, 2020, as reported by the Issuer in the Form 10-Q.</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980" w:right="1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the response to Item 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980" w:right="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 w:name="page7"/>
    <w:bookmarkEnd w:id="6"/>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Redmile Group,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Jeremy C. Green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undersigned hereby agree to the joint filing on behalf of each of them of a Statement on Schedule 13G (including any and all amendments thereto, the “</w:t>
      </w:r>
      <w:r>
        <w:rPr>
          <w:rFonts w:ascii="Arial" w:cs="Arial" w:eastAsia="Arial" w:hAnsi="Arial"/>
          <w:sz w:val="18"/>
          <w:szCs w:val="18"/>
          <w:u w:val="single" w:color="auto"/>
          <w:color w:val="auto"/>
        </w:rPr>
        <w:t>Schedule 13G</w:t>
      </w:r>
      <w:r>
        <w:rPr>
          <w:rFonts w:ascii="Arial" w:cs="Arial" w:eastAsia="Arial" w:hAnsi="Arial"/>
          <w:sz w:val="18"/>
          <w:szCs w:val="18"/>
          <w:color w:val="auto"/>
        </w:rPr>
        <w:t>”) relating to the Common Stock, $0.0001 par value per share, of AVITA Medical, Inc., which may be deemed necessary pursuant to Regulation 13D or 13G promulgated under the Exchange Act.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further agree that each party hereto is responsible for the timely filing of the Schedule 13G, and for the accuracy and completeness of the information concerning such party contained therein; provided, however, that no party is responsible for the accuracy or completeness of the information concerning any other party, unless such party knows or has a reason to believe that such information is inaccurate.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understood and agreed that a copy of this Joint Filing Agreement shall be attached as an exhibit to the Schedule 13G, filed on behalf of each of the parties 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this Joint Filing Agreement as of the 16th day of February,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REDMILE GROUP,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C. Green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þ"/>
      <w:numFmt w:val="bullet"/>
      <w:start w:val="1"/>
    </w:lvl>
  </w:abstractNum>
  <w:abstractNum w:abstractNumId="1">
    <w:nsid w:val="1F16E9E8"/>
    <w:multiLevelType w:val="hybridMultilevel"/>
    <w:lvl w:ilvl="0">
      <w:lvlJc w:val="left"/>
      <w:lvlText w:val="*"/>
      <w:numFmt w:val="bullet"/>
      <w:start w:val="1"/>
    </w:lvl>
    <w:lvl w:ilvl="1">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lvl w:ilvl="1">
      <w:lvlJc w:val="left"/>
      <w:lvlText w:val="(%2)"/>
      <w:numFmt w:val="upperLetter"/>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2"/>
      <w:numFmt w:val="bullet"/>
      <w:start w:val="1"/>
    </w:lvl>
    <w:lvl w:ilvl="1">
      <w:lvlJc w:val="left"/>
      <w:lvlText w:val="(%2)"/>
      <w:numFmt w:val="upperLetter"/>
      <w:start w:val="1"/>
    </w:lvl>
  </w:abstractNum>
  <w:abstractNum w:abstractNumId="9">
    <w:nsid w:val="1BEFD79F"/>
    <w:multiLevelType w:val="hybridMultilevel"/>
    <w:lvl w:ilvl="0">
      <w:lvlJc w:val="left"/>
      <w:lvlText w:val="3"/>
      <w:numFmt w:val="bullet"/>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4"/>
    </w:lvl>
  </w:abstractNum>
  <w:abstractNum w:abstractNumId="15">
    <w:nsid w:val="431BD7B7"/>
    <w:multiLevelType w:val="hybridMultilevel"/>
    <w:lvl w:ilvl="0">
      <w:lvlJc w:val="left"/>
      <w:lvlText w:val="(%1)"/>
      <w:numFmt w:val="lowerLetter"/>
      <w:start w:val="1"/>
    </w:lvl>
    <w:lvl w:ilvl="1">
      <w:lvlJc w:val="left"/>
      <w:lvlText w:val="(%2)"/>
      <w:numFmt w:val="lowerLetter"/>
      <w:start w:val="9"/>
    </w:lvl>
  </w:abstractNum>
  <w:abstractNum w:abstractNumId="16">
    <w:nsid w:val="3F2DBA31"/>
    <w:multiLevelType w:val="hybridMultilevel"/>
    <w:lvl w:ilvl="0">
      <w:lvlJc w:val="left"/>
      <w:lvlText w:val="(%1)"/>
      <w:numFmt w:val="lowerRoman"/>
      <w:start w:val="2"/>
    </w:lvl>
  </w:abstractNum>
  <w:abstractNum w:abstractNumId="17">
    <w:nsid w:val="7C83E458"/>
    <w:multiLevelType w:val="hybridMultilevel"/>
    <w:lvl w:ilvl="0">
      <w:lvlJc w:val="left"/>
      <w:lvlText w:val="(%1)"/>
      <w:numFmt w:val="lowerRoman"/>
      <w:start w:val="1"/>
    </w:lvl>
  </w:abstractNum>
  <w:abstractNum w:abstractNumId="18">
    <w:nsid w:val="257130A3"/>
    <w:multiLevelType w:val="hybridMultilevel"/>
    <w:lvl w:ilvl="0">
      <w:lvlJc w:val="left"/>
      <w:lvlText w:val="*"/>
      <w:numFmt w:val="bullet"/>
      <w:start w:val="1"/>
    </w:lvl>
    <w:lvl w:ilvl="1">
      <w:lvlJc w:val="left"/>
      <w:lvlText w:val="(%2)"/>
      <w:numFmt w:val="lowerRoman"/>
      <w:start w:val="2"/>
    </w:lvl>
  </w:abstractNum>
  <w:abstractNum w:abstractNumId="19">
    <w:nsid w:val="62BBD95A"/>
    <w:multiLevelType w:val="hybridMultilevel"/>
    <w:lvl w:ilvl="0">
      <w:lvlJc w:val="left"/>
      <w:lvlText w:val="**"/>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2021-02-16T16:10:28Z</dcterms:created>
  <dcterms:modified xsi:type="dcterms:W3CDTF">2021-02-16T16:10:28Z</dcterms:modified>
</cp:coreProperties>
</file>