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8,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18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82"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jc w:val="center"/>
        <w:ind w:right="80"/>
        <w:spacing w:after="0" w:line="237" w:lineRule="auto"/>
        <w:rPr>
          <w:sz w:val="20"/>
          <w:szCs w:val="20"/>
          <w:color w:val="auto"/>
        </w:rPr>
      </w:pPr>
      <w:r>
        <w:rPr>
          <w:rFonts w:ascii="Times New Roman" w:cs="Times New Roman" w:eastAsia="Times New Roman" w:hAnsi="Times New Roman"/>
          <w:sz w:val="19"/>
          <w:szCs w:val="19"/>
          <w:b w:val="1"/>
          <w:bCs w:val="1"/>
          <w:i w:val="1"/>
          <w:iCs w:val="1"/>
          <w:color w:val="auto"/>
        </w:rPr>
        <w:t>Under</w:t>
      </w:r>
    </w:p>
    <w:p>
      <w:pPr>
        <w:jc w:val="center"/>
        <w:ind w:right="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16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9"/>
          <w:szCs w:val="39"/>
          <w:b w:val="1"/>
          <w:bCs w:val="1"/>
          <w:color w:val="auto"/>
        </w:rPr>
        <w:t>AVITA MEDICAL, INC.</w:t>
      </w:r>
    </w:p>
    <w:p>
      <w:pPr>
        <w:spacing w:after="0" w:line="4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100"/>
          </w:cols>
          <w:pgMar w:left="460" w:top="880" w:right="339" w:bottom="1440" w:gutter="0" w:footer="0" w:header="0"/>
        </w:sectPr>
      </w:pPr>
    </w:p>
    <w:p>
      <w:pPr>
        <w:spacing w:after="0" w:line="201"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85-1021707</w:t>
      </w:r>
    </w:p>
    <w:p>
      <w:pPr>
        <w:spacing w:after="0" w:line="28" w:lineRule="exact"/>
        <w:rPr>
          <w:sz w:val="24"/>
          <w:szCs w:val="24"/>
          <w:color w:val="auto"/>
        </w:rPr>
      </w:pPr>
    </w:p>
    <w:p>
      <w:pPr>
        <w:sectPr>
          <w:pgSz w:w="11900" w:h="16838" w:orient="portrait"/>
          <w:cols w:equalWidth="0" w:num="2">
            <w:col w:w="6440" w:space="720"/>
            <w:col w:w="3940"/>
          </w:cols>
          <w:pgMar w:left="460" w:top="88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90" w:lineRule="exact"/>
        <w:rPr>
          <w:sz w:val="24"/>
          <w:szCs w:val="24"/>
          <w:color w:val="auto"/>
        </w:rPr>
      </w:pPr>
    </w:p>
    <w:p>
      <w:pPr>
        <w:sectPr>
          <w:pgSz w:w="11900" w:h="16838" w:orient="portrait"/>
          <w:cols w:equalWidth="0" w:num="2">
            <w:col w:w="5920" w:space="720"/>
            <w:col w:w="4460"/>
          </w:cols>
          <w:pgMar w:left="460" w:top="880" w:right="3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6"/>
          <w:szCs w:val="16"/>
          <w:b w:val="1"/>
          <w:bCs w:val="1"/>
          <w:color w:val="auto"/>
        </w:rPr>
        <w:t>28159 Avenue Stanford, Suite 220</w:t>
      </w:r>
    </w:p>
    <w:p>
      <w:pPr>
        <w:spacing w:after="0" w:line="2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Valencia, CA 91355</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1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Individual Stock Option Grant Agreements</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Individual Restricted Stock Unit Grant Agreements</w:t>
      </w:r>
    </w:p>
    <w:p>
      <w:pPr>
        <w:spacing w:after="0" w:line="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AVITA Medical, Inc. 2020 Omnibus Incentive Plan, Amended and Restated</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(Full title of the plan)</w:t>
      </w:r>
    </w:p>
    <w:p>
      <w:pPr>
        <w:spacing w:after="0" w:line="1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Nicole Kelsey</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28159 Avenue Stanford, Suite 220</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Valencia, CA 91355</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(661) 367-9170</w:t>
      </w:r>
    </w:p>
    <w:p>
      <w:pPr>
        <w:spacing w:after="0" w:line="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10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2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Charles K. Ruck</w:t>
      </w:r>
    </w:p>
    <w:p>
      <w:pPr>
        <w:spacing w:after="0" w:line="2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Sarah B. Axtell</w:t>
      </w:r>
    </w:p>
    <w:p>
      <w:pPr>
        <w:spacing w:after="0" w:line="1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1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650 Town Center Drive, 20th Floor</w:t>
      </w:r>
    </w:p>
    <w:p>
      <w:pPr>
        <w:spacing w:after="0" w:line="1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Costa Mesa, California 92626</w:t>
      </w:r>
    </w:p>
    <w:p>
      <w:pPr>
        <w:spacing w:after="0" w:line="1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(714) 540-1235</w:t>
      </w:r>
    </w:p>
    <w:p>
      <w:pPr>
        <w:spacing w:after="0" w:line="200" w:lineRule="exact"/>
        <w:rPr>
          <w:sz w:val="24"/>
          <w:szCs w:val="24"/>
          <w:color w:val="auto"/>
        </w:rPr>
      </w:pPr>
    </w:p>
    <w:p>
      <w:pPr>
        <w:spacing w:after="0" w:line="216" w:lineRule="exact"/>
        <w:rPr>
          <w:sz w:val="24"/>
          <w:szCs w:val="24"/>
          <w:color w:val="auto"/>
        </w:rPr>
      </w:pPr>
    </w:p>
    <w:p>
      <w:pPr>
        <w:ind w:left="20" w:right="3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8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2" w:lineRule="exact"/>
        <w:rPr>
          <w:sz w:val="24"/>
          <w:szCs w:val="24"/>
          <w:color w:val="auto"/>
        </w:rPr>
      </w:pPr>
    </w:p>
    <w:p>
      <w:pPr>
        <w:ind w:left="20" w:right="4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591820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80" w:right="339" w:bottom="1440" w:gutter="0" w:footer="0" w:header="0"/>
          <w:type w:val="continuous"/>
        </w:sectPr>
      </w:pPr>
    </w:p>
    <w:bookmarkStart w:id="1" w:name="page2"/>
    <w:bookmarkEnd w:id="1"/>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3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6"/>
          <w:szCs w:val="16"/>
          <w:color w:val="auto"/>
        </w:rPr>
        <w:t>This registration statement (this “Registration Statement”) on Form S-8 is being filed to register (i) an additional 2,500,000 shares (the “Omnibus Plan Shares”) of common stock under the AVITA Medical, Inc. 2020 Omnibus Incentive Plan, Amended and Restated (the “Omnibus Plan”), as a result of the stockholders of AVITA Medical, Inc. (the “Registrant” or the “Company”) approving an amendment to the Omnibus Plan to increase the shares of common stock available for issuance under the Omnibus Plan on June 4, 2025 at the Registrant’s 2025 Annual Meeting of Stockholders; and (ii) an aggregate of 605,902 shares of common stock that are issuable upon the exercise of 545,770 stock options and the vesting of 60,132 restricted stock units (“RSUs”) granted pursuant to individual stock option award and RSU award agreements approved by the Registrant’s stockholders on June 4, 2025 at the Registrant’s 2025 Annual Meetings of Stockholders.</w:t>
      </w:r>
    </w:p>
    <w:p>
      <w:pPr>
        <w:spacing w:after="0" w:line="171"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The Registrant has previously registered 1,750,000 shares of common stock issuable under the Omnibus Plan on the registration statement on Form S-8 (Reg. No. 333-250924) filed with the Securities and Exchange Commission (the “Commission” or the “SEC”) on November 24, 2020 and 2,500,000 shares of common stock issuable under the Omnibus Plan on the registration statement on Form S-8 (Reg. No. 333-73072) filed with the Commission on June 30, 2023 (the “Prior Registration Statements”). Under this Registration Statement, the Company is registering an additional 2,500,000 shares of common stock issuable under the Omnibus Plan. Pursuant to General Instruction E of Form S-8 regarding Registration of Additional Securities, the contents of the Prior Registration Statements previously filed with respect to the Omnibus Plan are incorporated by reference herein to the extent not modified or superseded hereby or by any subsequently filed document that is incorporated by reference herein or therein.</w:t>
      </w:r>
    </w:p>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pacing w:after="0" w:line="17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this registration statement, AVITA Medical, Inc. is sometimes referred to as “Registrant,” “we,” “us,” “our,” or “AVITA”.</w:t>
      </w:r>
    </w:p>
    <w:p>
      <w:pPr>
        <w:spacing w:after="0" w:line="221"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3.</w:t>
        <w:tab/>
        <w:t>Incorporation of Documents by Reference.</w:t>
      </w:r>
    </w:p>
    <w:p>
      <w:pPr>
        <w:spacing w:after="0" w:line="12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SEC’s rules allow us to “incorporate by reference” information into this Registration Statement, which means that we can disclose important information to you by referring you to another document filed separately with the SEC. Information incorporated by reference is deemed to be part of this Registration Statement, and subsequent information that we file with the SEC will automatically update and supersede that information. Any statement contained in this Registration Statement or a previously filed document incorporated by reference will be deemed to be modified or superseded for purposes of this Registration Statement to the extent that a statement contained in this Registration Statement or a subsequently filed document incorporated by reference modifies or replaces that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incorporate by reference into this Registration Statement the following documents previously filed with the SEC:</w:t>
      </w:r>
    </w:p>
    <w:p>
      <w:pPr>
        <w:spacing w:after="0" w:line="140" w:lineRule="exact"/>
        <w:rPr>
          <w:sz w:val="20"/>
          <w:szCs w:val="20"/>
          <w:color w:val="auto"/>
        </w:rPr>
      </w:pPr>
    </w:p>
    <w:p>
      <w:pPr>
        <w:ind w:left="1040" w:hanging="563"/>
        <w:spacing w:after="0"/>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9">
        <w:r>
          <w:rPr>
            <w:rFonts w:ascii="Times New Roman" w:cs="Times New Roman" w:eastAsia="Times New Roman" w:hAnsi="Times New Roman"/>
            <w:sz w:val="16"/>
            <w:szCs w:val="16"/>
            <w:u w:val="single" w:color="auto"/>
            <w:color w:val="0000FF"/>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year ended December 31, 2024, filed with the SEC on February 13, 2025;</w:t>
      </w:r>
    </w:p>
    <w:p>
      <w:pPr>
        <w:spacing w:after="0" w:line="140" w:lineRule="exact"/>
        <w:rPr>
          <w:rFonts w:ascii="Times New Roman" w:cs="Times New Roman" w:eastAsia="Times New Roman" w:hAnsi="Times New Roman"/>
          <w:sz w:val="16"/>
          <w:szCs w:val="16"/>
          <w:color w:val="auto"/>
        </w:rPr>
      </w:pPr>
    </w:p>
    <w:p>
      <w:pPr>
        <w:ind w:left="1040" w:right="60" w:hanging="563"/>
        <w:spacing w:after="0" w:line="298" w:lineRule="auto"/>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information specifically incorporated by reference into our Annual Report on Form 10-K from our Definitive Proxy Statement on </w:t>
      </w:r>
      <w:hyperlink r:id="rId10">
        <w:r>
          <w:rPr>
            <w:rFonts w:ascii="Times New Roman" w:cs="Times New Roman" w:eastAsia="Times New Roman" w:hAnsi="Times New Roman"/>
            <w:sz w:val="16"/>
            <w:szCs w:val="16"/>
            <w:u w:val="single" w:color="auto"/>
            <w:color w:val="0000FF"/>
          </w:rPr>
          <w:t>Schedule 14A</w:t>
        </w:r>
      </w:hyperlink>
      <w:r>
        <w:rPr>
          <w:rFonts w:ascii="Times New Roman" w:cs="Times New Roman" w:eastAsia="Times New Roman" w:hAnsi="Times New Roman"/>
          <w:sz w:val="16"/>
          <w:szCs w:val="16"/>
          <w:color w:val="auto"/>
        </w:rPr>
        <w:t>, filed with the SEC on April 22, 2025;</w:t>
      </w:r>
    </w:p>
    <w:p>
      <w:pPr>
        <w:spacing w:after="0" w:line="56" w:lineRule="exact"/>
        <w:rPr>
          <w:rFonts w:ascii="Times New Roman" w:cs="Times New Roman" w:eastAsia="Times New Roman" w:hAnsi="Times New Roman"/>
          <w:sz w:val="16"/>
          <w:szCs w:val="16"/>
          <w:color w:val="auto"/>
        </w:rPr>
      </w:pPr>
    </w:p>
    <w:p>
      <w:pPr>
        <w:ind w:left="1040" w:right="240" w:hanging="563"/>
        <w:spacing w:after="0" w:line="298" w:lineRule="auto"/>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Quarterly Reports on Form 10-Q for the quarters ended </w:t>
      </w:r>
      <w:hyperlink r:id="rId11">
        <w:r>
          <w:rPr>
            <w:rFonts w:ascii="Times New Roman" w:cs="Times New Roman" w:eastAsia="Times New Roman" w:hAnsi="Times New Roman"/>
            <w:sz w:val="16"/>
            <w:szCs w:val="16"/>
            <w:u w:val="single" w:color="auto"/>
            <w:color w:val="0000FF"/>
          </w:rPr>
          <w:t>March 31,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12">
        <w:r>
          <w:rPr>
            <w:rFonts w:ascii="Times New Roman" w:cs="Times New Roman" w:eastAsia="Times New Roman" w:hAnsi="Times New Roman"/>
            <w:sz w:val="16"/>
            <w:szCs w:val="16"/>
            <w:u w:val="single" w:color="auto"/>
            <w:color w:val="0000FF"/>
          </w:rPr>
          <w:t>June 30,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filed with the SEC on May 8, 2025 and August 7, 2025, respectively;</w:t>
      </w:r>
    </w:p>
    <w:p>
      <w:pPr>
        <w:spacing w:after="0" w:line="42" w:lineRule="exact"/>
        <w:rPr>
          <w:rFonts w:ascii="Times New Roman" w:cs="Times New Roman" w:eastAsia="Times New Roman" w:hAnsi="Times New Roman"/>
          <w:sz w:val="16"/>
          <w:szCs w:val="16"/>
          <w:color w:val="auto"/>
        </w:rPr>
      </w:pPr>
    </w:p>
    <w:p>
      <w:pPr>
        <w:ind w:left="1040" w:right="500" w:hanging="563"/>
        <w:spacing w:after="0" w:line="298" w:lineRule="auto"/>
        <w:tabs>
          <w:tab w:leader="none" w:pos="1040" w:val="left"/>
        </w:tabs>
        <w:numPr>
          <w:ilvl w:val="0"/>
          <w:numId w:val="1"/>
        </w:numPr>
        <w:rPr>
          <w:rFonts w:ascii="Times New Roman" w:cs="Times New Roman" w:eastAsia="Times New Roman" w:hAnsi="Times New Roman"/>
          <w:sz w:val="16"/>
          <w:szCs w:val="16"/>
          <w:color w:val="0000FF"/>
        </w:rPr>
      </w:pPr>
      <w:hyperlink r:id="rId13">
        <w:r>
          <w:rPr>
            <w:rFonts w:ascii="Times New Roman" w:cs="Times New Roman" w:eastAsia="Times New Roman" w:hAnsi="Times New Roman"/>
            <w:sz w:val="16"/>
            <w:szCs w:val="16"/>
            <w:color w:val="auto"/>
          </w:rPr>
          <w:t xml:space="preserve">our Current Reports on Form 8-K filed with the SEC (other than information furnished rather than filed) on </w:t>
        </w:r>
        <w:r>
          <w:rPr>
            <w:rFonts w:ascii="Times New Roman" w:cs="Times New Roman" w:eastAsia="Times New Roman" w:hAnsi="Times New Roman"/>
            <w:sz w:val="16"/>
            <w:szCs w:val="16"/>
            <w:u w:val="single" w:color="auto"/>
            <w:color w:val="0000FF"/>
          </w:rPr>
          <w:t>March 17, 2025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May 15, 2025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June 5,</w:t>
        </w:r>
      </w:hyperlink>
      <w:r>
        <w:rPr>
          <w:rFonts w:ascii="Times New Roman" w:cs="Times New Roman" w:eastAsia="Times New Roman" w:hAnsi="Times New Roman"/>
          <w:sz w:val="16"/>
          <w:szCs w:val="16"/>
          <w:color w:val="auto"/>
        </w:rPr>
        <w:t xml:space="preserve"> </w:t>
      </w:r>
      <w:hyperlink r:id="rId13">
        <w:r>
          <w:rPr>
            <w:rFonts w:ascii="Times New Roman" w:cs="Times New Roman" w:eastAsia="Times New Roman" w:hAnsi="Times New Roman"/>
            <w:sz w:val="16"/>
            <w:szCs w:val="16"/>
            <w:u w:val="single" w:color="auto"/>
            <w:color w:val="0000FF"/>
          </w:rPr>
          <w:t>2025</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hyperlink>
      <w:hyperlink r:id="rId14">
        <w:r>
          <w:rPr>
            <w:rFonts w:ascii="Times New Roman" w:cs="Times New Roman" w:eastAsia="Times New Roman" w:hAnsi="Times New Roman"/>
            <w:sz w:val="16"/>
            <w:szCs w:val="16"/>
            <w:u w:val="single" w:color="auto"/>
            <w:color w:val="0000FF"/>
          </w:rPr>
          <w:t>August 6, 2025</w:t>
        </w:r>
      </w:hyperlink>
      <w:hyperlink r:id="rId13">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color w:val="0000FF"/>
          </w:rPr>
          <w:t xml:space="preserve"> </w:t>
        </w:r>
      </w:hyperlink>
      <w:hyperlink r:id="rId15">
        <w:r>
          <w:rPr>
            <w:rFonts w:ascii="Times New Roman" w:cs="Times New Roman" w:eastAsia="Times New Roman" w:hAnsi="Times New Roman"/>
            <w:sz w:val="16"/>
            <w:szCs w:val="16"/>
            <w:u w:val="single" w:color="auto"/>
            <w:color w:val="0000FF"/>
          </w:rPr>
          <w:t>August 7, 2025</w:t>
        </w:r>
      </w:hyperlink>
      <w:hyperlink r:id="rId13">
        <w:r>
          <w:rPr>
            <w:rFonts w:ascii="Times New Roman" w:cs="Times New Roman" w:eastAsia="Times New Roman" w:hAnsi="Times New Roman"/>
            <w:sz w:val="16"/>
            <w:szCs w:val="16"/>
            <w:color w:val="000000"/>
          </w:rPr>
          <w:t>;</w:t>
        </w:r>
      </w:hyperlink>
    </w:p>
    <w:p>
      <w:pPr>
        <w:spacing w:after="0" w:line="56" w:lineRule="exact"/>
        <w:rPr>
          <w:rFonts w:ascii="Times New Roman" w:cs="Times New Roman" w:eastAsia="Times New Roman" w:hAnsi="Times New Roman"/>
          <w:sz w:val="16"/>
          <w:szCs w:val="16"/>
          <w:color w:val="0000FF"/>
        </w:rPr>
      </w:pPr>
    </w:p>
    <w:p>
      <w:pPr>
        <w:ind w:left="1040" w:right="300" w:hanging="563"/>
        <w:spacing w:after="0" w:line="298" w:lineRule="auto"/>
        <w:tabs>
          <w:tab w:leader="none" w:pos="10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common stock set forth on the </w:t>
      </w:r>
      <w:hyperlink r:id="rId16">
        <w:r>
          <w:rPr>
            <w:rFonts w:ascii="Times New Roman" w:cs="Times New Roman" w:eastAsia="Times New Roman" w:hAnsi="Times New Roman"/>
            <w:sz w:val="16"/>
            <w:szCs w:val="16"/>
            <w:u w:val="single" w:color="auto"/>
            <w:color w:val="0000ED"/>
          </w:rPr>
          <w:t>Form 8-K12B</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filed with the SEC on June 30, 2020, including any amendment or reports filed for the purpose of updating this description.</w:t>
      </w:r>
    </w:p>
    <w:p>
      <w:pPr>
        <w:spacing w:after="0" w:line="259" w:lineRule="exact"/>
        <w:rPr>
          <w:rFonts w:ascii="Times New Roman" w:cs="Times New Roman" w:eastAsia="Times New Roman" w:hAnsi="Times New Roman"/>
          <w:sz w:val="16"/>
          <w:szCs w:val="16"/>
          <w:color w:val="0000FF"/>
        </w:rPr>
      </w:pPr>
    </w:p>
    <w:p>
      <w:pPr>
        <w:ind w:right="200"/>
        <w:spacing w:after="0" w:line="268" w:lineRule="auto"/>
        <w:rPr>
          <w:sz w:val="20"/>
          <w:szCs w:val="20"/>
          <w:color w:val="auto"/>
        </w:rPr>
      </w:pPr>
      <w:r>
        <w:rPr>
          <w:rFonts w:ascii="Times New Roman" w:cs="Times New Roman" w:eastAsia="Times New Roman" w:hAnsi="Times New Roman"/>
          <w:sz w:val="16"/>
          <w:szCs w:val="16"/>
          <w:color w:val="auto"/>
        </w:rPr>
        <w:t>All documents that the Registrant subsequently files pursuant to Sections 13(a), 13(c), 14 and 15(d) of the Securities Exchange Act of 1934, as amended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or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-108585</wp:posOffset>
            </wp:positionH>
            <wp:positionV relativeFrom="paragraph">
              <wp:posOffset>459105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866" w:right="339" w:bottom="1440" w:gutter="0" w:footer="0" w:header="0"/>
        </w:sectPr>
      </w:pPr>
    </w:p>
    <w:bookmarkStart w:id="2" w:name="page3"/>
    <w:bookmarkEnd w:id="2"/>
    <w:p>
      <w:pPr>
        <w:ind w:right="360"/>
        <w:spacing w:after="0" w:line="298" w:lineRule="auto"/>
        <w:rPr>
          <w:sz w:val="20"/>
          <w:szCs w:val="20"/>
          <w:color w:val="auto"/>
        </w:rPr>
      </w:pPr>
      <w:r>
        <w:rPr>
          <w:rFonts w:ascii="Times New Roman" w:cs="Times New Roman" w:eastAsia="Times New Roman" w:hAnsi="Times New Roman"/>
          <w:sz w:val="16"/>
          <w:szCs w:val="16"/>
          <w:color w:val="auto"/>
        </w:rPr>
        <w:t>Under no circumstances will any information furnished under current Items 2.02 or 7.01 of Form 8-K, or exhibits furnished on such form that relate to such items, be deemed incorporated herein by reference, unless such Form 8-K expressly provides to the contrary.</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6.</w:t>
        <w:tab/>
        <w:t>Indemnification of Directors and Officers.</w:t>
      </w:r>
    </w:p>
    <w:p>
      <w:pPr>
        <w:spacing w:after="0" w:line="2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are a Delaware corporation and certain provisions of Delaware law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spacing w:after="0" w:line="177"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Section 145 of the Delaware General Corporation Law (“DGCL”) provides for, under certain circumstances, the indemnification of our officers, directors, employees and agents against liabilities that they may incur in such capacities. A summary of the circumstances in which such indemnification provided for is set forth below, but that description is qualified in its entirety by reference to the relevant Section of the DGCL.</w:t>
      </w:r>
    </w:p>
    <w:p>
      <w:pPr>
        <w:spacing w:after="0" w:line="16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6"/>
          <w:szCs w:val="16"/>
          <w:color w:val="auto"/>
        </w:rPr>
        <w:t>In general, the DGCL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w:t>
      </w:r>
    </w:p>
    <w:p>
      <w:pPr>
        <w:spacing w:after="0" w:line="1" w:lineRule="exact"/>
        <w:rPr>
          <w:sz w:val="20"/>
          <w:szCs w:val="20"/>
          <w:color w:val="auto"/>
        </w:rPr>
      </w:pPr>
    </w:p>
    <w:p>
      <w:pPr>
        <w:ind w:right="340" w:firstLine="10"/>
        <w:spacing w:after="0" w:line="268" w:lineRule="auto"/>
        <w:tabs>
          <w:tab w:leader="none" w:pos="193"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were taken in good faith; (ii) were reasonably believed to have been in or not opposed to the Company’s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or by independent legal counsel, or by vote of the stockholders, that the applicable standard of conduct was met by the individual to be indemnified. 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spacing w:after="0" w:line="17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such improper personal benefit.</w:t>
      </w:r>
    </w:p>
    <w:p>
      <w:pPr>
        <w:spacing w:after="0" w:line="176"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Delaware law authorizes us to reimburse or pay reasonable expenses incurred by a director, officer, employee or agent in connection with a proceeding in advance of a final disposition of the matter. Such advances of expenses are permitted if the director, officer, employee or agent furnishes to the Company a written agreement to repay such advances if it is determined that he is not entitled to be indemnified by the Company.</w:t>
      </w:r>
    </w:p>
    <w:p>
      <w:pPr>
        <w:spacing w:after="0" w:line="164"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6"/>
          <w:szCs w:val="16"/>
          <w:color w:val="auto"/>
        </w:rPr>
        <w:t>The section of the DGCL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directors, officers, employees or agents of the Company.</w:t>
      </w:r>
    </w:p>
    <w:p>
      <w:pPr>
        <w:spacing w:after="0" w:line="169"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t>The provision of the DGCL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Article V of our certificate of incorporation provides that the Company shall indemnify our directors and officers to the fullest extent permitted by the DGCL.</w:t>
      </w:r>
    </w:p>
    <w:p>
      <w:pPr>
        <w:spacing w:after="0" w:line="12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6"/>
          <w:szCs w:val="16"/>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Article VI of our certificate of incorporation provides that we shall exculpate our directors from personal liability either to the Company or any of our stockholders for monetary damages for breach of fiduciary duty as a director, except to the extent such exemption from liability or limitation thereof is not permitted under the DGCL.</w:t>
      </w:r>
    </w:p>
    <w:p>
      <w:pPr>
        <w:spacing w:after="0" w:line="28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6"/>
          <w:szCs w:val="16"/>
          <w:color w:val="auto"/>
        </w:rPr>
        <w:t>Our amended and restated bylaws provide that we will indemnify and hold harmless, to the fullest extent permitted by applicable law, any person (all such persons being referred to as a “Covered Person”) who was or is made, or is threatened to be made, a party or is otherwise involved in any action, suit or proceeding (other than a Proceeding commenced by such Covered Person unless such commencement was authorized by our Board of Directors), whether civil, criminal, administrative or investigative (referred to as a “Proceeding”), by reason of the fact that he or she, or a person for whom he or she is the legal representative, is or was our director or officer or, while our director or officer,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We will also, to the fullest extent not prohibited by applicable law, pay the expenses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459740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084" w:right="339" w:bottom="1440" w:gutter="0" w:footer="0" w:header="0"/>
        </w:sectPr>
      </w:pPr>
    </w:p>
    <w:bookmarkStart w:id="3" w:name="page4"/>
    <w:bookmarkEnd w:id="3"/>
    <w:p>
      <w:pPr>
        <w:jc w:val="both"/>
        <w:ind w:left="160" w:right="340"/>
        <w:spacing w:after="0" w:line="281" w:lineRule="auto"/>
        <w:rPr>
          <w:sz w:val="20"/>
          <w:szCs w:val="20"/>
          <w:color w:val="auto"/>
        </w:rPr>
      </w:pPr>
      <w:r>
        <w:rPr>
          <w:rFonts w:ascii="Times New Roman" w:cs="Times New Roman" w:eastAsia="Times New Roman" w:hAnsi="Times New Roman"/>
          <w:sz w:val="16"/>
          <w:szCs w:val="16"/>
          <w:color w:val="auto"/>
        </w:rPr>
        <w:t>attorneys’ fees) incurred by a Covered Person in defending any Proceeding in advance of its final disposition; provided, however, that, to the extent required by law, such payment of expenses in advance of the final disposition of the Proceeding will be made only upon receipt of an undertaking by the Covered Person to repay all amounts advanced if it should be ultimately determined that the Covered Person is not entitled to be indemnified by us.</w:t>
      </w:r>
    </w:p>
    <w:p>
      <w:pPr>
        <w:spacing w:after="0" w:line="69" w:lineRule="exact"/>
        <w:rPr>
          <w:sz w:val="20"/>
          <w:szCs w:val="20"/>
          <w:color w:val="auto"/>
        </w:rPr>
      </w:pPr>
    </w:p>
    <w:p>
      <w:pPr>
        <w:ind w:left="160" w:right="160"/>
        <w:spacing w:after="0" w:line="275"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officers. These indemnification agreements may require us, among other things, to indemnify our directors and officers for some expenses, including attorneys’ fees, judgments, fines, ERISA excise taxes, penalties and settlement amounts reasonably incurred by such director or officer in any action or proceeding arising out of his or her service as one of our directors or officers, or any other company or enterprise to which the person provides services at our request.</w:t>
      </w:r>
    </w:p>
    <w:p>
      <w:pPr>
        <w:spacing w:after="0" w:line="169" w:lineRule="exact"/>
        <w:rPr>
          <w:sz w:val="20"/>
          <w:szCs w:val="20"/>
          <w:color w:val="auto"/>
        </w:rPr>
      </w:pPr>
    </w:p>
    <w:p>
      <w:pPr>
        <w:ind w:left="160" w:right="140"/>
        <w:spacing w:after="0" w:line="298" w:lineRule="auto"/>
        <w:rPr>
          <w:sz w:val="20"/>
          <w:szCs w:val="20"/>
          <w:color w:val="auto"/>
        </w:rPr>
      </w:pPr>
      <w:r>
        <w:rPr>
          <w:rFonts w:ascii="Times New Roman" w:cs="Times New Roman" w:eastAsia="Times New Roman" w:hAnsi="Times New Roman"/>
          <w:sz w:val="16"/>
          <w:szCs w:val="16"/>
          <w:color w:val="auto"/>
        </w:rPr>
        <w:t>We have purchased directors’ and officers’ liability insurance in order to limit the exposure to liability for indemnification of directors and officers, including liabilities under the Securities Act.</w:t>
      </w:r>
    </w:p>
    <w:p>
      <w:pPr>
        <w:spacing w:after="0" w:line="151" w:lineRule="exact"/>
        <w:rPr>
          <w:sz w:val="20"/>
          <w:szCs w:val="20"/>
          <w:color w:val="auto"/>
        </w:rPr>
      </w:pPr>
    </w:p>
    <w:p>
      <w:pPr>
        <w:ind w:left="160" w:right="400"/>
        <w:spacing w:after="0" w:line="28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for our directors, officers, employees, or agents pursuant to the foregoing provisions or otherwise, we have been advised that in the opinion of the SEC, such indemnification is against public policy as expressed in the Securities Act and, therefore, may be unenforceable.</w:t>
      </w:r>
    </w:p>
    <w:p>
      <w:pPr>
        <w:spacing w:after="0" w:line="310"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8.</w:t>
        <w:tab/>
        <w:t>Exhibits.</w:t>
      </w:r>
    </w:p>
    <w:p>
      <w:pPr>
        <w:sectPr>
          <w:pgSz w:w="11900" w:h="16838" w:orient="portrait"/>
          <w:cols w:equalWidth="0" w:num="1">
            <w:col w:w="11180"/>
          </w:cols>
          <w:pgMar w:left="320" w:top="882" w:right="399" w:bottom="1440" w:gutter="0" w:footer="0" w:header="0"/>
        </w:sect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42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5.1+</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23.1+</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23.2+</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24.1+</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99.1#</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99.2#</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99.3#</w:t>
      </w:r>
    </w:p>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6275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97" w:lineRule="exact"/>
        <w:rPr>
          <w:sz w:val="20"/>
          <w:szCs w:val="20"/>
          <w:color w:val="auto"/>
        </w:rPr>
      </w:pPr>
    </w:p>
    <w:p>
      <w:pPr>
        <w:ind w:right="980"/>
        <w:spacing w:after="0" w:line="282" w:lineRule="auto"/>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Certificate of Incorporation (filed as Exhibit 3.1 to the Registrant’s Current Report on Form 8-K12B filed with the SEC on</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June 30, 2020 and incorporated herein by reference)</w:t>
        </w:r>
      </w:hyperlink>
    </w:p>
    <w:p>
      <w:pPr>
        <w:spacing w:after="0" w:line="162"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Certificate of Amendment of Certificate of Incorporated (filed as Exhibit 3.2 to the Registrant’s Transition Report on Form 10-KT filed</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with the SEC on February 28, 2022 and incorporated herein by reference)</w:t>
        </w:r>
      </w:hyperlink>
    </w:p>
    <w:p>
      <w:pPr>
        <w:spacing w:after="0" w:line="162"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Amended and Restated Bylaws (filed as Exhibit 3.1 to the Registrant’s Form 8-K filed with the SEC on May 15, 2025 and incorporated</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herein by reference)</w:t>
        </w:r>
      </w:hyperlink>
    </w:p>
    <w:p>
      <w:pPr>
        <w:spacing w:after="0" w:line="162"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Specimen Stock Certificate for Shares of the Common Stock of the Registrant (filed as Exhibit 4.1 to the Registrant’s Current Report on</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Form 8-K12B filed with the SEC on June 30, 2020 and incorporated herein by reference)</w:t>
        </w:r>
      </w:hyperlink>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Latham &amp; Watkins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Latham &amp; Watkins LLP (included in Exhibit 5.1)</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signature page)</w:t>
      </w:r>
    </w:p>
    <w:p>
      <w:pPr>
        <w:spacing w:after="0" w:line="21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2020 Omnibus Incentive Plan (filed as Exhibit 10.29 to the Registrant’s Annual Report on Form 10-KT filed with the SEC on February</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28, 2022 and incorporated herein by reference)</w:t>
        </w:r>
      </w:hyperlink>
    </w:p>
    <w:p>
      <w:pPr>
        <w:spacing w:after="0" w:line="207"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26">
        <w:r>
          <w:rPr>
            <w:rFonts w:ascii="Times New Roman" w:cs="Times New Roman" w:eastAsia="Times New Roman" w:hAnsi="Times New Roman"/>
            <w:sz w:val="18"/>
            <w:szCs w:val="18"/>
            <w:u w:val="single" w:color="auto"/>
            <w:color w:val="0000FF"/>
          </w:rPr>
          <w:t>Amendment No. 1 to the Registrant’s 2020 Omnibus Incentive Plan (filed as Annexure A to the Registrant’s Definitive Proxy Statement</w:t>
        </w:r>
      </w:hyperlink>
      <w:r>
        <w:rPr>
          <w:rFonts w:ascii="Times New Roman" w:cs="Times New Roman" w:eastAsia="Times New Roman" w:hAnsi="Times New Roman"/>
          <w:sz w:val="18"/>
          <w:szCs w:val="18"/>
          <w:u w:val="single" w:color="auto"/>
          <w:color w:val="0000FF"/>
        </w:rPr>
        <w:t xml:space="preserve"> </w:t>
      </w:r>
      <w:hyperlink r:id="rId26">
        <w:r>
          <w:rPr>
            <w:rFonts w:ascii="Times New Roman" w:cs="Times New Roman" w:eastAsia="Times New Roman" w:hAnsi="Times New Roman"/>
            <w:sz w:val="18"/>
            <w:szCs w:val="18"/>
            <w:u w:val="single" w:color="auto"/>
            <w:color w:val="0000FF"/>
          </w:rPr>
          <w:t>on Form DEF 14A filed with the SEC on April 14, 2023 and incorporated herein by reference)</w:t>
        </w:r>
      </w:hyperlink>
    </w:p>
    <w:p>
      <w:pPr>
        <w:spacing w:after="0" w:line="256" w:lineRule="exact"/>
        <w:rPr>
          <w:sz w:val="20"/>
          <w:szCs w:val="20"/>
          <w:color w:val="auto"/>
        </w:rPr>
      </w:pPr>
    </w:p>
    <w:p>
      <w:pPr>
        <w:ind w:right="1000"/>
        <w:spacing w:after="0" w:line="282" w:lineRule="auto"/>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Form of Stock Option Grant (filed as Exhibit 10.19 to the Registrant's Annual Report on Form 10-K filed with the SEC on</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February 23, 2023 and incorporated herein by reference)</w:t>
        </w:r>
      </w:hyperlink>
    </w:p>
    <w:p>
      <w:pPr>
        <w:spacing w:after="0" w:line="256"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Form of RSU Agreement (filed as Exhibit 10.20 to the Registrant's Annual Report on Form 10-K filed with the SEC on February 23,</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2023 and incorporated herein by reference)</w:t>
        </w:r>
      </w:hyperlink>
    </w:p>
    <w:p>
      <w:pPr>
        <w:spacing w:after="0" w:line="76" w:lineRule="exact"/>
        <w:rPr>
          <w:sz w:val="20"/>
          <w:szCs w:val="20"/>
          <w:color w:val="auto"/>
        </w:rPr>
      </w:pPr>
    </w:p>
    <w:p>
      <w:pPr>
        <w:sectPr>
          <w:pgSz w:w="11900" w:h="16838" w:orient="portrait"/>
          <w:cols w:equalWidth="0" w:num="2">
            <w:col w:w="840" w:space="520"/>
            <w:col w:w="9820"/>
          </w:cols>
          <w:pgMar w:left="320" w:top="882" w:right="399" w:bottom="1440" w:gutter="0" w:footer="0" w:header="0"/>
          <w:type w:val="continuous"/>
        </w:sectPr>
      </w:pPr>
    </w:p>
    <w:p>
      <w:pPr>
        <w:ind w:left="1360" w:hanging="987"/>
        <w:spacing w:after="0"/>
        <w:tabs>
          <w:tab w:leader="none" w:pos="136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0000FF"/>
        </w:rPr>
        <w:t>Filing Fee Table*</w:t>
      </w:r>
    </w:p>
    <w:p>
      <w:pPr>
        <w:spacing w:after="0" w:line="4"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Filed herewith</w:t>
      </w:r>
    </w:p>
    <w:p>
      <w:pPr>
        <w:spacing w:after="0" w:line="8"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2" w:right="399" w:bottom="1440" w:gutter="0" w:footer="0" w:header="0"/>
          <w:type w:val="continuous"/>
        </w:sectPr>
      </w:pPr>
    </w:p>
    <w:bookmarkStart w:id="4" w:name="page5"/>
    <w:bookmarkEnd w:id="4"/>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9.</w:t>
        <w:tab/>
        <w:t>Undertakings.</w:t>
      </w:r>
    </w:p>
    <w:p>
      <w:pPr>
        <w:spacing w:after="0" w:line="142" w:lineRule="exact"/>
        <w:rPr>
          <w:sz w:val="20"/>
          <w:szCs w:val="20"/>
          <w:color w:val="auto"/>
        </w:rPr>
      </w:pPr>
    </w:p>
    <w:p>
      <w:pPr>
        <w:ind w:left="1040" w:hanging="563"/>
        <w:spacing w:after="0"/>
        <w:tabs>
          <w:tab w:leader="none" w:pos="1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26" w:lineRule="exact"/>
        <w:rPr>
          <w:rFonts w:ascii="Times New Roman" w:cs="Times New Roman" w:eastAsia="Times New Roman" w:hAnsi="Times New Roman"/>
          <w:sz w:val="16"/>
          <w:szCs w:val="16"/>
          <w:color w:val="auto"/>
        </w:rPr>
      </w:pPr>
    </w:p>
    <w:p>
      <w:pPr>
        <w:ind w:left="1500" w:hanging="469"/>
        <w:spacing w:after="0"/>
        <w:tabs>
          <w:tab w:leader="none" w:pos="15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40" w:lineRule="exact"/>
        <w:rPr>
          <w:rFonts w:ascii="Times New Roman" w:cs="Times New Roman" w:eastAsia="Times New Roman" w:hAnsi="Times New Roman"/>
          <w:sz w:val="16"/>
          <w:szCs w:val="16"/>
          <w:color w:val="auto"/>
        </w:rPr>
      </w:pPr>
    </w:p>
    <w:p>
      <w:pPr>
        <w:ind w:left="2060" w:hanging="565"/>
        <w:spacing w:after="0"/>
        <w:tabs>
          <w:tab w:leader="none" w:pos="206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40" w:lineRule="exact"/>
        <w:rPr>
          <w:rFonts w:ascii="Times New Roman" w:cs="Times New Roman" w:eastAsia="Times New Roman" w:hAnsi="Times New Roman"/>
          <w:sz w:val="16"/>
          <w:szCs w:val="16"/>
          <w:color w:val="auto"/>
        </w:rPr>
      </w:pPr>
    </w:p>
    <w:p>
      <w:pPr>
        <w:ind w:left="2060" w:right="80" w:hanging="565"/>
        <w:spacing w:after="0" w:line="269" w:lineRule="auto"/>
        <w:tabs>
          <w:tab w:leader="none" w:pos="206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rFonts w:ascii="Times New Roman" w:cs="Times New Roman" w:eastAsia="Times New Roman" w:hAnsi="Times New Roman"/>
          <w:sz w:val="16"/>
          <w:szCs w:val="16"/>
          <w:color w:val="auto"/>
        </w:rPr>
      </w:pPr>
    </w:p>
    <w:p>
      <w:pPr>
        <w:ind w:left="2020" w:right="1260" w:hanging="525"/>
        <w:spacing w:after="0" w:line="298" w:lineRule="auto"/>
        <w:tabs>
          <w:tab w:leader="none" w:pos="2020"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this Registration Statement or any material change to such information in the Registration Statement;</w:t>
      </w:r>
    </w:p>
    <w:p>
      <w:pPr>
        <w:spacing w:after="0" w:line="68" w:lineRule="exact"/>
        <w:rPr>
          <w:sz w:val="20"/>
          <w:szCs w:val="20"/>
          <w:color w:val="auto"/>
        </w:rPr>
      </w:pPr>
    </w:p>
    <w:p>
      <w:pPr>
        <w:ind w:left="860" w:right="720"/>
        <w:spacing w:after="0" w:line="276"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(a)(1)(i) and (a)(1)(ii) of this section do not apply if the Registration Statement is on Form S-8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74" w:lineRule="exact"/>
        <w:rPr>
          <w:sz w:val="20"/>
          <w:szCs w:val="20"/>
          <w:color w:val="auto"/>
        </w:rPr>
      </w:pPr>
    </w:p>
    <w:p>
      <w:pPr>
        <w:jc w:val="both"/>
        <w:ind w:left="1480" w:right="360" w:hanging="449"/>
        <w:spacing w:after="0" w:line="281" w:lineRule="auto"/>
        <w:tabs>
          <w:tab w:leader="none" w:pos="14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Times New Roman" w:cs="Times New Roman" w:eastAsia="Times New Roman" w:hAnsi="Times New Roman"/>
          <w:sz w:val="16"/>
          <w:szCs w:val="16"/>
          <w:color w:val="auto"/>
        </w:rPr>
      </w:pPr>
    </w:p>
    <w:p>
      <w:pPr>
        <w:ind w:left="1480" w:right="760" w:hanging="449"/>
        <w:spacing w:after="0" w:line="298" w:lineRule="auto"/>
        <w:tabs>
          <w:tab w:leader="none" w:pos="148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56" w:lineRule="exact"/>
        <w:rPr>
          <w:rFonts w:ascii="Times New Roman" w:cs="Times New Roman" w:eastAsia="Times New Roman" w:hAnsi="Times New Roman"/>
          <w:sz w:val="16"/>
          <w:szCs w:val="16"/>
          <w:color w:val="auto"/>
        </w:rPr>
      </w:pPr>
    </w:p>
    <w:p>
      <w:pPr>
        <w:ind w:left="1040" w:right="120" w:hanging="563"/>
        <w:spacing w:after="0" w:line="272"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Times New Roman" w:cs="Times New Roman" w:eastAsia="Times New Roman" w:hAnsi="Times New Roman"/>
          <w:sz w:val="16"/>
          <w:szCs w:val="16"/>
          <w:color w:val="auto"/>
        </w:rPr>
      </w:pPr>
    </w:p>
    <w:p>
      <w:pPr>
        <w:ind w:left="1040" w:hanging="563"/>
        <w:spacing w:after="0" w:line="269" w:lineRule="auto"/>
        <w:tabs>
          <w:tab w:leader="none" w:pos="10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may, therefore, be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594360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1015" w:right="4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left="160" w:right="160"/>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Valencia, State of California, on August 8, 2025.</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AVITA MEDICAL, INC.</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9525</wp:posOffset>
            </wp:positionV>
            <wp:extent cx="2846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James Corbett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SIGNATURES AND POWER OF ATTORNEY</w:t>
      </w:r>
    </w:p>
    <w:p>
      <w:pPr>
        <w:spacing w:after="0" w:line="223" w:lineRule="exact"/>
        <w:rPr>
          <w:sz w:val="20"/>
          <w:szCs w:val="20"/>
          <w:color w:val="auto"/>
        </w:rPr>
      </w:pPr>
    </w:p>
    <w:p>
      <w:pPr>
        <w:ind w:left="160" w:right="120"/>
        <w:spacing w:after="0" w:line="269" w:lineRule="auto"/>
        <w:rPr>
          <w:sz w:val="20"/>
          <w:szCs w:val="20"/>
          <w:color w:val="auto"/>
        </w:rPr>
      </w:pPr>
      <w:r>
        <w:rPr>
          <w:rFonts w:ascii="Times New Roman" w:cs="Times New Roman" w:eastAsia="Times New Roman" w:hAnsi="Times New Roman"/>
          <w:sz w:val="16"/>
          <w:szCs w:val="16"/>
          <w:color w:val="auto"/>
        </w:rPr>
        <w:t>Each person whose signature appears below hereby constitutes and appoints James Corbett and Nicole Kelsey,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0" w:lineRule="exact"/>
        <w:rPr>
          <w:sz w:val="20"/>
          <w:szCs w:val="20"/>
          <w:color w:val="auto"/>
        </w:rPr>
      </w:pPr>
    </w:p>
    <w:p>
      <w:pPr>
        <w:ind w:left="160" w:right="1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 indicated.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Corbett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O'Toole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David O'Toole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Lou Panaccio</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Suzanne Crowe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Jeremy Curnock Cook</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86"/>
        </w:trPr>
        <w:tc>
          <w:tcPr>
            <w:tcW w:w="5620" w:type="dxa"/>
            <w:vAlign w:val="bottom"/>
            <w:tcBorders>
              <w:bottom w:val="single" w:sz="8" w:color="auto"/>
            </w:tcBorders>
            <w:vMerge w:val="continue"/>
          </w:tcPr>
          <w:p>
            <w:pPr>
              <w:spacing w:after="0"/>
              <w:rPr>
                <w:sz w:val="7"/>
                <w:szCs w:val="7"/>
                <w:color w:val="auto"/>
              </w:rPr>
            </w:pPr>
          </w:p>
        </w:tc>
        <w:tc>
          <w:tcPr>
            <w:tcW w:w="5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McNamara</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McNamara</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Jan Stern Reed</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86"/>
        </w:trPr>
        <w:tc>
          <w:tcPr>
            <w:tcW w:w="5620" w:type="dxa"/>
            <w:vAlign w:val="bottom"/>
            <w:tcBorders>
              <w:bottom w:val="single" w:sz="8" w:color="auto"/>
            </w:tcBorders>
            <w:vMerge w:val="continue"/>
          </w:tcPr>
          <w:p>
            <w:pPr>
              <w:spacing w:after="0"/>
              <w:rPr>
                <w:sz w:val="7"/>
                <w:szCs w:val="7"/>
                <w:color w:val="auto"/>
              </w:rPr>
            </w:pPr>
          </w:p>
        </w:tc>
        <w:tc>
          <w:tcPr>
            <w:tcW w:w="5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Michael Tarnoff</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Dr. Michael Tarnoff</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Cary Vance</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Cary Vance</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2"/>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6" w:name="page7"/>
    <w:bookmarkEnd w:id="6"/>
    <w:p>
      <w:pPr>
        <w:ind w:left="6740"/>
        <w:spacing w:after="0"/>
        <w:rPr>
          <w:sz w:val="20"/>
          <w:szCs w:val="20"/>
          <w:color w:val="auto"/>
        </w:rPr>
      </w:pPr>
      <w:r>
        <w:rPr>
          <w:rFonts w:ascii="Arial" w:cs="Arial" w:eastAsia="Arial" w:hAnsi="Arial"/>
          <w:sz w:val="13"/>
          <w:szCs w:val="13"/>
          <w:color w:val="auto"/>
        </w:rPr>
        <w:t>650 Town Center Drive, 20th Floor</w:t>
      </w:r>
    </w:p>
    <w:p>
      <w:pPr>
        <w:ind w:left="6740"/>
        <w:spacing w:after="0" w:line="216" w:lineRule="auto"/>
        <w:rPr>
          <w:sz w:val="20"/>
          <w:szCs w:val="20"/>
          <w:color w:val="auto"/>
        </w:rPr>
      </w:pPr>
      <w:r>
        <w:rPr>
          <w:rFonts w:ascii="Arial" w:cs="Arial" w:eastAsia="Arial" w:hAnsi="Arial"/>
          <w:sz w:val="13"/>
          <w:szCs w:val="13"/>
          <w:color w:val="auto"/>
        </w:rPr>
        <w:t>Costa Mesa, California 92626-1925</w:t>
      </w:r>
    </w:p>
    <w:p>
      <w:pPr>
        <w:ind w:left="6740"/>
        <w:spacing w:after="0" w:line="217" w:lineRule="auto"/>
        <w:rPr>
          <w:sz w:val="20"/>
          <w:szCs w:val="20"/>
          <w:color w:val="auto"/>
        </w:rPr>
      </w:pPr>
      <w:r>
        <w:rPr>
          <w:rFonts w:ascii="Arial" w:cs="Arial" w:eastAsia="Arial" w:hAnsi="Arial"/>
          <w:sz w:val="13"/>
          <w:szCs w:val="13"/>
          <w:color w:val="auto"/>
        </w:rPr>
        <w:t>Tel: +1.714.540.1235 Fax: +1.714.755.8290</w:t>
      </w:r>
    </w:p>
    <w:p>
      <w:pPr>
        <w:ind w:left="6740"/>
        <w:spacing w:after="0"/>
        <w:rPr>
          <w:sz w:val="20"/>
          <w:szCs w:val="20"/>
          <w:color w:val="auto"/>
        </w:rPr>
      </w:pPr>
      <w:r>
        <w:rPr>
          <w:rFonts w:ascii="Arial" w:cs="Arial" w:eastAsia="Arial" w:hAnsi="Arial"/>
          <w:sz w:val="13"/>
          <w:szCs w:val="13"/>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03136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16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FIRM / AFFILIATE OFFICES</w:t>
      </w:r>
    </w:p>
    <w:p>
      <w:pPr>
        <w:ind w:left="6740"/>
        <w:spacing w:after="0" w:line="216" w:lineRule="auto"/>
        <w:tabs>
          <w:tab w:leader="none" w:pos="756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Milan</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Munich</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New York</w:t>
      </w:r>
    </w:p>
    <w:p>
      <w:pPr>
        <w:ind w:left="6740"/>
        <w:spacing w:after="0" w:line="216" w:lineRule="auto"/>
        <w:tabs>
          <w:tab w:leader="none" w:pos="756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Orange County</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Century City</w:t>
        <w:tab/>
        <w:t>Paris</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Riyadh</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San Diego</w:t>
      </w:r>
    </w:p>
    <w:p>
      <w:pPr>
        <w:ind w:left="6740"/>
        <w:spacing w:after="0" w:line="216" w:lineRule="auto"/>
        <w:tabs>
          <w:tab w:leader="none" w:pos="784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Francisco</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Seoul</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Silicon Valley</w:t>
      </w:r>
    </w:p>
    <w:p>
      <w:pPr>
        <w:ind w:left="6740"/>
        <w:spacing w:after="0" w:line="235" w:lineRule="auto"/>
        <w:tabs>
          <w:tab w:leader="none" w:pos="784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Singapore</w:t>
      </w:r>
    </w:p>
    <w:p>
      <w:pPr>
        <w:ind w:left="6740"/>
        <w:spacing w:after="0" w:line="216" w:lineRule="auto"/>
        <w:tabs>
          <w:tab w:leader="none" w:pos="756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Tel Aviv</w:t>
      </w:r>
    </w:p>
    <w:p>
      <w:pPr>
        <w:ind w:left="6740"/>
        <w:spacing w:after="0" w:line="217" w:lineRule="auto"/>
        <w:tabs>
          <w:tab w:leader="none" w:pos="756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Tokyo</w:t>
      </w:r>
    </w:p>
    <w:p>
      <w:pPr>
        <w:ind w:left="6740"/>
        <w:spacing w:after="0" w:line="235" w:lineRule="auto"/>
        <w:tabs>
          <w:tab w:leader="none" w:pos="756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Washington, D.C.</w:t>
      </w:r>
    </w:p>
    <w:p>
      <w:pPr>
        <w:ind w:left="6740"/>
        <w:spacing w:after="0"/>
        <w:rPr>
          <w:sz w:val="20"/>
          <w:szCs w:val="20"/>
          <w:color w:val="auto"/>
        </w:rPr>
      </w:pPr>
      <w:r>
        <w:rPr>
          <w:rFonts w:ascii="Arial" w:cs="Arial" w:eastAsia="Arial" w:hAnsi="Arial"/>
          <w:sz w:val="13"/>
          <w:szCs w:val="13"/>
          <w:color w:val="auto"/>
        </w:rPr>
        <w:t>Madrid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8,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AVITA Medical,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28159 Avenue Stanford, Suite 220</w:t>
      </w:r>
    </w:p>
    <w:p>
      <w:pPr>
        <w:spacing w:after="0"/>
        <w:rPr>
          <w:sz w:val="20"/>
          <w:szCs w:val="20"/>
          <w:color w:val="auto"/>
        </w:rPr>
      </w:pPr>
      <w:r>
        <w:rPr>
          <w:rFonts w:ascii="Times New Roman" w:cs="Times New Roman" w:eastAsia="Times New Roman" w:hAnsi="Times New Roman"/>
          <w:sz w:val="22"/>
          <w:szCs w:val="22"/>
          <w:color w:val="auto"/>
        </w:rPr>
        <w:t>Valencia, California, 91355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Registration Statement on Form S-8;</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3,105,902 Shares of Common Stock, par value $0.0001 per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addressee set forth above:</w:t>
      </w:r>
    </w:p>
    <w:p>
      <w:pPr>
        <w:spacing w:after="0" w:line="20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We have acted as special counsel to AVITA Medical,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proposed issuance of (i) 2,500,000 shares of common stock, par value $0.0001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issuable pursuant to the AVITA Medical, Inc. 2020 Omnibus Incentive Plan Amended and Restated (the “</w:t>
      </w:r>
      <w:r>
        <w:rPr>
          <w:rFonts w:ascii="Times New Roman" w:cs="Times New Roman" w:eastAsia="Times New Roman" w:hAnsi="Times New Roman"/>
          <w:sz w:val="22"/>
          <w:szCs w:val="22"/>
          <w:b w:val="1"/>
          <w:bCs w:val="1"/>
          <w:i w:val="1"/>
          <w:iCs w:val="1"/>
          <w:color w:val="auto"/>
        </w:rPr>
        <w:t>Omnibus Plan</w:t>
      </w:r>
      <w:r>
        <w:rPr>
          <w:rFonts w:ascii="Times New Roman" w:cs="Times New Roman" w:eastAsia="Times New Roman" w:hAnsi="Times New Roman"/>
          <w:sz w:val="22"/>
          <w:szCs w:val="22"/>
          <w:color w:val="auto"/>
        </w:rPr>
        <w:t>”), and (ii) an aggregate of 605,902 shares of Common Stock (together with the shares of Common Stock issuable pursuant to the Omnibus Plan,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issuable upon the exercise of 545,770 stock options and the vesting of 60,132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granted pursuant to certain individual stock option award and RSU award agreements. The Shares are included in a registration statement on Form S–8 under the Securities Act of 1933, as amended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filed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August 8, 2025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This opinion is being furnished in connection with the requirements of Item 601(b)(5) of Regulation S-K under the Act, and no opinion is expressed herein as to any matter pertaining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August 8, 2025</w:t>
      </w: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388745" cy="85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contents of the Registration Statement or related prospectus, other than as expressly stated herein with respect to the issuance of the Shares.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only as to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and we express no opinion with respect to any other laws.</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and have been issued by the Company for legal consideration of not less than par value in the circumstances contemplated by the Omnibus Plan, assuming in each case that the individual issuances, grants or awards under the Omnibus Plan are duly authorized by all necessary corporate action and duly issued, granted or awarded and exercised in accordance with the requirements of law and the Omnibus Plan (and the agreements and awards duly adopted thereunder and in accordance therewith), or the individual stock option award and RSU award agreements, as applicable, the issuance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1163955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have issued our report dated February 13, 2025 with respect to the consolidated financial statements of AVITA Medical, Inc. included in the Annual Report on Form 10-K for the year ended December 31, 2024, which are incorporated by reference in this Registration Statement. We consent to the incorporation by reference of the aforementioned report in this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GRANT THORNTON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Newport Beach,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757555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38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120" w:type="dxa"/>
            <w:vAlign w:val="bottom"/>
          </w:tcPr>
          <w:p>
            <w:pPr>
              <w:spacing w:after="0"/>
              <w:rPr>
                <w:sz w:val="16"/>
                <w:szCs w:val="16"/>
                <w:color w:val="auto"/>
              </w:rPr>
            </w:pPr>
          </w:p>
        </w:tc>
        <w:tc>
          <w:tcPr>
            <w:tcW w:w="102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94"/>
        </w:trPr>
        <w:tc>
          <w:tcPr>
            <w:tcW w:w="12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9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Security Class Title</w:t>
            </w:r>
          </w:p>
        </w:tc>
        <w:tc>
          <w:tcPr>
            <w:tcW w:w="120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Calculation</w:t>
            </w: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560" w:type="dxa"/>
            <w:vAlign w:val="bottom"/>
            <w:vMerge w:val="continue"/>
          </w:tcPr>
          <w:p>
            <w:pPr>
              <w:spacing w:after="0"/>
              <w:rPr>
                <w:sz w:val="9"/>
                <w:szCs w:val="9"/>
                <w:color w:val="auto"/>
              </w:rPr>
            </w:pPr>
          </w:p>
        </w:tc>
        <w:tc>
          <w:tcPr>
            <w:tcW w:w="16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Fee Rate</w:t>
            </w:r>
          </w:p>
        </w:tc>
        <w:tc>
          <w:tcPr>
            <w:tcW w:w="102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6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11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560" w:type="dxa"/>
            <w:vAlign w:val="bottom"/>
            <w:vMerge w:val="continue"/>
          </w:tcPr>
          <w:p>
            <w:pPr>
              <w:spacing w:after="0"/>
              <w:rPr>
                <w:sz w:val="9"/>
                <w:szCs w:val="9"/>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 Price</w:t>
            </w:r>
          </w:p>
        </w:tc>
        <w:tc>
          <w:tcPr>
            <w:tcW w:w="1120" w:type="dxa"/>
            <w:vAlign w:val="bottom"/>
          </w:tcPr>
          <w:p>
            <w:pPr>
              <w:spacing w:after="0"/>
              <w:rPr>
                <w:sz w:val="9"/>
                <w:szCs w:val="9"/>
                <w:color w:val="auto"/>
              </w:rPr>
            </w:pPr>
          </w:p>
        </w:tc>
        <w:tc>
          <w:tcPr>
            <w:tcW w:w="102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16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56616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3566160" cy="2603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Offering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Fee Offsets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Fee Due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5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Common Stock, par value $0.0001 per share Common Stock, par value $0.0001 per share Common Stock, par value $0.0001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Rule 457(c)</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and Rule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9,825,000.00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0.00015310</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1,504.21</w:t>
            </w:r>
          </w:p>
        </w:tc>
        <w:tc>
          <w:tcPr>
            <w:tcW w:w="0" w:type="dxa"/>
            <w:vAlign w:val="bottom"/>
          </w:tcPr>
          <w:p>
            <w:pPr>
              <w:spacing w:after="0"/>
              <w:rPr>
                <w:sz w:val="1"/>
                <w:szCs w:val="1"/>
                <w:color w:val="auto"/>
              </w:rPr>
            </w:pPr>
          </w:p>
        </w:tc>
      </w:tr>
      <w:tr>
        <w:trPr>
          <w:trHeight w:val="210"/>
        </w:trPr>
        <w:tc>
          <w:tcPr>
            <w:tcW w:w="104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457(h)</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Rule 457(h)</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520,000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4,539,600.00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0.00015310</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695.01</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Rule 457(h)</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25,770</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224,972.10</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0.00015310</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405"/>
        </w:trPr>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Rule 457(h)</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60,132</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524,952.36</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0.00015310</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80.37</w:t>
            </w:r>
          </w:p>
        </w:tc>
        <w:tc>
          <w:tcPr>
            <w:tcW w:w="0" w:type="dxa"/>
            <w:vAlign w:val="bottom"/>
          </w:tcPr>
          <w:p>
            <w:pPr>
              <w:spacing w:after="0"/>
              <w:rPr>
                <w:sz w:val="1"/>
                <w:szCs w:val="1"/>
                <w:color w:val="auto"/>
              </w:rPr>
            </w:pPr>
          </w:p>
        </w:tc>
      </w:tr>
      <w:tr>
        <w:trPr>
          <w:trHeight w:val="100"/>
        </w:trPr>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15,114,524.46</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2,314.03</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-1804670</wp:posOffset>
            </wp:positionV>
            <wp:extent cx="713232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-1161415</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-647065</wp:posOffset>
            </wp:positionV>
            <wp:extent cx="713232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-132715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3">
            <w:col w:w="1140" w:space="100"/>
            <w:col w:w="1720" w:space="720"/>
            <w:col w:w="7560"/>
          </w:cols>
          <w:pgMar w:left="320" w:top="549" w:right="339" w:bottom="1440" w:gutter="0" w:footer="0" w:header="0"/>
          <w:type w:val="continuous"/>
        </w:sectPr>
      </w:pPr>
    </w:p>
    <w:p>
      <w:pPr>
        <w:ind w:left="1020" w:right="120" w:hanging="503"/>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on Form S-8 (the “Registration Statement”) shall also cover any additional shares of common stock, par value $0.0001 (“Common Stock”), of AVITA Medical, Inc. (the “Registrant”) that become issuable under the AVITA Medical, Inc. 2020 Omnibus Incentive Plan, Amended and Restated (the “Omnibus Plan”) by reason of any stock dividend, stock split, recapitalization or other similar transaction effected without the Registrant’s receipt of consideration that results in an increase in the number of the outstanding shares of the Registrant’s Common Stock.</w:t>
      </w:r>
    </w:p>
    <w:p>
      <w:pPr>
        <w:spacing w:after="0" w:line="75"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additional 2,500,000 shares of Common Stock authorized for future issuance under the Omnibus Plan, as a result of the stockholders of the Registrant approving an amendment to the Omnibus Plan to increase the shares of Common Stock available for issuance under the Omnibus Plan on June 4, 2025 at the Registrant’s 2025 Annual Meeting of Stockholders.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Rule 457(h) under the Securities Act solely for the purpose of calculating the registration fee. The maximum offering price per share and maximum aggregate offering price are based upon the average of the high and low prices of the Common Stock as reported on the Nasdaq Global Market on August 8, 2025, which date is within five business days prior to filing this Registration Statement.</w:t>
      </w:r>
    </w:p>
    <w:p>
      <w:pPr>
        <w:spacing w:after="0" w:line="7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520,000 shares of Common Stock issuable to the Chief Executive Officer upon the exercise of outstanding stock options issued pursuant to the Chief Executive Officer’s stock option grant agreement in 2025.</w:t>
      </w:r>
    </w:p>
    <w:p>
      <w:pPr>
        <w:spacing w:after="0" w:line="12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has been determined pursuant to Rule 457(h) of the Securities Act solely for the purpose of calculating the registration fee. The proposed maximum offering price per share is $8.73, which is the exercise price of options granted pursuant to the individual stock option grant agreements.</w:t>
      </w:r>
    </w:p>
    <w:p>
      <w:pPr>
        <w:spacing w:after="0" w:line="148"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25,770 shares of Common Stock issuable to the non-employee directors of the Registrant upon the exercise of outstanding stock options issued pursuant to individual stock option grant agreements in 2025.</w:t>
      </w:r>
    </w:p>
    <w:p>
      <w:pPr>
        <w:spacing w:after="0" w:line="12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60,132 shares of Common Stock issuable to the non-employee directors of the Registrant upon the vesting of restricted stock units (“RSUs”) issued pursuant to individual RSU grant agreements in 2025.</w:t>
      </w:r>
    </w:p>
    <w:p>
      <w:pPr>
        <w:spacing w:after="0" w:line="12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has been determined pursuant to Rule 457(h) of the Securities Act solely for the purpose of calculating the registration fee. The proposed maximum offering price per share is $8.73, which is the grant date fair value of the RSUs pursuant to the individual restricted stock unit grant agreements.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
      <w:numFmt w:val="bullet"/>
      <w:start w:val="1"/>
    </w:lvl>
    <w:lvl w:ilvl="1">
      <w:lvlJc w:val="left"/>
      <w:lvlText w:val="%2"/>
      <w:numFmt w:val="decimal"/>
      <w:start w:val="107"/>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jpeg"/><Relationship Id="rId35" Type="http://schemas.openxmlformats.org/officeDocument/2006/relationships/image" Target="media/image12.png"/><Relationship Id="rId36" Type="http://schemas.openxmlformats.org/officeDocument/2006/relationships/image" Target="media/image13.jpe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9" Type="http://schemas.openxmlformats.org/officeDocument/2006/relationships/hyperlink" Target="https://www.sec.gov/ix?doc=/Archives/edgar/data/0001762303/000095017025020026/rcel-20241231.htm" TargetMode="External"/><Relationship Id="rId10" Type="http://schemas.openxmlformats.org/officeDocument/2006/relationships/hyperlink" Target="https://www.sec.gov/ix?doc=/Archives/edgar/data/0001762303/000095017025056785/rcel-20250422.htm" TargetMode="External"/><Relationship Id="rId11" Type="http://schemas.openxmlformats.org/officeDocument/2006/relationships/hyperlink" Target="https://www.sec.gov/ix?doc=/Archives/edgar/data/0001762303/000095017025066994/rcel-20250331.htm" TargetMode="External"/><Relationship Id="rId12" Type="http://schemas.openxmlformats.org/officeDocument/2006/relationships/hyperlink" Target="https://www.sec.gov/ix?doc=/Archives/edgar/data/0001762303/000176230325000014/rcel-20250630.htm" TargetMode="External"/><Relationship Id="rId13" Type="http://schemas.openxmlformats.org/officeDocument/2006/relationships/hyperlink" Target="https://www.sec.gov/ix?doc=/Archives/edgar/data/0001762303/000095017025081880/rcel-20250604.htm" TargetMode="External"/><Relationship Id="rId14" Type="http://schemas.openxmlformats.org/officeDocument/2006/relationships/hyperlink" Target="https://www.sec.gov/ix?doc=/Archives/edgar/data/0001762303/000095017025104019/rcel-20250806.htm" TargetMode="External"/><Relationship Id="rId15" Type="http://schemas.openxmlformats.org/officeDocument/2006/relationships/hyperlink" Target="https://www.sec.gov/ix?doc=/Archives/edgar/data/0001762303/000176230325000012/rcel-20250807.htm" TargetMode="External"/><Relationship Id="rId16" Type="http://schemas.openxmlformats.org/officeDocument/2006/relationships/hyperlink" Target="https://www.sec.gov/Archives/edgar/data/1762303/000119312520183429/d75062d8k12b.htm" TargetMode="External"/><Relationship Id="rId21" Type="http://schemas.openxmlformats.org/officeDocument/2006/relationships/hyperlink" Target="https://www.sec.gov/Archives/edgar/data/1762303/000119312520183429/d75062dex31.htm" TargetMode="External"/><Relationship Id="rId22" Type="http://schemas.openxmlformats.org/officeDocument/2006/relationships/hyperlink" Target="https://www.sec.gov/Archives/edgar/data/1762303/000156459022007617/rcel-ex32_14.htm" TargetMode="External"/><Relationship Id="rId23" Type="http://schemas.openxmlformats.org/officeDocument/2006/relationships/hyperlink" Target="https://www.sec.gov/Archives/edgar/data/1762303/000095017025072746/rcel-ex3_1.htm" TargetMode="External"/><Relationship Id="rId24" Type="http://schemas.openxmlformats.org/officeDocument/2006/relationships/hyperlink" Target="https://www.sec.gov/Archives/edgar/data/1762303/000119312520183429/d75062dex41.htm" TargetMode="External"/><Relationship Id="rId25" Type="http://schemas.openxmlformats.org/officeDocument/2006/relationships/hyperlink" Target="https://www.sec.gov/Archives/edgar/data/1762303/000156459022007617/rcel-ex1029_543.htm" TargetMode="External"/><Relationship Id="rId26" Type="http://schemas.openxmlformats.org/officeDocument/2006/relationships/hyperlink" Target="https://www.sec.gov/Archives/edgar/data/1762303/000119312523101939/d459465ddef14a.htm#toc459465_35" TargetMode="External"/><Relationship Id="rId27" Type="http://schemas.openxmlformats.org/officeDocument/2006/relationships/hyperlink" Target="https://www.sec.gov/Archives/edgar/data/1762303/000156459023002302/rcel-ex1019_212.htm" TargetMode="External"/><Relationship Id="rId28" Type="http://schemas.openxmlformats.org/officeDocument/2006/relationships/hyperlink" Target="https://www.sec.gov/Archives/edgar/data/1762303/000156459023002302/rcel-ex1020_2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2025-08-08T15:41:04Z</dcterms:created>
  <dcterms:modified xsi:type="dcterms:W3CDTF">2025-08-08T15:41:04Z</dcterms:modified>
</cp:coreProperties>
</file>