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8"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169545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CURRENT REPORT</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Pursuant to Section 13 or 15(d)</w:t>
      </w:r>
    </w:p>
    <w:p>
      <w:pPr>
        <w:jc w:val="center"/>
        <w:spacing w:after="0"/>
        <w:rPr>
          <w:sz w:val="20"/>
          <w:szCs w:val="20"/>
          <w:color w:val="auto"/>
        </w:rPr>
      </w:pPr>
      <w:r>
        <w:rPr>
          <w:rFonts w:ascii="Arial" w:cs="Arial" w:eastAsia="Arial" w:hAnsi="Arial"/>
          <w:sz w:val="15"/>
          <w:szCs w:val="15"/>
          <w:b w:val="1"/>
          <w:bCs w:val="1"/>
          <w:color w:val="auto"/>
        </w:rPr>
        <w:t>of the Securities Exchange Act of 1934</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Date of Report (Date of earliest event reported): June 26,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167005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75"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AVITA Medical,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tbl>
      <w:tblPr>
        <w:tblLayout w:type="fixed"/>
        <w:tblInd w:w="1380" w:type="dxa"/>
        <w:tblCellMar>
          <w:top w:w="0" w:type="dxa"/>
          <w:left w:w="0" w:type="dxa"/>
          <w:bottom w:w="0" w:type="dxa"/>
          <w:right w:w="0" w:type="dxa"/>
        </w:tblCellMar>
      </w:tblPr>
      <w:tr>
        <w:trPr>
          <w:trHeight w:val="150"/>
        </w:trPr>
        <w:tc>
          <w:tcPr>
            <w:tcW w:w="2020" w:type="dxa"/>
            <w:vAlign w:val="bottom"/>
          </w:tcPr>
          <w:p>
            <w:pPr>
              <w:jc w:val="center"/>
              <w:ind w:right="824"/>
              <w:spacing w:after="0"/>
              <w:rPr>
                <w:sz w:val="20"/>
                <w:szCs w:val="20"/>
                <w:color w:val="auto"/>
              </w:rPr>
            </w:pPr>
            <w:r>
              <w:rPr>
                <w:rFonts w:ascii="Arial" w:cs="Arial" w:eastAsia="Arial" w:hAnsi="Arial"/>
                <w:sz w:val="13"/>
                <w:szCs w:val="13"/>
                <w:b w:val="1"/>
                <w:bCs w:val="1"/>
                <w:color w:val="auto"/>
                <w:w w:val="87"/>
              </w:rPr>
              <w:t>Delaware</w:t>
            </w:r>
          </w:p>
        </w:tc>
        <w:tc>
          <w:tcPr>
            <w:tcW w:w="2040" w:type="dxa"/>
            <w:vAlign w:val="bottom"/>
          </w:tcPr>
          <w:p>
            <w:pPr>
              <w:ind w:left="900"/>
              <w:spacing w:after="0"/>
              <w:rPr>
                <w:sz w:val="20"/>
                <w:szCs w:val="20"/>
                <w:color w:val="auto"/>
              </w:rPr>
            </w:pPr>
            <w:r>
              <w:rPr>
                <w:rFonts w:ascii="Arial" w:cs="Arial" w:eastAsia="Arial" w:hAnsi="Arial"/>
                <w:sz w:val="13"/>
                <w:szCs w:val="13"/>
                <w:b w:val="1"/>
                <w:bCs w:val="1"/>
                <w:color w:val="auto"/>
              </w:rPr>
              <w:t>001-39059</w:t>
            </w:r>
          </w:p>
        </w:tc>
        <w:tc>
          <w:tcPr>
            <w:tcW w:w="2840" w:type="dxa"/>
            <w:vAlign w:val="bottom"/>
          </w:tcPr>
          <w:p>
            <w:pPr>
              <w:jc w:val="right"/>
              <w:ind w:right="784"/>
              <w:spacing w:after="0"/>
              <w:rPr>
                <w:sz w:val="20"/>
                <w:szCs w:val="20"/>
                <w:color w:val="auto"/>
              </w:rPr>
            </w:pPr>
            <w:r>
              <w:rPr>
                <w:rFonts w:ascii="Arial" w:cs="Arial" w:eastAsia="Arial" w:hAnsi="Arial"/>
                <w:sz w:val="13"/>
                <w:szCs w:val="13"/>
                <w:b w:val="1"/>
                <w:bCs w:val="1"/>
                <w:color w:val="auto"/>
              </w:rPr>
              <w:t>85-1021707</w:t>
            </w:r>
          </w:p>
        </w:tc>
      </w:tr>
      <w:tr>
        <w:trPr>
          <w:trHeight w:val="104"/>
        </w:trPr>
        <w:tc>
          <w:tcPr>
            <w:tcW w:w="2020" w:type="dxa"/>
            <w:vAlign w:val="bottom"/>
          </w:tcPr>
          <w:p>
            <w:pPr>
              <w:jc w:val="center"/>
              <w:ind w:right="824"/>
              <w:spacing w:after="0" w:line="104" w:lineRule="exact"/>
              <w:rPr>
                <w:sz w:val="20"/>
                <w:szCs w:val="20"/>
                <w:color w:val="auto"/>
              </w:rPr>
            </w:pPr>
            <w:r>
              <w:rPr>
                <w:rFonts w:ascii="Arial" w:cs="Arial" w:eastAsia="Arial" w:hAnsi="Arial"/>
                <w:sz w:val="10"/>
                <w:szCs w:val="10"/>
                <w:b w:val="1"/>
                <w:bCs w:val="1"/>
                <w:color w:val="auto"/>
                <w:w w:val="91"/>
              </w:rPr>
              <w:t>(State or other jurisdiction</w:t>
            </w:r>
          </w:p>
        </w:tc>
        <w:tc>
          <w:tcPr>
            <w:tcW w:w="2040" w:type="dxa"/>
            <w:vAlign w:val="bottom"/>
          </w:tcPr>
          <w:p>
            <w:pPr>
              <w:ind w:left="900"/>
              <w:spacing w:after="0" w:line="104" w:lineRule="exact"/>
              <w:rPr>
                <w:sz w:val="20"/>
                <w:szCs w:val="20"/>
                <w:color w:val="auto"/>
              </w:rPr>
            </w:pPr>
            <w:r>
              <w:rPr>
                <w:rFonts w:ascii="Arial" w:cs="Arial" w:eastAsia="Arial" w:hAnsi="Arial"/>
                <w:sz w:val="10"/>
                <w:szCs w:val="10"/>
                <w:b w:val="1"/>
                <w:bCs w:val="1"/>
                <w:color w:val="auto"/>
              </w:rPr>
              <w:t>(Commission</w:t>
            </w:r>
          </w:p>
        </w:tc>
        <w:tc>
          <w:tcPr>
            <w:tcW w:w="2840" w:type="dxa"/>
            <w:vAlign w:val="bottom"/>
          </w:tcPr>
          <w:p>
            <w:pPr>
              <w:jc w:val="center"/>
              <w:ind w:left="484"/>
              <w:spacing w:after="0" w:line="104" w:lineRule="exact"/>
              <w:rPr>
                <w:sz w:val="20"/>
                <w:szCs w:val="20"/>
                <w:color w:val="auto"/>
              </w:rPr>
            </w:pPr>
            <w:r>
              <w:rPr>
                <w:rFonts w:ascii="Arial" w:cs="Arial" w:eastAsia="Arial" w:hAnsi="Arial"/>
                <w:sz w:val="10"/>
                <w:szCs w:val="10"/>
                <w:b w:val="1"/>
                <w:bCs w:val="1"/>
                <w:color w:val="auto"/>
                <w:w w:val="96"/>
              </w:rPr>
              <w:t>(IRS Employer</w:t>
            </w:r>
          </w:p>
        </w:tc>
      </w:tr>
      <w:tr>
        <w:trPr>
          <w:trHeight w:val="130"/>
        </w:trPr>
        <w:tc>
          <w:tcPr>
            <w:tcW w:w="2020" w:type="dxa"/>
            <w:vAlign w:val="bottom"/>
          </w:tcPr>
          <w:p>
            <w:pPr>
              <w:jc w:val="center"/>
              <w:ind w:right="824"/>
              <w:spacing w:after="0"/>
              <w:rPr>
                <w:sz w:val="20"/>
                <w:szCs w:val="20"/>
                <w:color w:val="auto"/>
              </w:rPr>
            </w:pPr>
            <w:r>
              <w:rPr>
                <w:rFonts w:ascii="Arial" w:cs="Arial" w:eastAsia="Arial" w:hAnsi="Arial"/>
                <w:sz w:val="10"/>
                <w:szCs w:val="10"/>
                <w:b w:val="1"/>
                <w:bCs w:val="1"/>
                <w:color w:val="auto"/>
                <w:w w:val="92"/>
              </w:rPr>
              <w:t>of incorporation)</w:t>
            </w:r>
          </w:p>
        </w:tc>
        <w:tc>
          <w:tcPr>
            <w:tcW w:w="2040" w:type="dxa"/>
            <w:vAlign w:val="bottom"/>
          </w:tcPr>
          <w:p>
            <w:pPr>
              <w:ind w:left="900"/>
              <w:spacing w:after="0"/>
              <w:rPr>
                <w:sz w:val="20"/>
                <w:szCs w:val="20"/>
                <w:color w:val="auto"/>
              </w:rPr>
            </w:pPr>
            <w:r>
              <w:rPr>
                <w:rFonts w:ascii="Arial" w:cs="Arial" w:eastAsia="Arial" w:hAnsi="Arial"/>
                <w:sz w:val="10"/>
                <w:szCs w:val="10"/>
                <w:b w:val="1"/>
                <w:bCs w:val="1"/>
                <w:color w:val="auto"/>
              </w:rPr>
              <w:t>File Number)</w:t>
            </w:r>
          </w:p>
        </w:tc>
        <w:tc>
          <w:tcPr>
            <w:tcW w:w="2840" w:type="dxa"/>
            <w:vAlign w:val="bottom"/>
          </w:tcPr>
          <w:p>
            <w:pPr>
              <w:jc w:val="center"/>
              <w:ind w:left="484"/>
              <w:spacing w:after="0"/>
              <w:rPr>
                <w:sz w:val="20"/>
                <w:szCs w:val="20"/>
                <w:color w:val="auto"/>
              </w:rPr>
            </w:pPr>
            <w:r>
              <w:rPr>
                <w:rFonts w:ascii="Arial" w:cs="Arial" w:eastAsia="Arial" w:hAnsi="Arial"/>
                <w:sz w:val="10"/>
                <w:szCs w:val="10"/>
                <w:b w:val="1"/>
                <w:bCs w:val="1"/>
                <w:color w:val="auto"/>
                <w:w w:val="92"/>
              </w:rPr>
              <w:t>Identification No.)</w:t>
            </w:r>
          </w:p>
        </w:tc>
      </w:tr>
      <w:tr>
        <w:trPr>
          <w:trHeight w:val="315"/>
        </w:trPr>
        <w:tc>
          <w:tcPr>
            <w:tcW w:w="4060" w:type="dxa"/>
            <w:vAlign w:val="bottom"/>
            <w:gridSpan w:val="2"/>
          </w:tcPr>
          <w:p>
            <w:pPr>
              <w:jc w:val="center"/>
              <w:ind w:right="305"/>
              <w:spacing w:after="0"/>
              <w:rPr>
                <w:sz w:val="20"/>
                <w:szCs w:val="20"/>
                <w:color w:val="auto"/>
              </w:rPr>
            </w:pPr>
            <w:r>
              <w:rPr>
                <w:rFonts w:ascii="Arial" w:cs="Arial" w:eastAsia="Arial" w:hAnsi="Arial"/>
                <w:sz w:val="13"/>
                <w:szCs w:val="13"/>
                <w:b w:val="1"/>
                <w:bCs w:val="1"/>
                <w:color w:val="auto"/>
                <w:w w:val="86"/>
              </w:rPr>
              <w:t>28159 Avenue Stanford, Suite 220, Valencia, CA 91355</w:t>
            </w:r>
          </w:p>
        </w:tc>
        <w:tc>
          <w:tcPr>
            <w:tcW w:w="2840" w:type="dxa"/>
            <w:vAlign w:val="bottom"/>
          </w:tcPr>
          <w:p>
            <w:pPr>
              <w:jc w:val="right"/>
              <w:ind w:right="744"/>
              <w:spacing w:after="0"/>
              <w:rPr>
                <w:sz w:val="20"/>
                <w:szCs w:val="20"/>
                <w:color w:val="auto"/>
              </w:rPr>
            </w:pPr>
            <w:r>
              <w:rPr>
                <w:rFonts w:ascii="Arial" w:cs="Arial" w:eastAsia="Arial" w:hAnsi="Arial"/>
                <w:sz w:val="13"/>
                <w:szCs w:val="13"/>
                <w:b w:val="1"/>
                <w:bCs w:val="1"/>
                <w:color w:val="auto"/>
              </w:rPr>
              <w:t>661.367.9170</w:t>
            </w:r>
          </w:p>
        </w:tc>
      </w:tr>
      <w:tr>
        <w:trPr>
          <w:trHeight w:val="130"/>
        </w:trPr>
        <w:tc>
          <w:tcPr>
            <w:tcW w:w="4060" w:type="dxa"/>
            <w:vAlign w:val="bottom"/>
            <w:gridSpan w:val="2"/>
          </w:tcPr>
          <w:p>
            <w:pPr>
              <w:jc w:val="center"/>
              <w:ind w:right="305"/>
              <w:spacing w:after="0"/>
              <w:rPr>
                <w:sz w:val="20"/>
                <w:szCs w:val="20"/>
                <w:color w:val="auto"/>
              </w:rPr>
            </w:pPr>
            <w:r>
              <w:rPr>
                <w:rFonts w:ascii="Arial" w:cs="Arial" w:eastAsia="Arial" w:hAnsi="Arial"/>
                <w:sz w:val="10"/>
                <w:szCs w:val="10"/>
                <w:b w:val="1"/>
                <w:bCs w:val="1"/>
                <w:color w:val="auto"/>
                <w:w w:val="89"/>
              </w:rPr>
              <w:t>(Address of principal executive offices, including Zip Code)</w:t>
            </w:r>
          </w:p>
        </w:tc>
        <w:tc>
          <w:tcPr>
            <w:tcW w:w="2840" w:type="dxa"/>
            <w:vAlign w:val="bottom"/>
          </w:tcPr>
          <w:p>
            <w:pPr>
              <w:jc w:val="center"/>
              <w:ind w:left="504"/>
              <w:spacing w:after="0"/>
              <w:rPr>
                <w:sz w:val="20"/>
                <w:szCs w:val="20"/>
                <w:color w:val="auto"/>
              </w:rPr>
            </w:pPr>
            <w:r>
              <w:rPr>
                <w:rFonts w:ascii="Arial" w:cs="Arial" w:eastAsia="Arial" w:hAnsi="Arial"/>
                <w:sz w:val="10"/>
                <w:szCs w:val="10"/>
                <w:b w:val="1"/>
                <w:bCs w:val="1"/>
                <w:color w:val="auto"/>
                <w:w w:val="89"/>
              </w:rPr>
              <w:t>(Registrant’s telephone number, including area code)</w:t>
            </w:r>
          </w:p>
        </w:tc>
      </w:tr>
    </w:tbl>
    <w:p>
      <w:pPr>
        <w:spacing w:after="0" w:line="125"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N/A</w:t>
      </w:r>
    </w:p>
    <w:p>
      <w:pPr>
        <w:jc w:val="center"/>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152400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73" w:lineRule="exact"/>
        <w:rPr>
          <w:sz w:val="24"/>
          <w:szCs w:val="24"/>
          <w:color w:val="auto"/>
        </w:rPr>
      </w:pPr>
    </w:p>
    <w:p>
      <w:pPr>
        <w:ind w:left="640" w:right="979"/>
        <w:spacing w:after="0" w:line="261" w:lineRule="auto"/>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63"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13e-4(c) under the Exchange Act (17 CFR 240.13e-4(c))</w:t>
      </w:r>
    </w:p>
    <w:p>
      <w:pPr>
        <w:spacing w:after="0" w:line="154" w:lineRule="exact"/>
        <w:rPr>
          <w:sz w:val="24"/>
          <w:szCs w:val="24"/>
          <w:color w:val="auto"/>
        </w:rPr>
      </w:pPr>
    </w:p>
    <w:p>
      <w:pPr>
        <w:ind w:left="640"/>
        <w:spacing w:after="0"/>
        <w:rPr>
          <w:sz w:val="20"/>
          <w:szCs w:val="20"/>
          <w:color w:val="auto"/>
        </w:rPr>
      </w:pPr>
      <w:r>
        <w:rPr>
          <w:rFonts w:ascii="Arial" w:cs="Arial" w:eastAsia="Arial" w:hAnsi="Arial"/>
          <w:sz w:val="13"/>
          <w:szCs w:val="13"/>
          <w:color w:val="auto"/>
        </w:rPr>
        <w:t>Securities registered pursuant to Section 12(b) of the Act:</w:t>
      </w:r>
    </w:p>
    <w:p>
      <w:pPr>
        <w:spacing w:after="0" w:line="156"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80" w:type="dxa"/>
            <w:vAlign w:val="bottom"/>
          </w:tcPr>
          <w:p>
            <w:pPr>
              <w:jc w:val="center"/>
              <w:spacing w:after="0"/>
              <w:rPr>
                <w:sz w:val="20"/>
                <w:szCs w:val="20"/>
                <w:color w:val="auto"/>
              </w:rPr>
            </w:pPr>
            <w:r>
              <w:rPr>
                <w:rFonts w:ascii="Arial" w:cs="Arial" w:eastAsia="Arial" w:hAnsi="Arial"/>
                <w:sz w:val="10"/>
                <w:szCs w:val="10"/>
                <w:b w:val="1"/>
                <w:bCs w:val="1"/>
                <w:color w:val="auto"/>
                <w:w w:val="98"/>
              </w:rPr>
              <w:t>Trading</w:t>
            </w:r>
          </w:p>
        </w:tc>
        <w:tc>
          <w:tcPr>
            <w:tcW w:w="80" w:type="dxa"/>
            <w:vAlign w:val="bottom"/>
          </w:tcPr>
          <w:p>
            <w:pPr>
              <w:spacing w:after="0"/>
              <w:rPr>
                <w:sz w:val="10"/>
                <w:szCs w:val="10"/>
                <w:color w:val="auto"/>
              </w:rPr>
            </w:pPr>
          </w:p>
        </w:tc>
        <w:tc>
          <w:tcPr>
            <w:tcW w:w="2480" w:type="dxa"/>
            <w:vAlign w:val="bottom"/>
          </w:tcPr>
          <w:p>
            <w:pPr>
              <w:jc w:val="center"/>
              <w:spacing w:after="0"/>
              <w:rPr>
                <w:sz w:val="20"/>
                <w:szCs w:val="20"/>
                <w:color w:val="auto"/>
              </w:rPr>
            </w:pPr>
            <w:r>
              <w:rPr>
                <w:rFonts w:ascii="Arial" w:cs="Arial" w:eastAsia="Arial" w:hAnsi="Arial"/>
                <w:sz w:val="10"/>
                <w:szCs w:val="10"/>
                <w:b w:val="1"/>
                <w:bCs w:val="1"/>
                <w:color w:val="auto"/>
                <w:w w:val="89"/>
              </w:rPr>
              <w:t>Name of each exchange</w:t>
            </w:r>
          </w:p>
        </w:tc>
      </w:tr>
      <w:tr>
        <w:trPr>
          <w:trHeight w:val="128"/>
        </w:trPr>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Title of each class</w:t>
            </w:r>
          </w:p>
        </w:tc>
        <w:tc>
          <w:tcPr>
            <w:tcW w:w="80" w:type="dxa"/>
            <w:vAlign w:val="bottom"/>
          </w:tcPr>
          <w:p>
            <w:pPr>
              <w:spacing w:after="0"/>
              <w:rPr>
                <w:sz w:val="11"/>
                <w:szCs w:val="11"/>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0"/>
              </w:rPr>
              <w:t>Symbol(s)</w:t>
            </w:r>
          </w:p>
        </w:tc>
        <w:tc>
          <w:tcPr>
            <w:tcW w:w="80" w:type="dxa"/>
            <w:vAlign w:val="bottom"/>
          </w:tcPr>
          <w:p>
            <w:pPr>
              <w:spacing w:after="0"/>
              <w:rPr>
                <w:sz w:val="11"/>
                <w:szCs w:val="11"/>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on which registered</w:t>
            </w:r>
          </w:p>
        </w:tc>
      </w:tr>
      <w:tr>
        <w:trPr>
          <w:trHeight w:val="150"/>
        </w:trPr>
        <w:tc>
          <w:tcPr>
            <w:tcW w:w="2620" w:type="dxa"/>
            <w:vAlign w:val="bottom"/>
          </w:tcPr>
          <w:p>
            <w:pPr>
              <w:jc w:val="center"/>
              <w:spacing w:after="0"/>
              <w:rPr>
                <w:sz w:val="20"/>
                <w:szCs w:val="20"/>
                <w:color w:val="auto"/>
              </w:rPr>
            </w:pPr>
            <w:r>
              <w:rPr>
                <w:rFonts w:ascii="Arial" w:cs="Arial" w:eastAsia="Arial" w:hAnsi="Arial"/>
                <w:sz w:val="13"/>
                <w:szCs w:val="13"/>
                <w:color w:val="auto"/>
                <w:w w:val="87"/>
              </w:rPr>
              <w:t>Common Stock, par value $0.0001 per share</w:t>
            </w:r>
          </w:p>
        </w:tc>
        <w:tc>
          <w:tcPr>
            <w:tcW w:w="8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Arial" w:cs="Arial" w:eastAsia="Arial" w:hAnsi="Arial"/>
                <w:sz w:val="13"/>
                <w:szCs w:val="13"/>
                <w:color w:val="auto"/>
                <w:w w:val="92"/>
              </w:rPr>
              <w:t>RCEL</w:t>
            </w:r>
          </w:p>
        </w:tc>
        <w:tc>
          <w:tcPr>
            <w:tcW w:w="8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Arial" w:cs="Arial" w:eastAsia="Arial" w:hAnsi="Arial"/>
                <w:sz w:val="13"/>
                <w:szCs w:val="13"/>
                <w:color w:val="auto"/>
                <w:w w:val="88"/>
              </w:rPr>
              <w:t>The Nasdaq Stock Market LLC</w:t>
            </w:r>
          </w:p>
        </w:tc>
      </w:tr>
    </w:tbl>
    <w:p>
      <w:pPr>
        <w:spacing w:after="0" w:line="134" w:lineRule="exact"/>
        <w:rPr>
          <w:sz w:val="24"/>
          <w:szCs w:val="24"/>
          <w:color w:val="auto"/>
        </w:rPr>
      </w:pPr>
    </w:p>
    <w:p>
      <w:pPr>
        <w:ind w:left="640" w:right="699"/>
        <w:spacing w:after="0" w:line="166" w:lineRule="exact"/>
        <w:rPr>
          <w:sz w:val="20"/>
          <w:szCs w:val="20"/>
          <w:color w:val="auto"/>
        </w:rPr>
      </w:pPr>
      <w:r>
        <w:rPr>
          <w:rFonts w:ascii="Arial" w:cs="Arial" w:eastAsia="Arial" w:hAnsi="Arial"/>
          <w:sz w:val="13"/>
          <w:szCs w:val="13"/>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3"/>
          <w:szCs w:val="13"/>
          <w:color w:val="auto"/>
        </w:rPr>
        <w:t>☒</w:t>
      </w:r>
    </w:p>
    <w:p>
      <w:pPr>
        <w:spacing w:after="0" w:line="124" w:lineRule="exact"/>
        <w:rPr>
          <w:sz w:val="24"/>
          <w:szCs w:val="24"/>
          <w:color w:val="auto"/>
        </w:rPr>
      </w:pPr>
    </w:p>
    <w:p>
      <w:pPr>
        <w:ind w:left="640" w:right="859"/>
        <w:spacing w:after="0" w:line="16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9" w:right="1440" w:bottom="1440" w:gutter="0" w:footer="0" w:header="0"/>
        </w:sectPr>
      </w:pPr>
    </w:p>
    <w:bookmarkStart w:id="1" w:name="page2"/>
    <w:bookmarkEnd w:id="1"/>
    <w:p>
      <w:pPr>
        <w:ind w:left="640"/>
        <w:spacing w:after="0"/>
        <w:tabs>
          <w:tab w:leader="none" w:pos="1460" w:val="left"/>
        </w:tabs>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1042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55245"/>
                    </a:xfrm>
                    <a:prstGeom prst="rect">
                      <a:avLst/>
                    </a:prstGeom>
                    <a:noFill/>
                  </pic:spPr>
                </pic:pic>
              </a:graphicData>
            </a:graphic>
          </wp:anchor>
        </w:drawing>
        <w:t>Item 7.01</w:t>
      </w:r>
      <w:r>
        <w:rPr>
          <w:sz w:val="20"/>
          <w:szCs w:val="20"/>
          <w:color w:val="auto"/>
        </w:rPr>
        <w:tab/>
      </w:r>
      <w:r>
        <w:rPr>
          <w:rFonts w:ascii="Arial" w:cs="Arial" w:eastAsia="Arial" w:hAnsi="Arial"/>
          <w:sz w:val="11"/>
          <w:szCs w:val="11"/>
          <w:b w:val="1"/>
          <w:bCs w:val="1"/>
          <w:color w:val="auto"/>
        </w:rPr>
        <w:t>Regulation FD Disclosure.</w:t>
      </w:r>
    </w:p>
    <w:p>
      <w:pPr>
        <w:spacing w:after="0" w:line="82" w:lineRule="exact"/>
        <w:rPr>
          <w:sz w:val="20"/>
          <w:szCs w:val="20"/>
          <w:color w:val="auto"/>
        </w:rPr>
      </w:pPr>
    </w:p>
    <w:p>
      <w:pPr>
        <w:ind w:left="640" w:right="799" w:firstLine="309"/>
        <w:spacing w:after="0" w:line="320" w:lineRule="auto"/>
        <w:rPr>
          <w:sz w:val="20"/>
          <w:szCs w:val="20"/>
          <w:color w:val="auto"/>
        </w:rPr>
      </w:pPr>
      <w:r>
        <w:rPr>
          <w:rFonts w:ascii="Arial" w:cs="Arial" w:eastAsia="Arial" w:hAnsi="Arial"/>
          <w:sz w:val="11"/>
          <w:szCs w:val="11"/>
          <w:color w:val="auto"/>
        </w:rPr>
        <w:t>AVITA Medical, Inc. (the “Company”) is furnishing herewith certain information regarding market size for the Company’s RECELL System following recent FDA approval of its use to treat full thickness skin defects. By furnishing this information, the Company is not undertaking to update this disclosure periodically or at all, and no assurance can be given that the Company will choose to provide any such update in the future.</w:t>
      </w:r>
    </w:p>
    <w:p>
      <w:pPr>
        <w:spacing w:after="0" w:line="101" w:lineRule="exact"/>
        <w:rPr>
          <w:sz w:val="20"/>
          <w:szCs w:val="20"/>
          <w:color w:val="auto"/>
        </w:rPr>
      </w:pPr>
    </w:p>
    <w:p>
      <w:pPr>
        <w:ind w:left="640" w:right="799" w:firstLine="309"/>
        <w:spacing w:after="0" w:line="252" w:lineRule="auto"/>
        <w:rPr>
          <w:sz w:val="20"/>
          <w:szCs w:val="20"/>
          <w:color w:val="auto"/>
        </w:rPr>
      </w:pPr>
      <w:r>
        <w:rPr>
          <w:rFonts w:ascii="Arial" w:cs="Arial" w:eastAsia="Arial" w:hAnsi="Arial"/>
          <w:sz w:val="13"/>
          <w:szCs w:val="13"/>
          <w:color w:val="auto"/>
        </w:rPr>
        <w:t>The information under this Item 7.01 and Exhibit 99.1 is being furnished and shall not be deemed to be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36" w:lineRule="exact"/>
        <w:rPr>
          <w:sz w:val="20"/>
          <w:szCs w:val="20"/>
          <w:color w:val="auto"/>
        </w:rPr>
      </w:pPr>
    </w:p>
    <w:p>
      <w:pPr>
        <w:ind w:left="640"/>
        <w:spacing w:after="0"/>
        <w:tabs>
          <w:tab w:leader="none" w:pos="1460" w:val="left"/>
        </w:tabs>
        <w:rPr>
          <w:sz w:val="20"/>
          <w:szCs w:val="20"/>
          <w:color w:val="auto"/>
        </w:rPr>
      </w:pPr>
      <w:r>
        <w:rPr>
          <w:rFonts w:ascii="Arial" w:cs="Arial" w:eastAsia="Arial" w:hAnsi="Arial"/>
          <w:sz w:val="13"/>
          <w:szCs w:val="13"/>
          <w:b w:val="1"/>
          <w:bCs w:val="1"/>
          <w:color w:val="auto"/>
        </w:rPr>
        <w:t>Item 9.01</w:t>
      </w:r>
      <w:r>
        <w:rPr>
          <w:sz w:val="20"/>
          <w:szCs w:val="20"/>
          <w:color w:val="auto"/>
        </w:rPr>
        <w:tab/>
      </w:r>
      <w:r>
        <w:rPr>
          <w:rFonts w:ascii="Arial" w:cs="Arial" w:eastAsia="Arial" w:hAnsi="Arial"/>
          <w:sz w:val="11"/>
          <w:szCs w:val="11"/>
          <w:b w:val="1"/>
          <w:bCs w:val="1"/>
          <w:color w:val="auto"/>
        </w:rPr>
        <w:t>Financial Statements and Exhibits.</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 Exhibits</w:t>
      </w:r>
    </w:p>
    <w:p>
      <w:pPr>
        <w:spacing w:after="0" w:line="156"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62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5"/>
              </w:rPr>
              <w:t>Exhibit</w:t>
            </w:r>
          </w:p>
        </w:tc>
        <w:tc>
          <w:tcPr>
            <w:tcW w:w="9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760" w:type="dxa"/>
            <w:vAlign w:val="bottom"/>
          </w:tcPr>
          <w:p>
            <w:pPr>
              <w:spacing w:after="0"/>
              <w:rPr>
                <w:sz w:val="10"/>
                <w:szCs w:val="10"/>
                <w:color w:val="auto"/>
              </w:rPr>
            </w:pPr>
          </w:p>
        </w:tc>
      </w:tr>
      <w:tr>
        <w:trPr>
          <w:trHeight w:val="119"/>
        </w:trPr>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No.</w:t>
            </w:r>
          </w:p>
        </w:tc>
        <w:tc>
          <w:tcPr>
            <w:tcW w:w="300" w:type="dxa"/>
            <w:vAlign w:val="bottom"/>
          </w:tcPr>
          <w:p>
            <w:pPr>
              <w:spacing w:after="0"/>
              <w:rPr>
                <w:sz w:val="10"/>
                <w:szCs w:val="10"/>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90"/>
              </w:rPr>
              <w:t>Description of Exhibit</w:t>
            </w:r>
          </w:p>
        </w:tc>
        <w:tc>
          <w:tcPr>
            <w:tcW w:w="3100" w:type="dxa"/>
            <w:vAlign w:val="bottom"/>
            <w:gridSpan w:val="2"/>
          </w:tcPr>
          <w:p>
            <w:pPr>
              <w:spacing w:after="0"/>
              <w:rPr>
                <w:sz w:val="10"/>
                <w:szCs w:val="10"/>
                <w:color w:val="auto"/>
              </w:rPr>
            </w:pPr>
          </w:p>
        </w:tc>
      </w:tr>
      <w:tr>
        <w:trPr>
          <w:trHeight w:val="188"/>
        </w:trPr>
        <w:tc>
          <w:tcPr>
            <w:tcW w:w="320" w:type="dxa"/>
            <w:vAlign w:val="bottom"/>
          </w:tcPr>
          <w:p>
            <w:pPr>
              <w:spacing w:after="0"/>
              <w:rPr>
                <w:sz w:val="20"/>
                <w:szCs w:val="20"/>
                <w:color w:val="auto"/>
              </w:rPr>
            </w:pPr>
            <w:r>
              <w:rPr>
                <w:rFonts w:ascii="Arial" w:cs="Arial" w:eastAsia="Arial" w:hAnsi="Arial"/>
                <w:sz w:val="13"/>
                <w:szCs w:val="13"/>
                <w:color w:val="auto"/>
              </w:rPr>
              <w:t>99.1</w:t>
            </w:r>
          </w:p>
        </w:tc>
        <w:tc>
          <w:tcPr>
            <w:tcW w:w="300" w:type="dxa"/>
            <w:vAlign w:val="bottom"/>
          </w:tcPr>
          <w:p>
            <w:pPr>
              <w:spacing w:after="0"/>
              <w:rPr>
                <w:sz w:val="16"/>
                <w:szCs w:val="16"/>
                <w:color w:val="auto"/>
              </w:rPr>
            </w:pPr>
          </w:p>
        </w:tc>
        <w:tc>
          <w:tcPr>
            <w:tcW w:w="4060" w:type="dxa"/>
            <w:vAlign w:val="bottom"/>
            <w:gridSpan w:val="3"/>
          </w:tcPr>
          <w:p>
            <w:pPr>
              <w:spacing w:after="0"/>
              <w:rPr>
                <w:sz w:val="20"/>
                <w:szCs w:val="20"/>
                <w:color w:val="auto"/>
              </w:rPr>
            </w:pPr>
            <w:r>
              <w:rPr>
                <w:rFonts w:ascii="Arial" w:cs="Arial" w:eastAsia="Arial" w:hAnsi="Arial"/>
                <w:sz w:val="13"/>
                <w:szCs w:val="13"/>
                <w:color w:val="0000EE"/>
              </w:rPr>
              <w:t>June 2023 Expanded FDA Indication Update.</w:t>
            </w:r>
          </w:p>
        </w:tc>
      </w:tr>
      <w:tr>
        <w:trPr>
          <w:trHeight w:val="20"/>
        </w:trPr>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r>
              <w:rPr>
                <w:rFonts w:ascii="Arial" w:cs="Arial" w:eastAsia="Arial" w:hAnsi="Arial"/>
                <w:sz w:val="13"/>
                <w:szCs w:val="13"/>
                <w:color w:val="auto"/>
              </w:rPr>
              <w:t>104</w:t>
            </w:r>
          </w:p>
        </w:tc>
        <w:tc>
          <w:tcPr>
            <w:tcW w:w="300" w:type="dxa"/>
            <w:vAlign w:val="bottom"/>
          </w:tcPr>
          <w:p>
            <w:pPr>
              <w:spacing w:after="0"/>
              <w:rPr>
                <w:sz w:val="20"/>
                <w:szCs w:val="20"/>
                <w:color w:val="auto"/>
              </w:rPr>
            </w:pPr>
          </w:p>
        </w:tc>
        <w:tc>
          <w:tcPr>
            <w:tcW w:w="4060" w:type="dxa"/>
            <w:vAlign w:val="bottom"/>
            <w:gridSpan w:val="3"/>
          </w:tcPr>
          <w:p>
            <w:pPr>
              <w:spacing w:after="0"/>
              <w:rPr>
                <w:sz w:val="20"/>
                <w:szCs w:val="20"/>
                <w:color w:val="auto"/>
              </w:rPr>
            </w:pPr>
            <w:r>
              <w:rPr>
                <w:rFonts w:ascii="Arial" w:cs="Arial" w:eastAsia="Arial" w:hAnsi="Arial"/>
                <w:sz w:val="13"/>
                <w:szCs w:val="13"/>
                <w:color w:val="auto"/>
                <w:w w:val="89"/>
              </w:rPr>
              <w:t>Cover Page Interactive Data File (embedded within the Inline XBRL document)</w:t>
            </w:r>
          </w:p>
        </w:tc>
      </w:tr>
    </w:tbl>
    <w:p>
      <w:pPr>
        <w:sectPr>
          <w:pgSz w:w="11900" w:h="16838" w:orient="portrait"/>
          <w:cols w:equalWidth="0" w:num="1">
            <w:col w:w="9019"/>
          </w:cols>
          <w:pgMar w:left="1440" w:top="401"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1042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55245"/>
                    </a:xfrm>
                    <a:prstGeom prst="rect">
                      <a:avLst/>
                    </a:prstGeom>
                    <a:noFill/>
                  </pic:spPr>
                </pic:pic>
              </a:graphicData>
            </a:graphic>
          </wp:anchor>
        </w:drawing>
        <w:t>SIGNATURE</w:t>
      </w:r>
    </w:p>
    <w:p>
      <w:pPr>
        <w:spacing w:after="0" w:line="158" w:lineRule="exact"/>
        <w:rPr>
          <w:sz w:val="20"/>
          <w:szCs w:val="20"/>
          <w:color w:val="auto"/>
        </w:rPr>
      </w:pPr>
    </w:p>
    <w:p>
      <w:pPr>
        <w:ind w:left="640" w:right="859" w:firstLine="309"/>
        <w:spacing w:after="0" w:line="261"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Date: June 26, 2023</w:t>
      </w:r>
    </w:p>
    <w:p>
      <w:pPr>
        <w:spacing w:after="0" w:line="11" w:lineRule="exact"/>
        <w:rPr>
          <w:sz w:val="20"/>
          <w:szCs w:val="20"/>
          <w:color w:val="auto"/>
        </w:rPr>
      </w:pPr>
    </w:p>
    <w:p>
      <w:pPr>
        <w:ind w:left="4500"/>
        <w:spacing w:after="0"/>
        <w:rPr>
          <w:sz w:val="20"/>
          <w:szCs w:val="20"/>
          <w:color w:val="auto"/>
        </w:rPr>
      </w:pPr>
      <w:r>
        <w:rPr>
          <w:rFonts w:ascii="Arial" w:cs="Arial" w:eastAsia="Arial" w:hAnsi="Arial"/>
          <w:sz w:val="13"/>
          <w:szCs w:val="13"/>
          <w:b w:val="1"/>
          <w:bCs w:val="1"/>
          <w:color w:val="auto"/>
        </w:rPr>
        <w:t>AVITA MEDICAL, INC.</w:t>
      </w:r>
    </w:p>
    <w:p>
      <w:pPr>
        <w:spacing w:after="0" w:line="145" w:lineRule="exact"/>
        <w:rPr>
          <w:sz w:val="20"/>
          <w:szCs w:val="20"/>
          <w:color w:val="auto"/>
        </w:rPr>
      </w:pPr>
    </w:p>
    <w:tbl>
      <w:tblPr>
        <w:tblLayout w:type="fixed"/>
        <w:tblInd w:w="4500" w:type="dxa"/>
        <w:tblCellMar>
          <w:top w:w="0" w:type="dxa"/>
          <w:left w:w="0" w:type="dxa"/>
          <w:bottom w:w="0" w:type="dxa"/>
          <w:right w:w="0" w:type="dxa"/>
        </w:tblCellMar>
      </w:tblPr>
      <w:tr>
        <w:trPr>
          <w:trHeight w:val="160"/>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 xml:space="preserve">/s/ </w:t>
            </w:r>
            <w:r>
              <w:rPr>
                <w:rFonts w:ascii="Arial" w:cs="Arial" w:eastAsia="Arial" w:hAnsi="Arial"/>
                <w:sz w:val="13"/>
                <w:szCs w:val="13"/>
                <w:i w:val="1"/>
                <w:iCs w:val="1"/>
                <w:color w:val="auto"/>
              </w:rPr>
              <w:t>Donna Shiroma</w:t>
            </w:r>
          </w:p>
        </w:tc>
      </w:tr>
      <w:tr>
        <w:trPr>
          <w:trHeight w:val="142"/>
        </w:trPr>
        <w:tc>
          <w:tcPr>
            <w:tcW w:w="460" w:type="dxa"/>
            <w:vAlign w:val="bottom"/>
          </w:tcPr>
          <w:p>
            <w:pPr>
              <w:spacing w:after="0" w:line="142" w:lineRule="exact"/>
              <w:rPr>
                <w:sz w:val="20"/>
                <w:szCs w:val="20"/>
                <w:color w:val="auto"/>
              </w:rPr>
            </w:pPr>
            <w:r>
              <w:rPr>
                <w:rFonts w:ascii="Arial" w:cs="Arial" w:eastAsia="Arial" w:hAnsi="Arial"/>
                <w:sz w:val="13"/>
                <w:szCs w:val="13"/>
                <w:color w:val="auto"/>
              </w:rPr>
              <w:t>Name:</w:t>
            </w:r>
          </w:p>
        </w:tc>
        <w:tc>
          <w:tcPr>
            <w:tcW w:w="3420" w:type="dxa"/>
            <w:vAlign w:val="bottom"/>
          </w:tcPr>
          <w:p>
            <w:pPr>
              <w:spacing w:after="0" w:line="142" w:lineRule="exact"/>
              <w:rPr>
                <w:sz w:val="20"/>
                <w:szCs w:val="20"/>
                <w:color w:val="auto"/>
              </w:rPr>
            </w:pPr>
            <w:r>
              <w:rPr>
                <w:rFonts w:ascii="Arial" w:cs="Arial" w:eastAsia="Arial" w:hAnsi="Arial"/>
                <w:sz w:val="13"/>
                <w:szCs w:val="13"/>
                <w:color w:val="auto"/>
              </w:rPr>
              <w:t>Donna Shiroma</w:t>
            </w:r>
          </w:p>
        </w:tc>
      </w:tr>
      <w:tr>
        <w:trPr>
          <w:trHeight w:val="161"/>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3420" w:type="dxa"/>
            <w:vAlign w:val="bottom"/>
          </w:tcPr>
          <w:p>
            <w:pPr>
              <w:spacing w:after="0"/>
              <w:rPr>
                <w:sz w:val="20"/>
                <w:szCs w:val="20"/>
                <w:color w:val="auto"/>
              </w:rPr>
            </w:pPr>
            <w:r>
              <w:rPr>
                <w:rFonts w:ascii="Arial" w:cs="Arial" w:eastAsia="Arial" w:hAnsi="Arial"/>
                <w:sz w:val="13"/>
                <w:szCs w:val="13"/>
                <w:color w:val="auto"/>
              </w:rPr>
              <w:t>General Counsel</w:t>
            </w:r>
          </w:p>
        </w:tc>
      </w:tr>
    </w:tbl>
    <w:p>
      <w:pPr>
        <w:sectPr>
          <w:pgSz w:w="11900" w:h="16838" w:orient="portrait"/>
          <w:cols w:equalWidth="0" w:num="1">
            <w:col w:w="9019"/>
          </w:cols>
          <w:pgMar w:left="1440" w:top="401" w:right="1440"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185420</wp:posOffset>
            </wp:positionV>
            <wp:extent cx="7221220" cy="40620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221220" cy="40620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2023-06-26T07:19:40Z</dcterms:created>
  <dcterms:modified xsi:type="dcterms:W3CDTF">2023-06-26T07:19:40Z</dcterms:modified>
</cp:coreProperties>
</file>