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333-271276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 the Prospectus dated April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5715</wp:posOffset>
            </wp:positionV>
            <wp:extent cx="1397000" cy="1671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1671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400,000 Shares of Common Stock</w:t>
      </w:r>
    </w:p>
    <w:p>
      <w:pPr>
        <w:spacing w:after="0" w:line="229" w:lineRule="exact"/>
        <w:rPr>
          <w:sz w:val="24"/>
          <w:szCs w:val="24"/>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an aggregate of 400,000 shares of common stock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directly to two investors in consideration of entering into the Fifth Amendment to the Company’s Credit Agreement with the investors and certain of their affiliates and certain services performed in connection therewith.</w:t>
      </w:r>
    </w:p>
    <w:p>
      <w:pPr>
        <w:spacing w:after="0" w:line="171"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common stock trades on The Nasdaq Stock Market LLC under the symbol “RCEL.” Our CHESS Depositary Interests (“</w:t>
      </w:r>
      <w:r>
        <w:rPr>
          <w:rFonts w:ascii="Times New Roman" w:cs="Times New Roman" w:eastAsia="Times New Roman" w:hAnsi="Times New Roman"/>
          <w:sz w:val="18"/>
          <w:szCs w:val="18"/>
          <w:b w:val="1"/>
          <w:bCs w:val="1"/>
          <w:color w:val="auto"/>
        </w:rPr>
        <w:t>CDIs</w:t>
      </w:r>
      <w:r>
        <w:rPr>
          <w:rFonts w:ascii="Times New Roman" w:cs="Times New Roman" w:eastAsia="Times New Roman" w:hAnsi="Times New Roman"/>
          <w:sz w:val="18"/>
          <w:szCs w:val="18"/>
          <w:color w:val="auto"/>
        </w:rPr>
        <w:t>”) are listed on the Australian Securities Exchange (“</w:t>
      </w:r>
      <w:r>
        <w:rPr>
          <w:rFonts w:ascii="Times New Roman" w:cs="Times New Roman" w:eastAsia="Times New Roman" w:hAnsi="Times New Roman"/>
          <w:sz w:val="18"/>
          <w:szCs w:val="18"/>
          <w:b w:val="1"/>
          <w:bCs w:val="1"/>
          <w:color w:val="auto"/>
        </w:rPr>
        <w:t>ASX</w:t>
      </w:r>
      <w:r>
        <w:rPr>
          <w:rFonts w:ascii="Times New Roman" w:cs="Times New Roman" w:eastAsia="Times New Roman" w:hAnsi="Times New Roman"/>
          <w:sz w:val="18"/>
          <w:szCs w:val="18"/>
          <w:color w:val="auto"/>
        </w:rPr>
        <w:t>”) under the symbol “AVH” with five CDIs being equivalent to one share of our common stock. On August 7, 2025, the last reported sale price for our common stock on Nasdaq was $5.38 per share and the last reported sale price of our CDIs on the ASX was AU$1.73 per CDI.</w:t>
      </w:r>
    </w:p>
    <w:p>
      <w:pPr>
        <w:spacing w:after="0" w:line="180"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defined in the Jumpstart Our Business Startups Act of 2012 and, as such, are subject to certain reduced public company reporting requirements. See “The Company—Implications of Being an Emerging Growth Company” in the accompanying prospectus.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Shares is expected to be made on or about August 8, 2025.</w:t>
      </w:r>
    </w:p>
    <w:p>
      <w:pPr>
        <w:spacing w:after="0" w:line="221" w:lineRule="exact"/>
        <w:rPr>
          <w:sz w:val="24"/>
          <w:szCs w:val="24"/>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an investment in our securities involve significant risks. Please read carefully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S-7 of this prospectus supplement and in the documents incorporated by reference into this prospectus supplement.</w:t>
      </w:r>
    </w:p>
    <w:p>
      <w:pPr>
        <w:spacing w:after="0" w:line="155" w:lineRule="exact"/>
        <w:rPr>
          <w:sz w:val="24"/>
          <w:szCs w:val="24"/>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000" w:type="dxa"/>
            <w:vAlign w:val="bottom"/>
            <w:gridSpan w:val="12"/>
            <w:vMerge w:val="continue"/>
          </w:tcPr>
          <w:p>
            <w:pPr>
              <w:spacing w:after="0"/>
              <w:rPr>
                <w:sz w:val="14"/>
                <w:szCs w:val="14"/>
                <w:color w:val="auto"/>
              </w:rPr>
            </w:pPr>
          </w:p>
        </w:tc>
        <w:tc>
          <w:tcPr>
            <w:tcW w:w="1120" w:type="dxa"/>
            <w:vAlign w:val="bottom"/>
          </w:tcPr>
          <w:p>
            <w:pPr>
              <w:ind w:left="340"/>
              <w:spacing w:after="0" w:line="169"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54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PROSPECTUS SUPPLEMENT SUMMARY</w:t>
            </w:r>
          </w:p>
        </w:tc>
        <w:tc>
          <w:tcPr>
            <w:tcW w:w="4600" w:type="dxa"/>
            <w:vAlign w:val="bottom"/>
          </w:tcPr>
          <w:p>
            <w:pPr>
              <w:spacing w:after="0"/>
              <w:rPr>
                <w:sz w:val="17"/>
                <w:szCs w:val="17"/>
                <w:color w:val="auto"/>
              </w:rPr>
            </w:pP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20" w:type="dxa"/>
            <w:vAlign w:val="bottom"/>
            <w:tcBorders>
              <w:top w:val="single" w:sz="8" w:color="0000FF"/>
            </w:tcBorders>
            <w:gridSpan w:val="5"/>
          </w:tcPr>
          <w:p>
            <w:pPr>
              <w:spacing w:after="0"/>
              <w:rPr>
                <w:sz w:val="17"/>
                <w:szCs w:val="17"/>
                <w:color w:val="auto"/>
              </w:rPr>
            </w:pPr>
          </w:p>
        </w:tc>
        <w:tc>
          <w:tcPr>
            <w:tcW w:w="6700" w:type="dxa"/>
            <w:vAlign w:val="bottom"/>
            <w:gridSpan w:val="5"/>
          </w:tcPr>
          <w:p>
            <w:pPr>
              <w:spacing w:after="0"/>
              <w:rPr>
                <w:sz w:val="17"/>
                <w:szCs w:val="17"/>
                <w:color w:val="auto"/>
              </w:rPr>
            </w:pP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8400" w:type="dxa"/>
            <w:vAlign w:val="bottom"/>
            <w:gridSpan w:val="7"/>
          </w:tcPr>
          <w:p>
            <w:pPr>
              <w:spacing w:after="0"/>
              <w:rPr>
                <w:sz w:val="17"/>
                <w:szCs w:val="17"/>
                <w:color w:val="auto"/>
              </w:rPr>
            </w:pP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00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DIVIDEND POLICY</w:t>
            </w: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7940" w:type="dxa"/>
            <w:vAlign w:val="bottom"/>
            <w:gridSpan w:val="6"/>
          </w:tcPr>
          <w:p>
            <w:pPr>
              <w:spacing w:after="0"/>
              <w:rPr>
                <w:sz w:val="17"/>
                <w:szCs w:val="17"/>
                <w:color w:val="auto"/>
              </w:rPr>
            </w:pP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0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8520" w:type="dxa"/>
            <w:vAlign w:val="bottom"/>
            <w:gridSpan w:val="9"/>
          </w:tcPr>
          <w:p>
            <w:pPr>
              <w:spacing w:after="0"/>
              <w:rPr>
                <w:sz w:val="17"/>
                <w:szCs w:val="17"/>
                <w:color w:val="auto"/>
              </w:rPr>
            </w:pP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3840" w:type="dxa"/>
            <w:vAlign w:val="bottom"/>
            <w:gridSpan w:val="9"/>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INCORPORATION OF CERTAIN INFORMATION BY REFERENCE</w:t>
            </w:r>
          </w:p>
        </w:tc>
        <w:tc>
          <w:tcPr>
            <w:tcW w:w="4740" w:type="dxa"/>
            <w:vAlign w:val="bottom"/>
            <w:gridSpan w:val="2"/>
          </w:tcPr>
          <w:p>
            <w:pPr>
              <w:spacing w:after="0"/>
              <w:rPr>
                <w:sz w:val="17"/>
                <w:szCs w:val="17"/>
                <w:color w:val="auto"/>
              </w:rPr>
            </w:pPr>
          </w:p>
        </w:tc>
        <w:tc>
          <w:tcPr>
            <w:tcW w:w="1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5" w:right="4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certain other matters relating to us, which may also, where applicable, add to and update information contained in the accompanying prospectus and the documents incorporated by reference into this prospectus supplement and the accompanying prospectus. The second part, the accompanying prospectus, dated April 25, 2023, including the documents incorporated by reference therein and included as part of our registration statement on Form S-3 (333-271276), gives more general information about securities we may offer from time to time, some of which does not apply to this offering. Generally, when we refer to this prospectus, we are referring to both parts of this document combined together with all documents incorporated by reference. If information in this prospectus supplement is inconsistent with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into this prospectus supplement or the accompanying prospectus — the statement in the document having the later date modifies or supersedes the earlier statement as our business, financial condition, results of operations and prospects may have changed since the earlier date.</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 other than those contained or incorporated by reference in this prospectus supplement, the accompanying prospectus or any free writing prospectus we have prepared by or on behalf of us or to which we have referred you relating to this offering. We take no responsibility for, and provide no assurance as to the reliability of, any other information that others may give you. The information contained in, or incorporated by reference into, this prospectus supplement and the accompanying prospectus is accurate only as of the date thereof, regardless of the time of delivery of this prospectus supplement and the accompanying prospectus or of any sale of securities. It is important for you to read and consider all information contained in this prospectus supplement and the accompanying prospectus, including the documents incorporated by reference herein and therein, in making your investment decision.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not offering to sell, nor seeking offers to buy, securities in any jurisdictions where such offers and sales are not permitted. The distribution of this prospectus supplement and the accompanying prospectus and the offering of securities in certain jurisdictions or to certain persons within such jurisdictions may be restricted by law. Persons outside the United States who come into possession of this prospectus supplement and the accompanying prospectus must inform themselves about and observe any restrictions relating to the offering of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in the sections entitled “Where You Can Find More Information” and “Incorporation of Certain Information by Reference” in this prospectus supplement.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supplement to “AVITA,” “we,” “our,” “us” and “the Company” refer, collectively, to AVITA Medical, Inc., a Delaware corporation, and its consolidated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that we incorporate by reference herein and therein, contain forward-looking statements within the meaning of Section 27A of the Securities Act and Section 21E of the Securities Exchange Act. The words “anticipate,” “believe,” “ensure,” “expect,” “if,” “intend,” “estimate,” “probable,” “project,” “forecasts,” “predict,” “outlook,” “aim,” “will,” “could,” “should,” “would,” “may,” “likely” and similar expressions, and the negative thereof, are intended to identify forward-looking statements. These forward-looking statements include, but are not limited to, statements about:</w:t>
      </w:r>
    </w:p>
    <w:p>
      <w:pPr>
        <w:spacing w:after="0" w:line="3"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our expectations regarding future revenue, or future growth in revenue, profit, or gross and/or operating margins;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adjusted EBITDA;</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conditions;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production capacity;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our intellectual property rights, including our expectations regarding the future scope of such rights;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and/or maintain regulatory approvals and comply with applicable regulations;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or outcome of pre-clinical or clinical (human) studies;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management restructuring activities;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maintain partnerships relating to collaborations, strategic arrangements, and licensing arrangements;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(and related integration activities);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fail to uphold their contractual duties or meet expected deadlines;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favorable coverage and reimbursement determinations from third party payors;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growth or product initiatives;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sales and marketing organizations to address existing and new markets that we intend to target;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penetration of our products;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scale our manufacturing operations to meet the demand for our products;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including management;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9"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debt covenants, which may result in the acceleration of our debt obligations or the need for renegotiations with our lenders, tax and interest rates;</w:t>
      </w: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on the U.S. and global economies, respectively;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cybersecurity breach, terrorist attack or other geopolitical instability, pandemic or epidemic, or natural disaster; and</w:t>
      </w:r>
    </w:p>
    <w:p>
      <w:pPr>
        <w:spacing w:after="0" w:line="9" w:lineRule="exact"/>
        <w:rPr>
          <w:rFonts w:ascii="Times New Roman" w:cs="Times New Roman" w:eastAsia="Times New Roman" w:hAnsi="Times New Roman"/>
          <w:sz w:val="18"/>
          <w:szCs w:val="18"/>
          <w:color w:val="auto"/>
        </w:rPr>
      </w:pPr>
    </w:p>
    <w:p>
      <w:pPr>
        <w:ind w:left="760" w:right="140" w:hanging="378"/>
        <w:spacing w:after="0" w:line="260"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working capital, costs, productivity, business process, rationalization, investment (including rates), consulting, operational, financial, and capital projects and/or initiatives.</w:t>
      </w:r>
    </w:p>
    <w:p>
      <w:pPr>
        <w:spacing w:after="0" w:line="1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most recent Annual Report on Form 10-K and any subsequently filed Quarterly Reports on Form 10-Q. These documents are available through the SEC’s Electronic Data Gathering and Analysis Retrieval System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85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385810"/>
                    </a:xfrm>
                    <a:prstGeom prst="rect">
                      <a:avLst/>
                    </a:prstGeom>
                    <a:noFill/>
                  </pic:spPr>
                </pic:pic>
              </a:graphicData>
            </a:graphic>
          </wp:anchor>
        </w:drawing>
        <w:t>PROSPECTUS SUPPLEMENT SUMMARY</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into this prospectus supplement and the accompanying prospectus. This summary does not contain all of the information that you should consider before deciding to invest in our securities. You should read this entire prospectus supplement and the accompanying prospectus carefully, including the information incorporated by reference herein and therein, including the information set forth under the heading “Risk Factors” in this prospectus supplement and incorporated by reference from our Annual Report on Form 10-K for the year ended December 31, 2024, as well as our consolidated financial statements and the related notes and the other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AVITA Medical, Inc. is a leading therapeutic acute wound care company delivering transformative solutions. Our technologies are designed to optimize wound healing, effectively accelerating the time to patient recovery. Our solutions improve the healing outcomes for patients with traumatic injuries and surgical repairs, addressing critical healing needs that arise from unpredictable and life-changing events. At the forefront of our portfolio is our patented and proprietary RECELL® System (“</w:t>
      </w:r>
      <w:r>
        <w:rPr>
          <w:rFonts w:ascii="Times New Roman" w:cs="Times New Roman" w:eastAsia="Times New Roman" w:hAnsi="Times New Roman"/>
          <w:sz w:val="18"/>
          <w:szCs w:val="18"/>
          <w:b w:val="1"/>
          <w:bCs w:val="1"/>
          <w:color w:val="auto"/>
        </w:rPr>
        <w:t>RECELL System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RECELL</w:t>
      </w:r>
      <w:r>
        <w:rPr>
          <w:rFonts w:ascii="Times New Roman" w:cs="Times New Roman" w:eastAsia="Times New Roman" w:hAnsi="Times New Roman"/>
          <w:sz w:val="18"/>
          <w:szCs w:val="18"/>
          <w:color w:val="auto"/>
        </w:rPr>
        <w:t>”), approved by the U.S. Food &amp;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for the treatment of thermal burn wounds and full-thickness skin defects. RECELL harnesses the regenerative properties of a patient’s own skin to create an autologous skin cell suspension, Spray-On Skin™Cells, delivering a transformative solution at the point of care.</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single-use RECELL Autologous Cell Harvesting Device (“</w:t>
      </w:r>
      <w:r>
        <w:rPr>
          <w:rFonts w:ascii="Times New Roman" w:cs="Times New Roman" w:eastAsia="Times New Roman" w:hAnsi="Times New Roman"/>
          <w:sz w:val="18"/>
          <w:szCs w:val="18"/>
          <w:b w:val="1"/>
          <w:bCs w:val="1"/>
          <w:color w:val="auto"/>
        </w:rPr>
        <w:t>RECELL Ease-of-Use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RECELL EOU</w:t>
      </w:r>
      <w:r>
        <w:rPr>
          <w:rFonts w:ascii="Times New Roman" w:cs="Times New Roman" w:eastAsia="Times New Roman" w:hAnsi="Times New Roman"/>
          <w:sz w:val="18"/>
          <w:szCs w:val="18"/>
          <w:color w:val="auto"/>
        </w:rPr>
        <w:t>”) is approved by the FDA for the treatment of thermal burn wounds and full-thickness skin defects. Our next-generation device, RECELL GO™ Autologous Cell Harvesting Device (“</w:t>
      </w:r>
      <w:r>
        <w:rPr>
          <w:rFonts w:ascii="Times New Roman" w:cs="Times New Roman" w:eastAsia="Times New Roman" w:hAnsi="Times New Roman"/>
          <w:sz w:val="18"/>
          <w:szCs w:val="18"/>
          <w:b w:val="1"/>
          <w:bCs w:val="1"/>
          <w:color w:val="auto"/>
        </w:rPr>
        <w:t>RECELL GO</w:t>
      </w:r>
      <w:r>
        <w:rPr>
          <w:rFonts w:ascii="Times New Roman" w:cs="Times New Roman" w:eastAsia="Times New Roman" w:hAnsi="Times New Roman"/>
          <w:sz w:val="18"/>
          <w:szCs w:val="18"/>
          <w:color w:val="auto"/>
        </w:rPr>
        <w:t>”), is FDA-approved to treat thermal burn wounds and full-thickness skin defects. RECELL GO introduces enhanced features that improve consistency and standardization across clinical settings. It consists of two components: the RECELL GO Processing Device (the “</w:t>
      </w:r>
      <w:r>
        <w:rPr>
          <w:rFonts w:ascii="Times New Roman" w:cs="Times New Roman" w:eastAsia="Times New Roman" w:hAnsi="Times New Roman"/>
          <w:sz w:val="18"/>
          <w:szCs w:val="18"/>
          <w:b w:val="1"/>
          <w:bCs w:val="1"/>
          <w:color w:val="auto"/>
        </w:rPr>
        <w:t>RPD</w:t>
      </w:r>
      <w:r>
        <w:rPr>
          <w:rFonts w:ascii="Times New Roman" w:cs="Times New Roman" w:eastAsia="Times New Roman" w:hAnsi="Times New Roman"/>
          <w:sz w:val="18"/>
          <w:szCs w:val="18"/>
          <w:color w:val="auto"/>
        </w:rPr>
        <w:t>”) and the RECELL GO Preparation Kit (the “</w:t>
      </w:r>
      <w:r>
        <w:rPr>
          <w:rFonts w:ascii="Times New Roman" w:cs="Times New Roman" w:eastAsia="Times New Roman" w:hAnsi="Times New Roman"/>
          <w:sz w:val="18"/>
          <w:szCs w:val="18"/>
          <w:b w:val="1"/>
          <w:bCs w:val="1"/>
          <w:color w:val="auto"/>
        </w:rPr>
        <w:t>RPK</w:t>
      </w:r>
      <w:r>
        <w:rPr>
          <w:rFonts w:ascii="Times New Roman" w:cs="Times New Roman" w:eastAsia="Times New Roman" w:hAnsi="Times New Roman"/>
          <w:sz w:val="18"/>
          <w:szCs w:val="18"/>
          <w:color w:val="auto"/>
        </w:rPr>
        <w:t>”). The RPK contains the single-use RECELL GO Cartridge, disaggregation head, RECELL Enzyme™, and other components. The RPD provides the control for the RPK, manages the pressure applied to disaggregate the donor skin cells, and precisely regulates the incubation times of the RECELL Enzyme and solutions to optimize cell yield and promote cell viability.</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RECELL GO mini™ Autologous Cell Harvesting Device (“</w:t>
      </w:r>
      <w:r>
        <w:rPr>
          <w:rFonts w:ascii="Times New Roman" w:cs="Times New Roman" w:eastAsia="Times New Roman" w:hAnsi="Times New Roman"/>
          <w:sz w:val="18"/>
          <w:szCs w:val="18"/>
          <w:b w:val="1"/>
          <w:bCs w:val="1"/>
          <w:color w:val="auto"/>
        </w:rPr>
        <w:t>RECELL GO mini</w:t>
      </w:r>
      <w:r>
        <w:rPr>
          <w:rFonts w:ascii="Times New Roman" w:cs="Times New Roman" w:eastAsia="Times New Roman" w:hAnsi="Times New Roman"/>
          <w:sz w:val="18"/>
          <w:szCs w:val="18"/>
          <w:color w:val="auto"/>
        </w:rPr>
        <w:t>”), which was approved by the FDA in December of 2024, is a line extension of RECELL GO, designed specifically to treat smaller wounds up to 480 cm2. It utilizes the same RPD but features a RECELL GO mini Preparation Kit, which includes a single-use RECELL GO mini Cartridge optimized for smaller skin samples. These modifications are intended to align with the needs of clinicians treating smaller wounds, and to support broader adoption of the RECELL GO platform in trauma centers.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This breakthrough technology serves as the catalyst for a new treatment paradigm enabling improved clinical outcomes. In the United States, we also hold the rights to manufacture, market, sell, and distribute PermeaDerm®, a biosynthetic wound matrix, under the terms of an exclusive multi-year distribution agreement and a contract manufacturing agreement (the “</w:t>
      </w:r>
      <w:r>
        <w:rPr>
          <w:rFonts w:ascii="Times New Roman" w:cs="Times New Roman" w:eastAsia="Times New Roman" w:hAnsi="Times New Roman"/>
          <w:sz w:val="18"/>
          <w:szCs w:val="18"/>
          <w:b w:val="1"/>
          <w:bCs w:val="1"/>
          <w:color w:val="auto"/>
        </w:rPr>
        <w:t>Stedical Agreements</w:t>
      </w:r>
      <w:r>
        <w:rPr>
          <w:rFonts w:ascii="Times New Roman" w:cs="Times New Roman" w:eastAsia="Times New Roman" w:hAnsi="Times New Roman"/>
          <w:sz w:val="18"/>
          <w:szCs w:val="18"/>
          <w:color w:val="auto"/>
        </w:rPr>
        <w:t>”) with Stedical Scientific, Inc. (“</w:t>
      </w:r>
      <w:r>
        <w:rPr>
          <w:rFonts w:ascii="Times New Roman" w:cs="Times New Roman" w:eastAsia="Times New Roman" w:hAnsi="Times New Roman"/>
          <w:sz w:val="18"/>
          <w:szCs w:val="18"/>
          <w:b w:val="1"/>
          <w:bCs w:val="1"/>
          <w:color w:val="auto"/>
        </w:rPr>
        <w:t>Stedical</w:t>
      </w:r>
      <w:r>
        <w:rPr>
          <w:rFonts w:ascii="Times New Roman" w:cs="Times New Roman" w:eastAsia="Times New Roman" w:hAnsi="Times New Roman"/>
          <w:sz w:val="18"/>
          <w:szCs w:val="18"/>
          <w:color w:val="auto"/>
        </w:rPr>
        <w:t>”). We also hold the rights to market, sell, and distribute Cohealyx™, a unique collagen-based dermal matrix, under the terms of an exclusive multi-year development and distribution agreement (the “</w:t>
      </w:r>
      <w:r>
        <w:rPr>
          <w:rFonts w:ascii="Times New Roman" w:cs="Times New Roman" w:eastAsia="Times New Roman" w:hAnsi="Times New Roman"/>
          <w:sz w:val="18"/>
          <w:szCs w:val="18"/>
          <w:b w:val="1"/>
          <w:bCs w:val="1"/>
          <w:color w:val="auto"/>
        </w:rPr>
        <w:t>Regenity Agreement</w:t>
      </w:r>
      <w:r>
        <w:rPr>
          <w:rFonts w:ascii="Times New Roman" w:cs="Times New Roman" w:eastAsia="Times New Roman" w:hAnsi="Times New Roman"/>
          <w:sz w:val="18"/>
          <w:szCs w:val="18"/>
          <w:color w:val="auto"/>
        </w:rPr>
        <w:t>”) with Collagen Matrix, Inc. dba Regenity Biosciences (“</w:t>
      </w:r>
      <w:r>
        <w:rPr>
          <w:rFonts w:ascii="Times New Roman" w:cs="Times New Roman" w:eastAsia="Times New Roman" w:hAnsi="Times New Roman"/>
          <w:sz w:val="18"/>
          <w:szCs w:val="18"/>
          <w:b w:val="1"/>
          <w:bCs w:val="1"/>
          <w:color w:val="auto"/>
        </w:rPr>
        <w:t>Regenity</w:t>
      </w:r>
      <w:r>
        <w:rPr>
          <w:rFonts w:ascii="Times New Roman" w:cs="Times New Roman" w:eastAsia="Times New Roman" w:hAnsi="Times New Roman"/>
          <w:sz w:val="18"/>
          <w:szCs w:val="18"/>
          <w:color w:val="auto"/>
        </w:rPr>
        <w:t>”). Under the terms of the Regenity Agreement, Regenity manufactures and supplies Cohealyx and the Company holds the exclusive marketing, sales, and distribution rights to this product under its private label in the U.S., and potentially in countries in the European Union, as well as in Australia and Japan.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 connection with the issuance of the Shares, the Company is entering into the Fifth Amendment (the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to the Credit Agreement (as amended from time to time, including by the Fifth Amendment,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by and among the Company, as borrower, and ORCO IV LLC and ORBIMED ROYALTY &amp; CREDIT OPPORTUNITIES IV OFFSHORE, LP, as Lenders, and ORCO IV LLC, as administrative agent for the Lenders, each an affiliate of OrbiMed Advisors, LLC (“</w:t>
      </w:r>
      <w:r>
        <w:rPr>
          <w:rFonts w:ascii="Times New Roman" w:cs="Times New Roman" w:eastAsia="Times New Roman" w:hAnsi="Times New Roman"/>
          <w:sz w:val="18"/>
          <w:szCs w:val="18"/>
          <w:b w:val="1"/>
          <w:bCs w:val="1"/>
          <w:color w:val="auto"/>
        </w:rPr>
        <w:t>OrbiMed</w:t>
      </w:r>
      <w:r>
        <w:rPr>
          <w:rFonts w:ascii="Times New Roman" w:cs="Times New Roman" w:eastAsia="Times New Roman" w:hAnsi="Times New Roman"/>
          <w:sz w:val="18"/>
          <w:szCs w:val="18"/>
          <w:color w:val="auto"/>
        </w:rPr>
        <w:t>”). The Fifth Amendment amends the Credit Agreement to reduce certain revenue covenants (i.e., revenue thresholds in respect of amortization requirements) of the Company for certain fiscal quarters in 2025 and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28159 Avenue Stanford, Suite 220, Valencia, CA 91355. Our telephone number is (661) 367-9170. Our website address is www.avitamedical.com. The information on, or that can be accessed through, our website is not part of this prospectus supplement and is not incorporated by reference in this prospectus supplement.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995" w:right="47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554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4554220"/>
                    </a:xfrm>
                    <a:prstGeom prst="rect">
                      <a:avLst/>
                    </a:prstGeom>
                    <a:noFill/>
                  </pic:spPr>
                </pic:pic>
              </a:graphicData>
            </a:graphic>
          </wp:anchor>
        </w:drawing>
        <w:t>The Offering</w:t>
      </w:r>
    </w:p>
    <w:p>
      <w:pPr>
        <w:spacing w:after="0" w:line="227" w:lineRule="exact"/>
        <w:rPr>
          <w:sz w:val="20"/>
          <w:szCs w:val="20"/>
          <w:color w:val="auto"/>
        </w:rPr>
      </w:pPr>
    </w:p>
    <w:p>
      <w:pPr>
        <w:jc w:val="both"/>
        <w:ind w:left="120" w:right="6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prospectus. For a more complete description of the common stock, see “Description of Common Stock We May Offer” in the accompanying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400,000 shares of common stock are being issued in this offering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tc>
      </w:tr>
      <w:tr>
        <w:trPr>
          <w:trHeight w:val="535"/>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Shares are being issued in consideration of the Fifth Amendment to the Company’s Credit Agreement and</w:t>
            </w:r>
          </w:p>
        </w:tc>
      </w:tr>
      <w:tr>
        <w:trPr>
          <w:trHeight w:val="234"/>
        </w:trPr>
        <w:tc>
          <w:tcPr>
            <w:tcW w:w="30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consequently, we will not receive any proceeds from the issuance of the Shares pursuant to this prospectus.</w:t>
            </w:r>
          </w:p>
        </w:tc>
      </w:tr>
      <w:tr>
        <w:trPr>
          <w:trHeight w:val="414"/>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Investing in our securities involves certain risks. See “Risk Factors” beginning on page S-6 of this prospectus</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 and the risk factors set forth in our Annual Report on Form 10-K for the year ended December 31,</w:t>
            </w:r>
          </w:p>
        </w:tc>
      </w:tr>
      <w:tr>
        <w:trPr>
          <w:trHeight w:val="216"/>
        </w:trPr>
        <w:tc>
          <w:tcPr>
            <w:tcW w:w="300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 and any subsequently filed Quarterly Reports on Form 10-Q, which are incorporated by reference into</w:t>
            </w:r>
          </w:p>
        </w:tc>
      </w:tr>
      <w:tr>
        <w:trPr>
          <w:trHeight w:val="234"/>
        </w:trPr>
        <w:tc>
          <w:tcPr>
            <w:tcW w:w="30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this prospectus supplement.</w:t>
            </w:r>
          </w:p>
        </w:tc>
      </w:tr>
      <w:tr>
        <w:trPr>
          <w:trHeight w:val="410"/>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“RCEL”</w:t>
            </w:r>
          </w:p>
        </w:tc>
      </w:tr>
      <w:tr>
        <w:trPr>
          <w:trHeight w:val="238"/>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 for Common Stock</w:t>
            </w:r>
          </w:p>
        </w:tc>
        <w:tc>
          <w:tcPr>
            <w:tcW w:w="8240" w:type="dxa"/>
            <w:vAlign w:val="bottom"/>
          </w:tcPr>
          <w:p>
            <w:pPr>
              <w:spacing w:after="0"/>
              <w:rPr>
                <w:sz w:val="20"/>
                <w:szCs w:val="20"/>
                <w:color w:val="auto"/>
              </w:rPr>
            </w:pPr>
          </w:p>
        </w:tc>
      </w:tr>
      <w:tr>
        <w:trPr>
          <w:trHeight w:val="410"/>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Australian Securities Exchange</w:t>
            </w:r>
          </w:p>
        </w:tc>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“AVH”</w:t>
            </w:r>
          </w:p>
        </w:tc>
      </w:tr>
      <w:tr>
        <w:trPr>
          <w:trHeight w:val="238"/>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 for CDIs</w:t>
            </w:r>
          </w:p>
        </w:tc>
        <w:tc>
          <w:tcPr>
            <w:tcW w:w="8240" w:type="dxa"/>
            <w:vAlign w:val="bottom"/>
          </w:tcPr>
          <w:p>
            <w:pPr>
              <w:spacing w:after="0"/>
              <w:rPr>
                <w:sz w:val="20"/>
                <w:szCs w:val="20"/>
                <w:color w:val="auto"/>
              </w:rPr>
            </w:pPr>
          </w:p>
        </w:tc>
      </w:tr>
      <w:tr>
        <w:trPr>
          <w:trHeight w:val="945"/>
        </w:trPr>
        <w:tc>
          <w:tcPr>
            <w:tcW w:w="300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S-5</w:t>
            </w:r>
          </w:p>
        </w:tc>
      </w:tr>
      <w:tr>
        <w:trPr>
          <w:trHeight w:val="777"/>
        </w:trPr>
        <w:tc>
          <w:tcPr>
            <w:tcW w:w="300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risk factors, as well as the risk factors set forth in our Annual Report on Form 10-K for the year ended December 31, 2024, as updated by our subsequent filings under the Securities Exchange Act of 1934, as amended, which are incorporated by reference into this prospectus supplement and the accompanying prospectus, before you make an investment decision. Additional risks we are not presently aware of or that we currently believe are immaterial may also impair our business operations. If any of the following events actually occur, our business, operating results, prospects or financial condition could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Relating to this Offering</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are subject to a number of restrictive covenants relating to our indebtedness, which may restrict our business and financing activities.</w:t>
      </w:r>
    </w:p>
    <w:p>
      <w:pPr>
        <w:spacing w:after="0" w:line="15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Pursuant to the Credit Agreement, we incurred $40.0 million of indebtedness secured by substantially all of our assets. This level of debt could have significant consequences on future operations, including increasing our vulnerability to adverse economic and industry conditions and limiting our flexibility in planning for, or reacting to, changes in our business and the markets in which we compete.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interest depends on our future performance, which is subject to interest rate risk, as well as economic, financial, competitive, and other factors beyond our control. We are exposed to risks related to a potential rising interest rate environment for the debt, which could cause our borrowing costs to rise and impact our liquidity. Our business may not generate cash flow from operations in the future sufficient to service our debt in cash while simultaneously making necessary capital expenditures. In addition, if the Company’s net revenue does not equal or exceed a certain amount for upcoming fiscal periods as set forth in the Credit Agreement, then the Company will be required to repay 5% of the outstanding principal amount of its indebtedness (along with interest accrued on that principal amount if not already paid) in equal quarterly installments, in addition to paying both a repayment fee and a prepayment fee with each quarterly installment.</w:t>
      </w:r>
    </w:p>
    <w:p>
      <w:pPr>
        <w:spacing w:after="0" w:line="18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flow to satisfy payment obligations under the Credit Agreement, we may be required to adopt one or more alternatives, such as obtaining additional equity capital on terms that may be onerous or highly dilutive. We may not be able to engage in any of these activities, or such activities may only be available to the Company on undesirable terms, which could result in a default on our debt obligations.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restrictions and covenants in the Credit Agreement may also prevent us from taking actions that we believe would be in the best interests of our business, and may make it difficult for us to successfully execute our business strategy or effectively compete with companies that are not similarly restricted. Our ability to comply with these covenants in future periods will largely depend on the success of our products, and our ability to successfully implement our overall business strategy. The Company has previously entered into waivers and amendments to the Credit Agreement with OrbiMed in relation to its ability to maintain compliance with the financial covenants contained therein. We may be unsuccessful in obtaining other waivers or amendments to restrictions and covenants in certain agreements with our customers or counterparties. If the Company were unable to obtain any such necessary additional amendments or waivers in the future, this could lead to an event of default and its lenders could require the Company to repay its outstanding debt. Any breach by the Company of covenants and restrictions in such agreements could result in a default under the Credit Agreement, which could result in an acceleration of the repayment of our indebtedness.</w:t>
      </w:r>
    </w:p>
    <w:p>
      <w:pPr>
        <w:spacing w:after="0" w:line="1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CDIs may be volatile and may be affected by variability in our performance from period to period and economic conditions beyond management’s control.</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sectors have often experienced fluctuations that have been unrelated or disproportionate to their operating results.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340"/>
        <w:spacing w:after="0" w:line="282" w:lineRule="auto"/>
        <w:rPr>
          <w:sz w:val="20"/>
          <w:szCs w:val="20"/>
          <w:color w:val="auto"/>
        </w:rPr>
      </w:pPr>
      <w:r>
        <w:rPr>
          <w:rFonts w:ascii="Times New Roman" w:cs="Times New Roman" w:eastAsia="Times New Roman" w:hAnsi="Times New Roman"/>
          <w:sz w:val="18"/>
          <w:szCs w:val="18"/>
          <w:color w:val="auto"/>
        </w:rPr>
        <w:t>Some specific factors that could negatively affect the price of our common stock and CDIs or result in fluctuations in their price and trading volume include:</w:t>
      </w:r>
    </w:p>
    <w:p>
      <w:pPr>
        <w:spacing w:after="0" w:line="270"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fluctuations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our growth rates or our competitors’ growth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one or more patients experiencing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analysts about us or our competitors in the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by us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 including stockholder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or audits by regulators into the operations of our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initiated by our competitors or clients;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the common stock or CDIs by us, our directors, executive management team or our stockholders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or other market manipulation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medical device stocks;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additional capital, limiting 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prices for our product or for our raw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for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and regulations affecting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financial markets in general or changes in general economic conditions.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5" w:right="559"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Shares are being issued to affiliates of OrbiMed in consideration of the Fifth Amendment to the Company’s Credit Agreement and consequently, we will not receive any proceeds from the issuance of the Shares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95" w:right="5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w:t>
      </w:r>
    </w:p>
    <w:p>
      <w:pPr>
        <w:spacing w:after="0" w:line="22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Company is entering into a Fifth Amendment (the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to the Credit Agreement (as amended from time to time, including by the Fifth Amendment,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by and among the Company, as borrower, and ORCO IV LLC and ORBIMED ROYALTY &amp; CREDIT OPPORTUNITIES IV OFFSHORE, LP, as Lenders, and ORCO IV LLC, as administrative agent for the Lenders, each an affiliate of OrbiMed Advisors, LLC (“</w:t>
      </w:r>
      <w:r>
        <w:rPr>
          <w:rFonts w:ascii="Times New Roman" w:cs="Times New Roman" w:eastAsia="Times New Roman" w:hAnsi="Times New Roman"/>
          <w:sz w:val="18"/>
          <w:szCs w:val="18"/>
          <w:b w:val="1"/>
          <w:bCs w:val="1"/>
          <w:color w:val="auto"/>
        </w:rPr>
        <w:t>OrbiMed</w:t>
      </w:r>
      <w:r>
        <w:rPr>
          <w:rFonts w:ascii="Times New Roman" w:cs="Times New Roman" w:eastAsia="Times New Roman" w:hAnsi="Times New Roman"/>
          <w:sz w:val="18"/>
          <w:szCs w:val="18"/>
          <w:color w:val="auto"/>
        </w:rPr>
        <w:t>”). The Shares are being issued to affiliates of OrbiMed as consideration for entering into the Fifth Amendment and for certain services performed in connection therewith. The Fifth Amendment contains limited representations and warranties customary for transactions of this type. These representations and warranties were made solely for purposes of the Fifth Amendment and should not be relied upon by any other of our investors, nor should any investor rely upon any descriptions thereof as characterizations of the actual state of facts or condition. Our stockholders are not third party beneficiaries under the Credit Agreement or the Fifth Amendment.</w:t>
      </w:r>
    </w:p>
    <w:p>
      <w:pPr>
        <w:spacing w:after="0" w:line="18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offer of the Shares under the Credit Agreement is registered pursuant to our shelf registration statement on Form S-3 (File Number 333-271276) to which this prospectus supplement relates.</w:t>
      </w:r>
    </w:p>
    <w:p>
      <w:pPr>
        <w:spacing w:after="0" w:line="16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foregoing description of the Fifth Amendment and the Credit Agreement is only a summary, does not purport to be complete and is qualified in its entirety by reference to (i) the Credit Agreement, a copy of which was attached as Exhibit 10.1 to our Current Report on Form 8-K filed with the SEC on October 18, 2023; (ii) the Waiver and First Amendment to the Credit Agreement, a copy of which was attached as Exhibit 10.34 to our Annual Report on Form 10-K for the fiscal year ended December 31, 2023, which was filed with the SEC on February 22, 2024; (iii) the Second Amendment to the Credit Agreement, a copy of which was attached as Exhibit 10.48 to our Annual Report on Form 10-K for the fiscal year ended December 31, 2024, which was filed with the SEC on February 13, 2025; (iv) the Third Amendment to the Credit Agreement, a copy of which was attached as Exhibit 10.49 to our Annual Report on Form 10-K for the fiscal year ended December 31, 2024, which was filed with the SEC on February 13, 2025; (v) the Fourth Amendment to the Credit Agreement, a copy of which was attached as Exhibit 10.1 to our Current Report on Form 8-K filed with the SEC on February 13, 2025; (vi) a Waiver to the Credit Agreement, a copy of which was attached as Exhibit 10.4 to our Quarterly Report on Form 10-Q filed with the SEC on May 8, 2025;</w:t>
      </w:r>
    </w:p>
    <w:p>
      <w:pPr>
        <w:spacing w:after="0" w:line="6" w:lineRule="exact"/>
        <w:rPr>
          <w:sz w:val="20"/>
          <w:szCs w:val="20"/>
          <w:color w:val="auto"/>
        </w:rPr>
      </w:pPr>
    </w:p>
    <w:p>
      <w:pPr>
        <w:ind w:right="40" w:firstLine="8"/>
        <w:spacing w:after="0" w:line="260" w:lineRule="auto"/>
        <w:tabs>
          <w:tab w:leader="none" w:pos="3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Waiver to the Credit Agreement, a copy of which was attached to our Quarterly Report on Form 10-Q filed with the SEC on August 7, 2025; and (viii) the Fifth Amendment, a copy of which was attached as Exhibit 10.1 to our Current Report on Form 8-K filed with the SEC on August 7, 2025.</w:t>
      </w:r>
    </w:p>
    <w:p>
      <w:pPr>
        <w:spacing w:after="0" w:line="18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distributed to OrbiMed and its affiliates in connection with our offer and sale of the securities to such investors. We currently anticipate that closing of the sale of the Shares pursuant to this prospectus supplement will take place on or about August 7, 2025, subject to certain closing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ASX Listing Rules</w:t>
      </w:r>
    </w:p>
    <w:p>
      <w:pPr>
        <w:spacing w:after="0" w:line="22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ASX Listing Rules may impose limits on the number of shares that we can issue without shareholder approval. In particular, Listing Rule 7.1 provides that a company may not, without prior shareholder approval, issue, or agree to issue, an amount of equity securities in any twelve-month period exceeding 15% of the number of shares outstanding at the commencement of that 12-month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Transfer Agent</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LLC and trades under the symbol “RCEL.” The transfer agent of our common stock is Computershare Trust Company, N.A. Our CDIs are listed on the ASX under the symbol “AVH” with five CDIs being equivalent to one share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K&amp;L Gates LLP, Charlotte, North Carolina.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we filed with the SEC under the Securities Act. This prospectus supplement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we are subject to the information and reporting requirements of the Exchange Act, we file annual, quarterly and special reports, proxy statements and other information with the SEC. Our SEC filings are available to the public over the Internet at the SEC’s website at www.sec.gov.</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www.avitamedical.com. The information set forth on, or accessible through, our website is not part of this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supplement, and later information that we file with the SEC automatically updates and supersedes this information. We incorporate by reference the documents listed below, except to the extent information in those documents is different from the information contained in this prospectus supplement, and all future documents filed with the SEC under Sections 13(a), 13(c), 14, or 15(d) of the Exchange Act until we terminate the offering of these securities (unless otherwise noted, the SEC file number for each of the documents listed below is 001-39059):</w:t>
      </w:r>
    </w:p>
    <w:p>
      <w:pPr>
        <w:spacing w:after="0" w:line="18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3">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13, 2025;</w:t>
      </w:r>
    </w:p>
    <w:p>
      <w:pPr>
        <w:spacing w:after="0" w:line="27"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 ended </w:t>
      </w:r>
      <w:hyperlink r:id="rId24">
        <w:r>
          <w:rPr>
            <w:rFonts w:ascii="Times New Roman" w:cs="Times New Roman" w:eastAsia="Times New Roman" w:hAnsi="Times New Roman"/>
            <w:sz w:val="18"/>
            <w:szCs w:val="18"/>
            <w:u w:val="single" w:color="auto"/>
            <w:color w:val="0000FF"/>
          </w:rPr>
          <w:t>March 31, 2025</w:t>
        </w:r>
      </w:hyperlink>
      <w:r>
        <w:rPr>
          <w:rFonts w:ascii="Times New Roman" w:cs="Times New Roman" w:eastAsia="Times New Roman" w:hAnsi="Times New Roman"/>
          <w:sz w:val="18"/>
          <w:szCs w:val="18"/>
          <w:color w:val="auto"/>
        </w:rPr>
        <w:t xml:space="preserve">, filed with the SEC on May 8, 2025 and for the quarterly period ended </w:t>
      </w:r>
      <w:hyperlink r:id="rId25">
        <w:r>
          <w:rPr>
            <w:rFonts w:ascii="Times New Roman" w:cs="Times New Roman" w:eastAsia="Times New Roman" w:hAnsi="Times New Roman"/>
            <w:sz w:val="18"/>
            <w:szCs w:val="18"/>
            <w:u w:val="single" w:color="auto"/>
            <w:color w:val="0000FF"/>
          </w:rPr>
          <w:t>June 30, 2025</w:t>
        </w:r>
      </w:hyperlink>
      <w:r>
        <w:rPr>
          <w:rFonts w:ascii="Times New Roman" w:cs="Times New Roman" w:eastAsia="Times New Roman" w:hAnsi="Times New Roman"/>
          <w:sz w:val="18"/>
          <w:szCs w:val="18"/>
          <w:color w:val="auto"/>
        </w:rPr>
        <w:t>, filed with the SEC on August 7, 2025;</w:t>
      </w:r>
    </w:p>
    <w:p>
      <w:pPr>
        <w:ind w:left="1020" w:right="18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6">
        <w:r>
          <w:rPr>
            <w:rFonts w:ascii="Times New Roman" w:cs="Times New Roman" w:eastAsia="Times New Roman" w:hAnsi="Times New Roman"/>
            <w:sz w:val="18"/>
            <w:szCs w:val="18"/>
            <w:u w:val="single" w:color="auto"/>
            <w:color w:val="0000FF"/>
          </w:rPr>
          <w:t>February 13, 2025</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FF"/>
          </w:rPr>
          <w:t>March 17, 2025</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FF"/>
          </w:rPr>
          <w:t>May 15, 2025</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FF"/>
          </w:rPr>
          <w:t>June 5, 2025</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FF"/>
          </w:rPr>
          <w:t>August 6, 2025</w:t>
        </w:r>
      </w:hyperlink>
      <w:r>
        <w:rPr>
          <w:rFonts w:ascii="Times New Roman" w:cs="Times New Roman" w:eastAsia="Times New Roman" w:hAnsi="Times New Roman"/>
          <w:sz w:val="18"/>
          <w:szCs w:val="18"/>
          <w:color w:val="auto"/>
        </w:rPr>
        <w:t xml:space="preserve">, and </w:t>
      </w:r>
      <w:hyperlink r:id="rId31">
        <w:r>
          <w:rPr>
            <w:rFonts w:ascii="Times New Roman" w:cs="Times New Roman" w:eastAsia="Times New Roman" w:hAnsi="Times New Roman"/>
            <w:sz w:val="18"/>
            <w:szCs w:val="18"/>
            <w:u w:val="single" w:color="auto"/>
            <w:color w:val="0000FF"/>
          </w:rPr>
          <w:t>August 7, 2025</w:t>
        </w:r>
      </w:hyperlink>
      <w:r>
        <w:rPr>
          <w:rFonts w:ascii="Times New Roman" w:cs="Times New Roman" w:eastAsia="Times New Roman" w:hAnsi="Times New Roman"/>
          <w:sz w:val="18"/>
          <w:szCs w:val="18"/>
          <w:color w:val="auto"/>
        </w:rPr>
        <w:t>;</w:t>
      </w:r>
    </w:p>
    <w:p>
      <w:pPr>
        <w:ind w:left="1020" w:right="18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our capital stock contained in </w:t>
      </w:r>
      <w:hyperlink r:id="rId32">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21, 2022 filed with the SEC on February 23, 2023, including any amendment or reports filed for the purpose of updating this description; and</w:t>
      </w:r>
    </w:p>
    <w:p>
      <w:pPr>
        <w:ind w:left="10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or 15(d) of the Exchange Act prior to the termination of this offering (other than information furnished under Item 2.02 or Item 7.01 of any Form 8-K which information is not deemed filed under the Exchange Act).</w:t>
      </w:r>
    </w:p>
    <w:p>
      <w:pPr>
        <w:spacing w:after="0" w:line="186" w:lineRule="exact"/>
        <w:rPr>
          <w:rFonts w:ascii="Times New Roman" w:cs="Times New Roman" w:eastAsia="Times New Roman" w:hAnsi="Times New Roman"/>
          <w:sz w:val="18"/>
          <w:szCs w:val="18"/>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may request and obtain a copy of any or all of the documents that are incorporated by reference into this prospectus supplement but not delivered with the prospectus supplement, including exhibits that are specifically incorporated by reference into such documents, at no cost, by writing or telephoning us at the following address or phone number:</w:t>
      </w:r>
    </w:p>
    <w:p>
      <w:pPr>
        <w:spacing w:after="0" w:line="176" w:lineRule="exact"/>
        <w:rPr>
          <w:rFonts w:ascii="Times New Roman" w:cs="Times New Roman" w:eastAsia="Times New Roman" w:hAnsi="Times New Roman"/>
          <w:sz w:val="18"/>
          <w:szCs w:val="18"/>
          <w:color w:val="auto"/>
        </w:rPr>
      </w:pPr>
    </w:p>
    <w:p>
      <w:pPr>
        <w:ind w:left="48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7" w:lineRule="exact"/>
        <w:rPr>
          <w:rFonts w:ascii="Times New Roman" w:cs="Times New Roman" w:eastAsia="Times New Roman" w:hAnsi="Times New Roman"/>
          <w:sz w:val="18"/>
          <w:szCs w:val="18"/>
          <w:color w:val="auto"/>
        </w:rPr>
      </w:pPr>
    </w:p>
    <w:p>
      <w:pPr>
        <w:ind w:left="4740"/>
        <w:spacing w:after="0"/>
        <w:rPr>
          <w:sz w:val="20"/>
          <w:szCs w:val="20"/>
          <w:color w:val="auto"/>
        </w:rPr>
      </w:pPr>
      <w:r>
        <w:rPr>
          <w:rFonts w:ascii="Times New Roman" w:cs="Times New Roman" w:eastAsia="Times New Roman" w:hAnsi="Times New Roman"/>
          <w:sz w:val="18"/>
          <w:szCs w:val="18"/>
          <w:color w:val="auto"/>
        </w:rPr>
        <w:t>28159 Avenue Stanford</w:t>
      </w:r>
    </w:p>
    <w:p>
      <w:pPr>
        <w:spacing w:after="0" w:line="9" w:lineRule="exact"/>
        <w:rPr>
          <w:rFonts w:ascii="Times New Roman" w:cs="Times New Roman" w:eastAsia="Times New Roman" w:hAnsi="Times New Roman"/>
          <w:sz w:val="18"/>
          <w:szCs w:val="18"/>
          <w:color w:val="auto"/>
        </w:rPr>
      </w:pPr>
    </w:p>
    <w:p>
      <w:pPr>
        <w:ind w:left="5260"/>
        <w:spacing w:after="0"/>
        <w:rPr>
          <w:sz w:val="20"/>
          <w:szCs w:val="20"/>
          <w:color w:val="auto"/>
        </w:rPr>
      </w:pPr>
      <w:r>
        <w:rPr>
          <w:rFonts w:ascii="Times New Roman" w:cs="Times New Roman" w:eastAsia="Times New Roman" w:hAnsi="Times New Roman"/>
          <w:sz w:val="18"/>
          <w:szCs w:val="18"/>
          <w:color w:val="auto"/>
        </w:rPr>
        <w:t>Suite 220</w:t>
      </w:r>
    </w:p>
    <w:p>
      <w:pPr>
        <w:spacing w:after="0" w:line="9" w:lineRule="exact"/>
        <w:rPr>
          <w:rFonts w:ascii="Times New Roman" w:cs="Times New Roman" w:eastAsia="Times New Roman" w:hAnsi="Times New Roman"/>
          <w:sz w:val="18"/>
          <w:szCs w:val="18"/>
          <w:color w:val="auto"/>
        </w:rPr>
      </w:pPr>
    </w:p>
    <w:p>
      <w:pPr>
        <w:ind w:left="4860"/>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9" w:lineRule="exact"/>
        <w:rPr>
          <w:rFonts w:ascii="Times New Roman" w:cs="Times New Roman" w:eastAsia="Times New Roman" w:hAnsi="Times New Roman"/>
          <w:sz w:val="18"/>
          <w:szCs w:val="18"/>
          <w:color w:val="auto"/>
        </w:rPr>
      </w:pPr>
    </w:p>
    <w:p>
      <w:pPr>
        <w:ind w:left="5060"/>
        <w:spacing w:after="0"/>
        <w:rPr>
          <w:sz w:val="20"/>
          <w:szCs w:val="20"/>
          <w:color w:val="auto"/>
        </w:rPr>
      </w:pPr>
      <w:r>
        <w:rPr>
          <w:rFonts w:ascii="Times New Roman" w:cs="Times New Roman" w:eastAsia="Times New Roman" w:hAnsi="Times New Roman"/>
          <w:sz w:val="18"/>
          <w:szCs w:val="18"/>
          <w:color w:val="auto"/>
        </w:rPr>
        <w:t>(661) 367-9170</w:t>
      </w:r>
    </w:p>
    <w:p>
      <w:pPr>
        <w:spacing w:after="0" w:line="9" w:lineRule="exact"/>
        <w:rPr>
          <w:rFonts w:ascii="Times New Roman" w:cs="Times New Roman" w:eastAsia="Times New Roman" w:hAnsi="Times New Roman"/>
          <w:sz w:val="18"/>
          <w:szCs w:val="18"/>
          <w:color w:val="auto"/>
        </w:rPr>
      </w:pPr>
    </w:p>
    <w:p>
      <w:pPr>
        <w:ind w:left="2680"/>
        <w:spacing w:after="0"/>
        <w:rPr>
          <w:sz w:val="20"/>
          <w:szCs w:val="20"/>
          <w:color w:val="auto"/>
        </w:rPr>
      </w:pPr>
      <w:r>
        <w:rPr>
          <w:rFonts w:ascii="Times New Roman" w:cs="Times New Roman" w:eastAsia="Times New Roman" w:hAnsi="Times New Roman"/>
          <w:sz w:val="18"/>
          <w:szCs w:val="18"/>
          <w:color w:val="auto"/>
        </w:rPr>
        <w:t>Attn: Nicole Kelsey, Chief Legal and Compliance Officer &amp; Corporate Secretary</w:t>
      </w:r>
    </w:p>
    <w:p>
      <w:pPr>
        <w:spacing w:after="0" w:line="20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AVITA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198755</wp:posOffset>
            </wp:positionV>
            <wp:extent cx="1602740" cy="1920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6027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$200,000,000</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6"/>
          <w:szCs w:val="16"/>
          <w:color w:val="auto"/>
        </w:rPr>
        <w:t>We may offer and sell from time to time our common stock, preferred stock, warrants, and units. We refer to the common stock, preferred stock, and warrants and any related units collectively as the “securities.” The aggregate initial offering price of all securities sold by AVITA Medical, Inc. pursuant to this prospectus and any prospectus supplement will not exceed $200,000,000. The specific terms of any securities we offer will be included in a supplement to this prospectus.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 This prospectus may not be used to offer and sell securities unless accompanied by a prospectus supplement for those securities.</w:t>
      </w:r>
    </w:p>
    <w:p>
      <w:pPr>
        <w:spacing w:after="0" w:line="157"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spacing w:after="0" w:line="145" w:lineRule="exact"/>
        <w:rPr>
          <w:sz w:val="20"/>
          <w:szCs w:val="20"/>
          <w:color w:val="auto"/>
        </w:rPr>
      </w:pPr>
    </w:p>
    <w:p>
      <w:pPr>
        <w:ind w:right="120" w:firstLine="509"/>
        <w:spacing w:after="0" w:line="298" w:lineRule="auto"/>
        <w:rPr>
          <w:sz w:val="20"/>
          <w:szCs w:val="20"/>
          <w:color w:val="auto"/>
        </w:rPr>
      </w:pPr>
      <w:r>
        <w:rPr>
          <w:rFonts w:ascii="Times New Roman" w:cs="Times New Roman" w:eastAsia="Times New Roman" w:hAnsi="Times New Roman"/>
          <w:sz w:val="16"/>
          <w:szCs w:val="16"/>
          <w:color w:val="auto"/>
        </w:rPr>
        <w:t>Our common stock trades on The Nasdaq Stock Market LLC under the symbol “RCEL.” On Apri1 12, 2023, the last reported sale price for our common stock was $15.81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138430</wp:posOffset>
            </wp:positionV>
            <wp:extent cx="142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b w:val="1"/>
          <w:bCs w:val="1"/>
          <w:color w:val="auto"/>
        </w:rPr>
        <w:t>See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beginning on page 3 of this prospectus, together with risk factors contained in any applicable prospectus supplement, for factors you should consider before buying any of our securities.</w:t>
      </w:r>
    </w:p>
    <w:p>
      <w:pPr>
        <w:spacing w:after="0" w:line="133" w:lineRule="exact"/>
        <w:rPr>
          <w:sz w:val="20"/>
          <w:szCs w:val="20"/>
          <w:color w:val="auto"/>
        </w:rPr>
      </w:pPr>
    </w:p>
    <w:p>
      <w:pPr>
        <w:ind w:right="3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U.S.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date of this Prospectus is April 25, 2023.</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1"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80" w:type="dxa"/>
            <w:vAlign w:val="bottom"/>
            <w:gridSpan w:val="2"/>
          </w:tcPr>
          <w:p>
            <w:pPr>
              <w:jc w:val="right"/>
              <w:ind w:right="5119"/>
              <w:spacing w:after="0"/>
              <w:rPr>
                <w:sz w:val="20"/>
                <w:szCs w:val="20"/>
                <w:color w:val="auto"/>
              </w:rPr>
            </w:pPr>
            <w:r>
              <w:rPr>
                <w:rFonts w:ascii="Times New Roman" w:cs="Times New Roman" w:eastAsia="Times New Roman" w:hAnsi="Times New Roman"/>
                <w:sz w:val="16"/>
                <w:szCs w:val="16"/>
                <w:b w:val="1"/>
                <w:bCs w:val="1"/>
                <w:color w:val="auto"/>
              </w:rPr>
              <w:t>TABLE OF</w:t>
            </w: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gridSpan w:val="2"/>
          </w:tcPr>
          <w:p>
            <w:pPr>
              <w:jc w:val="right"/>
              <w:ind w:right="5059"/>
              <w:spacing w:after="0"/>
              <w:rPr>
                <w:sz w:val="20"/>
                <w:szCs w:val="20"/>
                <w:color w:val="auto"/>
              </w:rPr>
            </w:pPr>
            <w:r>
              <w:rPr>
                <w:rFonts w:ascii="Times New Roman" w:cs="Times New Roman" w:eastAsia="Times New Roman" w:hAnsi="Times New Roman"/>
                <w:sz w:val="16"/>
                <w:szCs w:val="16"/>
                <w:b w:val="1"/>
                <w:bCs w:val="1"/>
                <w:color w:val="auto"/>
              </w:rPr>
              <w:t>CONTENTS</w:t>
            </w: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33"/>
        </w:trPr>
        <w:tc>
          <w:tcPr>
            <w:tcW w:w="202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color w:val="0000FF"/>
              </w:rPr>
              <w:t>ABOUT THIS PROSPECTUS</w:t>
            </w:r>
          </w:p>
        </w:tc>
        <w:tc>
          <w:tcPr>
            <w:tcW w:w="2740" w:type="dxa"/>
            <w:vAlign w:val="bottom"/>
            <w:gridSpan w:val="7"/>
            <w:vMerge w:val="restart"/>
          </w:tcPr>
          <w:p>
            <w:pPr>
              <w:spacing w:after="0"/>
              <w:rPr>
                <w:sz w:val="2"/>
                <w:szCs w:val="2"/>
                <w:color w:val="auto"/>
              </w:rPr>
            </w:pPr>
          </w:p>
        </w:tc>
        <w:tc>
          <w:tcPr>
            <w:tcW w:w="570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20" w:type="dxa"/>
            <w:vAlign w:val="bottom"/>
            <w:tcBorders>
              <w:bottom w:val="single" w:sz="8" w:color="0000FF"/>
            </w:tcBorders>
            <w:gridSpan w:val="11"/>
            <w:vMerge w:val="continue"/>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FORWARD-LOOKING STATEMENTS</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3"/>
        </w:trPr>
        <w:tc>
          <w:tcPr>
            <w:tcW w:w="2700" w:type="dxa"/>
            <w:vAlign w:val="bottom"/>
            <w:tcBorders>
              <w:top w:val="single" w:sz="8" w:color="0000FF"/>
            </w:tcBorders>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2060" w:type="dxa"/>
            <w:vAlign w:val="bottom"/>
            <w:gridSpan w:val="3"/>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USE OF PROCEEDS</w:t>
            </w:r>
          </w:p>
        </w:tc>
        <w:tc>
          <w:tcPr>
            <w:tcW w:w="3320" w:type="dxa"/>
            <w:vAlign w:val="bottom"/>
            <w:gridSpan w:val="11"/>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DESCRIPTION OF COMMON STOCK WE MAY OFFER</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3"/>
        </w:trPr>
        <w:tc>
          <w:tcPr>
            <w:tcW w:w="104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Common Stock</w:t>
            </w:r>
          </w:p>
        </w:tc>
        <w:tc>
          <w:tcPr>
            <w:tcW w:w="2880" w:type="dxa"/>
            <w:vAlign w:val="bottom"/>
            <w:tcBorders>
              <w:top w:val="single" w:sz="8" w:color="0000FF"/>
            </w:tcBorders>
            <w:gridSpan w:val="14"/>
          </w:tcPr>
          <w:p>
            <w:pPr>
              <w:spacing w:after="0"/>
              <w:rPr>
                <w:sz w:val="15"/>
                <w:szCs w:val="15"/>
                <w:color w:val="auto"/>
              </w:rPr>
            </w:pPr>
          </w:p>
        </w:tc>
        <w:tc>
          <w:tcPr>
            <w:tcW w:w="840" w:type="dxa"/>
            <w:vAlign w:val="bottom"/>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Preferred Stock</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Limitation of Liability; Indemnification</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3"/>
        </w:trPr>
        <w:tc>
          <w:tcPr>
            <w:tcW w:w="2580" w:type="dxa"/>
            <w:vAlign w:val="bottom"/>
            <w:tcBorders>
              <w:top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Securities Exchange Listings</w:t>
            </w:r>
          </w:p>
        </w:tc>
        <w:tc>
          <w:tcPr>
            <w:tcW w:w="2180" w:type="dxa"/>
            <w:vAlign w:val="bottom"/>
            <w:gridSpan w:val="4"/>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Transfer Agent and Registrar</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tcBorders>
              <w:bottom w:val="single" w:sz="8" w:color="0000FF"/>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DESCRIPTION OF WARRANTS</w:t>
            </w:r>
          </w:p>
        </w:tc>
        <w:tc>
          <w:tcPr>
            <w:tcW w:w="2500" w:type="dxa"/>
            <w:vAlign w:val="bottom"/>
            <w:gridSpan w:val="6"/>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3"/>
        </w:trPr>
        <w:tc>
          <w:tcPr>
            <w:tcW w:w="1380" w:type="dxa"/>
            <w:vAlign w:val="bottom"/>
            <w:tcBorders>
              <w:bottom w:val="single" w:sz="8" w:color="0000FF"/>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FF"/>
              </w:rPr>
              <w:t>Exercise of Warrants</w:t>
            </w:r>
          </w:p>
        </w:tc>
        <w:tc>
          <w:tcPr>
            <w:tcW w:w="3380" w:type="dxa"/>
            <w:vAlign w:val="bottom"/>
            <w:gridSpan w:val="12"/>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3"/>
        </w:trPr>
        <w:tc>
          <w:tcPr>
            <w:tcW w:w="102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FF"/>
              </w:rPr>
              <w:t>Modifications</w:t>
            </w:r>
          </w:p>
        </w:tc>
        <w:tc>
          <w:tcPr>
            <w:tcW w:w="3740" w:type="dxa"/>
            <w:vAlign w:val="bottom"/>
            <w:gridSpan w:val="16"/>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Enforceability of Rights</w:t>
            </w:r>
          </w:p>
        </w:tc>
        <w:tc>
          <w:tcPr>
            <w:tcW w:w="3140" w:type="dxa"/>
            <w:vAlign w:val="bottom"/>
            <w:gridSpan w:val="10"/>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3"/>
        </w:trPr>
        <w:tc>
          <w:tcPr>
            <w:tcW w:w="4760" w:type="dxa"/>
            <w:vAlign w:val="bottom"/>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DESCRIPTION OF UNITS</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Borders>
              <w:bottom w:val="single" w:sz="8" w:color="0000FF"/>
            </w:tcBorders>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CHESS DEPOSITARY INTERESTS</w:t>
            </w:r>
          </w:p>
        </w:tc>
        <w:tc>
          <w:tcPr>
            <w:tcW w:w="2300" w:type="dxa"/>
            <w:vAlign w:val="bottom"/>
            <w:gridSpan w:val="5"/>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3"/>
        </w:trPr>
        <w:tc>
          <w:tcPr>
            <w:tcW w:w="1880" w:type="dxa"/>
            <w:vAlign w:val="bottom"/>
            <w:tcBorders>
              <w:bottom w:val="single" w:sz="8" w:color="0000FF"/>
            </w:tcBorders>
            <w:gridSpan w:val="10"/>
          </w:tcPr>
          <w:p>
            <w:pPr>
              <w:spacing w:after="0" w:line="183" w:lineRule="exact"/>
              <w:rPr>
                <w:sz w:val="20"/>
                <w:szCs w:val="20"/>
                <w:color w:val="auto"/>
              </w:rPr>
            </w:pPr>
            <w:r>
              <w:rPr>
                <w:rFonts w:ascii="Times New Roman" w:cs="Times New Roman" w:eastAsia="Times New Roman" w:hAnsi="Times New Roman"/>
                <w:sz w:val="16"/>
                <w:szCs w:val="16"/>
                <w:color w:val="0000FF"/>
              </w:rPr>
              <w:t>PLAN OF DISTRIBUTION</w:t>
            </w:r>
          </w:p>
        </w:tc>
        <w:tc>
          <w:tcPr>
            <w:tcW w:w="2880" w:type="dxa"/>
            <w:vAlign w:val="bottom"/>
            <w:gridSpan w:val="8"/>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3"/>
        </w:trPr>
        <w:tc>
          <w:tcPr>
            <w:tcW w:w="134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LEGAL MATTERS</w:t>
            </w:r>
          </w:p>
        </w:tc>
        <w:tc>
          <w:tcPr>
            <w:tcW w:w="3420" w:type="dxa"/>
            <w:vAlign w:val="bottom"/>
            <w:gridSpan w:val="13"/>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3"/>
        </w:trPr>
        <w:tc>
          <w:tcPr>
            <w:tcW w:w="7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EXPERTS</w:t>
            </w:r>
          </w:p>
        </w:tc>
        <w:tc>
          <w:tcPr>
            <w:tcW w:w="4000" w:type="dxa"/>
            <w:vAlign w:val="bottom"/>
            <w:gridSpan w:val="17"/>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0000FF"/>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WHERE YOU CAN FIND MORE INFORMATION</w:t>
            </w:r>
          </w:p>
        </w:tc>
        <w:tc>
          <w:tcPr>
            <w:tcW w:w="1300" w:type="dxa"/>
            <w:vAlign w:val="bottom"/>
            <w:gridSpan w:val="2"/>
          </w:tcPr>
          <w:p>
            <w:pPr>
              <w:spacing w:after="0"/>
              <w:rPr>
                <w:sz w:val="15"/>
                <w:szCs w:val="15"/>
                <w:color w:val="auto"/>
              </w:rPr>
            </w:pP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3"/>
        </w:trPr>
        <w:tc>
          <w:tcPr>
            <w:tcW w:w="4760" w:type="dxa"/>
            <w:vAlign w:val="bottom"/>
            <w:tcBorders>
              <w:bottom w:val="single" w:sz="8" w:color="0000FF"/>
            </w:tcBorders>
            <w:gridSpan w:val="18"/>
          </w:tcPr>
          <w:p>
            <w:pPr>
              <w:spacing w:after="0" w:line="183" w:lineRule="exact"/>
              <w:rPr>
                <w:sz w:val="20"/>
                <w:szCs w:val="20"/>
                <w:color w:val="auto"/>
              </w:rPr>
            </w:pPr>
            <w:r>
              <w:rPr>
                <w:rFonts w:ascii="Times New Roman" w:cs="Times New Roman" w:eastAsia="Times New Roman" w:hAnsi="Times New Roman"/>
                <w:sz w:val="16"/>
                <w:szCs w:val="16"/>
                <w:color w:val="0000FF"/>
              </w:rPr>
              <w:t>INCORPORATION OF CERTAIN INFORMATION BY REFERENCE</w:t>
            </w:r>
          </w:p>
        </w:tc>
        <w:tc>
          <w:tcPr>
            <w:tcW w:w="64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215"/>
        </w:trPr>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10" w:lineRule="exact"/>
        <w:rPr>
          <w:sz w:val="20"/>
          <w:szCs w:val="20"/>
          <w:color w:val="auto"/>
        </w:rPr>
      </w:pPr>
    </w:p>
    <w:p>
      <w:pPr>
        <w:ind w:right="380" w:firstLine="509"/>
        <w:spacing w:after="0" w:line="298" w:lineRule="auto"/>
        <w:rPr>
          <w:sz w:val="20"/>
          <w:szCs w:val="20"/>
          <w:color w:val="auto"/>
        </w:rPr>
      </w:pPr>
      <w:r>
        <w:rPr>
          <w:rFonts w:ascii="Times New Roman" w:cs="Times New Roman" w:eastAsia="Times New Roman" w:hAnsi="Times New Roman"/>
          <w:sz w:val="16"/>
          <w:szCs w:val="16"/>
          <w:color w:val="auto"/>
        </w:rPr>
        <w:t>Unless the context requires otherwise or unless otherwise noted, all references in this prospectus or any prospectus supplement to “AVITA Medical” and to the “Company,” “we,” “us” or “our” are to AVITA Medical, Inc. and its subsidiaries.</w:t>
      </w:r>
    </w:p>
    <w:p>
      <w:pPr>
        <w:spacing w:after="0" w:line="124"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6"/>
          <w:szCs w:val="16"/>
          <w:color w:val="auto"/>
        </w:rPr>
        <w:t>This prospectus is part of a registration statement on Form S-3 that we filed with the U.S. Securities and Exchange Commission, or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Certain Information by Reference” below.</w:t>
      </w:r>
    </w:p>
    <w:p>
      <w:pPr>
        <w:spacing w:after="0" w:line="14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6"/>
          <w:szCs w:val="16"/>
          <w:color w:val="auto"/>
        </w:rPr>
        <w:t>We have not authorized anyone to provide you with different information than that contained or incorporated by reference in this prospectus supplement and any related free writing prospectus filed by us with the SEC.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6"/>
          <w:szCs w:val="16"/>
          <w:color w:val="auto"/>
        </w:rPr>
        <w:t>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365"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December 31, 2022. These documents are available through the SEC’s Electronic Data Gathering and Analysis Retrieval System at http://www.sec.gov.</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208"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6"/>
          <w:szCs w:val="16"/>
          <w:color w:val="auto"/>
        </w:rPr>
        <w:t>AVITA Medical, Inc. and its subsidiaries (including AVITA Medical Pty Limited (“</w:t>
      </w:r>
      <w:r>
        <w:rPr>
          <w:rFonts w:ascii="Times New Roman" w:cs="Times New Roman" w:eastAsia="Times New Roman" w:hAnsi="Times New Roman"/>
          <w:sz w:val="16"/>
          <w:szCs w:val="16"/>
          <w:b w:val="1"/>
          <w:bCs w:val="1"/>
          <w:color w:val="auto"/>
        </w:rPr>
        <w:t>AVITA Australia</w:t>
      </w:r>
      <w:r>
        <w:rPr>
          <w:rFonts w:ascii="Times New Roman" w:cs="Times New Roman" w:eastAsia="Times New Roman" w:hAnsi="Times New Roman"/>
          <w:sz w:val="16"/>
          <w:szCs w:val="16"/>
          <w:color w:val="auto"/>
        </w:rPr>
        <w:t>”) (collectively, “</w:t>
      </w:r>
      <w:r>
        <w:rPr>
          <w:rFonts w:ascii="Times New Roman" w:cs="Times New Roman" w:eastAsia="Times New Roman" w:hAnsi="Times New Roman"/>
          <w:sz w:val="16"/>
          <w:szCs w:val="16"/>
          <w:b w:val="1"/>
          <w:bCs w:val="1"/>
          <w:color w:val="auto"/>
        </w:rPr>
        <w:t>AVITA Medical</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our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 a regenerative medicine company leading the development and commercialization of devices and autologous cellular therapies for skin restoration. Our patented and proprietary RECELL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System (“</w:t>
      </w:r>
      <w:r>
        <w:rPr>
          <w:rFonts w:ascii="Times New Roman" w:cs="Times New Roman" w:eastAsia="Times New Roman" w:hAnsi="Times New Roman"/>
          <w:sz w:val="16"/>
          <w:szCs w:val="16"/>
          <w:b w:val="1"/>
          <w:bCs w:val="1"/>
          <w:color w:val="auto"/>
        </w:rPr>
        <w:t>RECELL System</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RECELL</w:t>
      </w:r>
      <w:r>
        <w:rPr>
          <w:rFonts w:ascii="Times New Roman" w:cs="Times New Roman" w:eastAsia="Times New Roman" w:hAnsi="Times New Roman"/>
          <w:sz w:val="16"/>
          <w:szCs w:val="16"/>
          <w:color w:val="auto"/>
        </w:rPr>
        <w:t>”) technology platform harnesses the regenerative properties of a patient’s own skin to create Spray-On Skin™ Cells, an autologous skin cell suspension that is sprayed onto the patient to regenerate natural healthy skin.</w:t>
      </w:r>
    </w:p>
    <w:p>
      <w:pPr>
        <w:spacing w:after="0" w:line="15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6"/>
          <w:szCs w:val="16"/>
          <w:color w:val="auto"/>
        </w:rPr>
        <w:t>Our principal executive office is located at 28159 Avenue Stanford, Suite 220, Valencia, CA 91355, and our telephone number is (661) 367-9170. Our website address is www.avitamedical.com. The information on, or that can be accessed through, our website is not part of this prospectus and is not incorporated by reference in this prospectus.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w:t>
      </w:r>
    </w:p>
    <w:p>
      <w:pPr>
        <w:spacing w:after="0" w:line="194"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6"/>
          <w:szCs w:val="16"/>
          <w:color w:val="auto"/>
        </w:rPr>
        <w:t>As of the date of this prospectus, we are an “emerging growth company,” as defined in the Jumpstart Our Business Startups Act of 2012 (“</w:t>
      </w:r>
      <w:r>
        <w:rPr>
          <w:rFonts w:ascii="Times New Roman" w:cs="Times New Roman" w:eastAsia="Times New Roman" w:hAnsi="Times New Roman"/>
          <w:sz w:val="16"/>
          <w:szCs w:val="16"/>
          <w:b w:val="1"/>
          <w:bCs w:val="1"/>
          <w:color w:val="auto"/>
        </w:rPr>
        <w:t>JOBS Act</w:t>
      </w:r>
      <w:r>
        <w:rPr>
          <w:rFonts w:ascii="Times New Roman" w:cs="Times New Roman" w:eastAsia="Times New Roman" w:hAnsi="Times New Roman"/>
          <w:sz w:val="16"/>
          <w:szCs w:val="16"/>
          <w:color w:val="auto"/>
        </w:rPr>
        <w: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w:t>
      </w:r>
    </w:p>
    <w:p>
      <w:pPr>
        <w:spacing w:after="0" w:line="151" w:lineRule="exact"/>
        <w:rPr>
          <w:sz w:val="20"/>
          <w:szCs w:val="20"/>
          <w:color w:val="auto"/>
        </w:rPr>
      </w:pPr>
    </w:p>
    <w:p>
      <w:pPr>
        <w:ind w:right="180" w:firstLine="509"/>
        <w:spacing w:after="0" w:line="298"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of (i) the last day of the fiscal year following the fifth anniversary of the date of the first sale of our common stock pursuant to an effective registration statement under the Securities Act which, given the filing of the S-8 Registration</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1" w:right="359" w:bottom="1440" w:gutter="0" w:footer="0" w:header="0"/>
        </w:sectPr>
      </w:pPr>
    </w:p>
    <w:bookmarkStart w:id="14" w:name="page15"/>
    <w:bookmarkEnd w:id="14"/>
    <w:p>
      <w:pPr>
        <w:spacing w:after="0" w:line="281" w:lineRule="auto"/>
        <w:rPr>
          <w:sz w:val="20"/>
          <w:szCs w:val="20"/>
          <w:color w:val="auto"/>
        </w:rPr>
      </w:pPr>
      <w:r>
        <w:rPr>
          <w:rFonts w:ascii="Times New Roman" w:cs="Times New Roman" w:eastAsia="Times New Roman" w:hAnsi="Times New Roman"/>
          <w:sz w:val="16"/>
          <w:szCs w:val="16"/>
          <w:color w:val="auto"/>
        </w:rPr>
        <w:t>Statement on August 27, 2020, will be December 31, 2025, (ii) the last day of the fiscal year in which we have total annual gross revenue of at least $1.235 billion, (iii) the last day of the fiscal year in which we are deemed to be a “large accelerated filer” as defined in Rule 12b-2 under the Exchange Act, or (iv) the date on which we have issued more than $1.0 billion in non-convertible debt securities during the prior three-year period.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10" w:lineRule="exact"/>
        <w:rPr>
          <w:sz w:val="20"/>
          <w:szCs w:val="20"/>
          <w:color w:val="auto"/>
        </w:rPr>
      </w:pPr>
    </w:p>
    <w:p>
      <w:pPr>
        <w:jc w:val="both"/>
        <w:ind w:right="80" w:firstLine="509"/>
        <w:spacing w:after="0" w:line="281" w:lineRule="auto"/>
        <w:rPr>
          <w:sz w:val="20"/>
          <w:szCs w:val="20"/>
          <w:color w:val="auto"/>
        </w:rPr>
      </w:pPr>
      <w:r>
        <w:rPr>
          <w:rFonts w:ascii="Times New Roman" w:cs="Times New Roman" w:eastAsia="Times New Roman" w:hAnsi="Times New Roman"/>
          <w:sz w:val="16"/>
          <w:szCs w:val="16"/>
          <w:color w:val="auto"/>
        </w:rPr>
        <w:t>Investing in our securities involves a high degree of risk. You should carefully consider the risk factors described in our Annual Report on Form 10-K for our most recent fiscal year (together with any material changes thereto contained in subsequently filed Quarterly Reports on Form 10-Q and Current Reports on Form 8-K) and those contained in our other filings with the SEC, which are incorporated by reference in this prospectus and any accompanying prospectus supplement.</w:t>
      </w:r>
    </w:p>
    <w:p>
      <w:pPr>
        <w:spacing w:after="0" w:line="137"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6"/>
          <w:szCs w:val="16"/>
          <w:color w:val="auto"/>
        </w:rPr>
        <w:t>The prospectus supplement applicable to each type or series of securities we offer may contain a discussion of risks applicable to the particular types of securities that we are offering under that prospectus supplement. Prior to making a decision about investing in our securities, you should carefully consider the specific factors discussed under the caption “Risk Factors” in the applicable prospectus supplement, together with all of the other information contained in the prospectus supplement or appearing or incorporated by reference in this prospectus. These risks could materially affect our business, results of operations or financial condition and cause the value of our securities to decline. You could lose all or part of your investment.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96" w:lineRule="exact"/>
        <w:rPr>
          <w:sz w:val="20"/>
          <w:szCs w:val="20"/>
          <w:color w:val="auto"/>
        </w:rPr>
      </w:pPr>
    </w:p>
    <w:p>
      <w:pPr>
        <w:ind w:right="420" w:firstLine="509"/>
        <w:spacing w:after="0" w:line="298" w:lineRule="auto"/>
        <w:rPr>
          <w:sz w:val="20"/>
          <w:szCs w:val="20"/>
          <w:color w:val="auto"/>
        </w:rPr>
      </w:pPr>
      <w:r>
        <w:rPr>
          <w:rFonts w:ascii="Times New Roman" w:cs="Times New Roman" w:eastAsia="Times New Roman" w:hAnsi="Times New Roman"/>
          <w:sz w:val="16"/>
          <w:szCs w:val="16"/>
          <w:color w:val="auto"/>
        </w:rPr>
        <w:t>Unless specified otherwise in the applicable prospectus supplement, we expect to use the net proceeds we receive from the sale of the securities offered by this prospectus for general corporate purposes, which may include, among other things:</w:t>
      </w:r>
    </w:p>
    <w:p>
      <w:pPr>
        <w:spacing w:after="0" w:line="56"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 capital;</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repayment of debt;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and redemptions of securities.</w:t>
      </w:r>
    </w:p>
    <w:p>
      <w:pPr>
        <w:spacing w:after="0" w:line="194" w:lineRule="exact"/>
        <w:rPr>
          <w:sz w:val="20"/>
          <w:szCs w:val="20"/>
          <w:color w:val="auto"/>
        </w:rPr>
      </w:pPr>
    </w:p>
    <w:p>
      <w:pPr>
        <w:ind w:right="60" w:firstLine="509"/>
        <w:spacing w:after="0" w:line="298" w:lineRule="auto"/>
        <w:rPr>
          <w:sz w:val="20"/>
          <w:szCs w:val="20"/>
          <w:color w:val="auto"/>
        </w:rPr>
      </w:pPr>
      <w:r>
        <w:rPr>
          <w:rFonts w:ascii="Times New Roman" w:cs="Times New Roman" w:eastAsia="Times New Roman" w:hAnsi="Times New Roman"/>
          <w:sz w:val="16"/>
          <w:szCs w:val="16"/>
          <w:color w:val="auto"/>
        </w:rPr>
        <w:t>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 term indebtedness.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COMMON STOCK WE MAY OFFER</w:t>
      </w:r>
    </w:p>
    <w:p>
      <w:pPr>
        <w:spacing w:after="0" w:line="196" w:lineRule="exact"/>
        <w:rPr>
          <w:sz w:val="20"/>
          <w:szCs w:val="20"/>
          <w:color w:val="auto"/>
        </w:rPr>
      </w:pPr>
    </w:p>
    <w:p>
      <w:pPr>
        <w:jc w:val="both"/>
        <w:ind w:right="100" w:firstLine="509"/>
        <w:spacing w:after="0" w:line="275" w:lineRule="auto"/>
        <w:rPr>
          <w:sz w:val="20"/>
          <w:szCs w:val="20"/>
          <w:color w:val="auto"/>
        </w:rPr>
      </w:pPr>
      <w:r>
        <w:rPr>
          <w:rFonts w:ascii="Times New Roman" w:cs="Times New Roman" w:eastAsia="Times New Roman" w:hAnsi="Times New Roman"/>
          <w:sz w:val="16"/>
          <w:szCs w:val="16"/>
          <w:color w:val="auto"/>
        </w:rPr>
        <w:t>We are a Delaware corporation. The rights of our stockholders are governed by the Delaware General Corporation Law, or the DGCL, and our amended certificate of incorporation (the “</w:t>
      </w:r>
      <w:r>
        <w:rPr>
          <w:rFonts w:ascii="Times New Roman" w:cs="Times New Roman" w:eastAsia="Times New Roman" w:hAnsi="Times New Roman"/>
          <w:sz w:val="16"/>
          <w:szCs w:val="16"/>
          <w:b w:val="1"/>
          <w:bCs w:val="1"/>
          <w:color w:val="auto"/>
        </w:rPr>
        <w:t>Certificate</w:t>
      </w:r>
      <w:r>
        <w:rPr>
          <w:rFonts w:ascii="Times New Roman" w:cs="Times New Roman" w:eastAsia="Times New Roman" w:hAnsi="Times New Roman"/>
          <w:sz w:val="16"/>
          <w:szCs w:val="16"/>
          <w:color w:val="auto"/>
        </w:rPr>
        <w:t>”) and our amended and restated bylaws (the “</w:t>
      </w:r>
      <w:r>
        <w:rPr>
          <w:rFonts w:ascii="Times New Roman" w:cs="Times New Roman" w:eastAsia="Times New Roman" w:hAnsi="Times New Roman"/>
          <w:sz w:val="16"/>
          <w:szCs w:val="16"/>
          <w:b w:val="1"/>
          <w:bCs w:val="1"/>
          <w:color w:val="auto"/>
        </w:rPr>
        <w:t>Bylaws</w:t>
      </w:r>
      <w:r>
        <w:rPr>
          <w:rFonts w:ascii="Times New Roman" w:cs="Times New Roman" w:eastAsia="Times New Roman" w:hAnsi="Times New Roman"/>
          <w:sz w:val="16"/>
          <w:szCs w:val="16"/>
          <w:color w:val="auto"/>
        </w:rPr>
        <w:t>”).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31"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6"/>
          <w:szCs w:val="16"/>
          <w:color w:val="auto"/>
        </w:rPr>
        <w:t>Our Certificate authorizes the issuance of up to 200,000,000 shares of common stock, $0.0001 par value per share.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31"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31"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6"/>
          <w:szCs w:val="16"/>
          <w:color w:val="auto"/>
        </w:rPr>
        <w:t>Subject to preferences that may be applicable to any then-outstanding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our board of directors. The time and amount of dividends will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5" w:name="page16"/>
    <w:bookmarkEnd w:id="15"/>
    <w:p>
      <w:pPr>
        <w:ind w:right="220"/>
        <w:spacing w:after="0" w:line="298" w:lineRule="auto"/>
        <w:rPr>
          <w:sz w:val="20"/>
          <w:szCs w:val="20"/>
          <w:color w:val="auto"/>
        </w:rPr>
      </w:pPr>
      <w:r>
        <w:rPr>
          <w:rFonts w:ascii="Times New Roman" w:cs="Times New Roman" w:eastAsia="Times New Roman" w:hAnsi="Times New Roman"/>
          <w:sz w:val="16"/>
          <w:szCs w:val="16"/>
          <w:color w:val="auto"/>
        </w:rPr>
        <w:t>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may consider relevant.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w:t>
      </w:r>
    </w:p>
    <w:p>
      <w:pPr>
        <w:spacing w:after="0" w:line="13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6"/>
          <w:szCs w:val="16"/>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and Preferences</w:t>
      </w:r>
    </w:p>
    <w:p>
      <w:pPr>
        <w:spacing w:after="0" w:line="13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Fully Paid and Non-assessable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All outstanding shares of our common stock are fully paid and non-assessable.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Annual Stockholder Meetings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Our Certificate and Bylaws provide that annual stockholder meetings will be held at a date, place (if any) and time, as exclusively selected by our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extent permitted under applicable law, we may but are not obligated to conduct meetings by remote communications, including by webcast.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31"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6"/>
          <w:szCs w:val="16"/>
          <w:color w:val="auto"/>
        </w:rPr>
        <w:t>Our board of directors has the authority to issue up to 10,000,000 shares of preferred stock, par value $0.0001 per share, in one or more series, each of which will have such distinctive designation or title as shall be determined by our board of directors prior to the issuance of any shares thereof. Preferred stock will have such voting powers, whole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our board of directors prior to the issuance of any shares thereof. The designations, powers, rights and preferences of our preferred stock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our preferred stock are currently issued and outstanding.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Provisions of the Certificate and Bylaws and DGCL</w:t>
      </w:r>
    </w:p>
    <w:p>
      <w:pPr>
        <w:spacing w:after="0" w:line="131" w:lineRule="exact"/>
        <w:rPr>
          <w:sz w:val="20"/>
          <w:szCs w:val="20"/>
          <w:color w:val="auto"/>
        </w:rPr>
      </w:pPr>
    </w:p>
    <w:p>
      <w:pPr>
        <w:ind w:right="40" w:firstLine="509"/>
        <w:spacing w:after="0" w:line="275" w:lineRule="auto"/>
        <w:rPr>
          <w:sz w:val="20"/>
          <w:szCs w:val="20"/>
          <w:color w:val="auto"/>
        </w:rPr>
      </w:pPr>
      <w:r>
        <w:rPr>
          <w:rFonts w:ascii="Times New Roman" w:cs="Times New Roman" w:eastAsia="Times New Roman" w:hAnsi="Times New Roman"/>
          <w:sz w:val="16"/>
          <w:szCs w:val="16"/>
          <w:color w:val="auto"/>
        </w:rPr>
        <w:t>Some provisions of the DGCL, our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our best interest, including transactions that might result in a premium over the market price for our common stock.</w:t>
      </w:r>
    </w:p>
    <w:p>
      <w:pPr>
        <w:spacing w:after="0" w:line="156" w:lineRule="exact"/>
        <w:rPr>
          <w:sz w:val="20"/>
          <w:szCs w:val="20"/>
          <w:color w:val="auto"/>
        </w:rPr>
      </w:pPr>
    </w:p>
    <w:p>
      <w:pPr>
        <w:ind w:right="260" w:firstLine="509"/>
        <w:spacing w:after="0" w:line="298" w:lineRule="auto"/>
        <w:rPr>
          <w:sz w:val="20"/>
          <w:szCs w:val="20"/>
          <w:color w:val="auto"/>
        </w:rPr>
      </w:pPr>
      <w:r>
        <w:rPr>
          <w:rFonts w:ascii="Times New Roman" w:cs="Times New Roman" w:eastAsia="Times New Roman" w:hAnsi="Times New Roman"/>
          <w:sz w:val="16"/>
          <w:szCs w:val="16"/>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Delaware Anti-Takeover Statute</w:t>
      </w:r>
    </w:p>
    <w:p>
      <w:pPr>
        <w:spacing w:after="0" w:line="129"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6"/>
          <w:szCs w:val="16"/>
          <w:color w:val="auto"/>
        </w:rPr>
        <w:t>The Company is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the Company’s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6"/>
          <w:szCs w:val="16"/>
          <w:color w:val="auto"/>
        </w:rPr>
        <w:t>However, the above provisions of Section 203 do not apply if:</w:t>
      </w:r>
    </w:p>
    <w:p>
      <w:pPr>
        <w:spacing w:after="0" w:line="12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approves the transaction that made the stockholder an interested stockholder or the business combination before the date of that transaction;</w:t>
      </w:r>
    </w:p>
    <w:p>
      <w:pPr>
        <w:spacing w:after="0" w:line="126" w:lineRule="exact"/>
        <w:rPr>
          <w:rFonts w:ascii="Times New Roman" w:cs="Times New Roman" w:eastAsia="Times New Roman" w:hAnsi="Times New Roman"/>
          <w:sz w:val="16"/>
          <w:szCs w:val="16"/>
          <w:color w:val="auto"/>
        </w:rPr>
      </w:pPr>
    </w:p>
    <w:p>
      <w:pPr>
        <w:ind w:left="1020" w:right="40" w:hanging="503"/>
        <w:spacing w:after="0" w:line="298"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56" w:lineRule="exact"/>
        <w:rPr>
          <w:rFonts w:ascii="Times New Roman" w:cs="Times New Roman" w:eastAsia="Times New Roman" w:hAnsi="Times New Roman"/>
          <w:sz w:val="16"/>
          <w:szCs w:val="16"/>
          <w:color w:val="auto"/>
        </w:rPr>
      </w:pPr>
    </w:p>
    <w:p>
      <w:pPr>
        <w:ind w:left="1020" w:right="400" w:hanging="503"/>
        <w:spacing w:after="0" w:line="298"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subsequent to the date of the transaction, the business combinations approved by our board and authorized at a meeting of our stockholders by an affirmative vote of at least two-thirds of the outstanding voting stock not owned by the interested stockholder.</w:t>
      </w:r>
    </w:p>
    <w:p>
      <w:pPr>
        <w:spacing w:after="0" w:line="12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Special Stockholder Meetings</w:t>
      </w:r>
    </w:p>
    <w:p>
      <w:pPr>
        <w:spacing w:after="0" w:line="129"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6"/>
          <w:szCs w:val="16"/>
          <w:color w:val="auto"/>
        </w:rPr>
        <w:t>The Bylaws provide that a special meeting of stockholders (1) may be called at any time by the order of a majority of our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Requirements for Advance Notification of Stockholder Nominations and Proposals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Bylaws establish advance notice procedures with respect to stockholder proposals and the nomination of candidates for election as directors.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Composition of our Board of Directors; Election and Removal of Directors; Filling Vacancies</w:t>
      </w:r>
    </w:p>
    <w:p>
      <w:pPr>
        <w:spacing w:after="0" w:line="129" w:lineRule="exact"/>
        <w:rPr>
          <w:sz w:val="20"/>
          <w:szCs w:val="20"/>
          <w:color w:val="auto"/>
        </w:rPr>
      </w:pPr>
    </w:p>
    <w:p>
      <w:pPr>
        <w:ind w:right="220" w:firstLine="509"/>
        <w:spacing w:after="0" w:line="298" w:lineRule="auto"/>
        <w:rPr>
          <w:sz w:val="20"/>
          <w:szCs w:val="20"/>
          <w:color w:val="auto"/>
        </w:rPr>
      </w:pPr>
      <w:r>
        <w:rPr>
          <w:rFonts w:ascii="Times New Roman" w:cs="Times New Roman" w:eastAsia="Times New Roman" w:hAnsi="Times New Roman"/>
          <w:sz w:val="16"/>
          <w:szCs w:val="16"/>
          <w:color w:val="auto"/>
        </w:rPr>
        <w:t>The Company’s board of directors consists of one or more directors. In any uncontested elections of directors, a director nominee for our board of directors of the Company will be elected by the plurality of the votes cast with respect to such director at a meeting at which a quorum is present.</w:t>
      </w:r>
    </w:p>
    <w:p>
      <w:pPr>
        <w:spacing w:after="0" w:line="124"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In a contested election, a plurality voting standard will apply to director elections. The directors of the Company are elected until the expiration of the term for which they are elected and until their respective successors are duly elected and qualified.</w:t>
      </w:r>
    </w:p>
    <w:p>
      <w:pPr>
        <w:spacing w:after="0" w:line="137"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The directors of the Company may be removed by the affirmative vote of the holders of at least a majority of the Company’s then-outstanding common stock. Furthermore, any vacancy on the Company’s board of directors, however occurring, including a vacancy resulting from an increase in the size of the board, may be filled only by a majority vote of our board of directors then in office, even if less than a quorum, or by the sole remaining director.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of the Certificate and Bylaws</w:t>
      </w:r>
    </w:p>
    <w:p>
      <w:pPr>
        <w:spacing w:after="0" w:line="129" w:lineRule="exact"/>
        <w:rPr>
          <w:sz w:val="20"/>
          <w:szCs w:val="20"/>
          <w:color w:val="auto"/>
        </w:rPr>
      </w:pPr>
    </w:p>
    <w:p>
      <w:pPr>
        <w:ind w:right="180" w:firstLine="509"/>
        <w:spacing w:after="0" w:line="298" w:lineRule="auto"/>
        <w:rPr>
          <w:sz w:val="20"/>
          <w:szCs w:val="20"/>
          <w:color w:val="auto"/>
        </w:rPr>
      </w:pPr>
      <w:r>
        <w:rPr>
          <w:rFonts w:ascii="Times New Roman" w:cs="Times New Roman" w:eastAsia="Times New Roman" w:hAnsi="Times New Roman"/>
          <w:sz w:val="16"/>
          <w:szCs w:val="16"/>
          <w:color w:val="auto"/>
        </w:rPr>
        <w:t>The Certificate may be amended in any manner permitted under the DGCL and the Bylaws may be amended by the holders of at a majority of the voting power of the then outstanding voting stock or by our board of directors.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Limitations of Liability and Indemnification Matters</w:t>
      </w:r>
    </w:p>
    <w:p>
      <w:pPr>
        <w:spacing w:after="0" w:line="129" w:lineRule="exact"/>
        <w:rPr>
          <w:sz w:val="20"/>
          <w:szCs w:val="20"/>
          <w:color w:val="auto"/>
        </w:rPr>
      </w:pPr>
    </w:p>
    <w:p>
      <w:pPr>
        <w:jc w:val="both"/>
        <w:ind w:right="40" w:firstLine="509"/>
        <w:spacing w:after="0" w:line="275" w:lineRule="auto"/>
        <w:rPr>
          <w:sz w:val="20"/>
          <w:szCs w:val="20"/>
          <w:color w:val="auto"/>
        </w:rPr>
      </w:pPr>
      <w:r>
        <w:rPr>
          <w:rFonts w:ascii="Times New Roman" w:cs="Times New Roman" w:eastAsia="Times New Roman" w:hAnsi="Times New Roman"/>
          <w:sz w:val="16"/>
          <w:szCs w:val="16"/>
          <w:color w:val="auto"/>
        </w:rPr>
        <w:t>Each of the Certificate and Bylaws provide that the Company is required to indemnify its directors and officers to the fullest extent permitted by Delaware law. The Bylaws also obligates the Company to advance expenses incurred by a director or officer in advance of the final disposition of any action or proceeding upon delivery to the Company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42"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6"/>
          <w:szCs w:val="16"/>
          <w:color w:val="auto"/>
        </w:rPr>
        <w:t>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against such expense, liability or loss under the DGCL.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Exchange Listings</w:t>
      </w:r>
    </w:p>
    <w:p>
      <w:pPr>
        <w:spacing w:after="0" w:line="129" w:lineRule="exact"/>
        <w:rPr>
          <w:sz w:val="20"/>
          <w:szCs w:val="20"/>
          <w:color w:val="auto"/>
        </w:rPr>
      </w:pPr>
    </w:p>
    <w:p>
      <w:pPr>
        <w:ind w:right="260" w:firstLine="509"/>
        <w:spacing w:after="0" w:line="301" w:lineRule="auto"/>
        <w:rPr>
          <w:sz w:val="20"/>
          <w:szCs w:val="20"/>
          <w:color w:val="auto"/>
        </w:rPr>
      </w:pPr>
      <w:r>
        <w:rPr>
          <w:rFonts w:ascii="Times New Roman" w:cs="Times New Roman" w:eastAsia="Times New Roman" w:hAnsi="Times New Roman"/>
          <w:sz w:val="16"/>
          <w:szCs w:val="16"/>
          <w:color w:val="auto"/>
        </w:rPr>
        <w:t>Shares of our common stock are listed on The Nasdaq Stock Market LLC under the symbol “RCEL.” Our Chess Depositary Interests (“</w:t>
      </w:r>
      <w:r>
        <w:rPr>
          <w:rFonts w:ascii="Times New Roman" w:cs="Times New Roman" w:eastAsia="Times New Roman" w:hAnsi="Times New Roman"/>
          <w:sz w:val="16"/>
          <w:szCs w:val="16"/>
          <w:b w:val="1"/>
          <w:bCs w:val="1"/>
          <w:color w:val="auto"/>
        </w:rPr>
        <w:t>CDIs</w:t>
      </w:r>
      <w:r>
        <w:rPr>
          <w:rFonts w:ascii="Times New Roman" w:cs="Times New Roman" w:eastAsia="Times New Roman" w:hAnsi="Times New Roman"/>
          <w:sz w:val="16"/>
          <w:szCs w:val="16"/>
          <w:color w:val="auto"/>
        </w:rPr>
        <w:t>”) are quoted on the Australian Securities Exchange Ltd (“</w:t>
      </w:r>
      <w:r>
        <w:rPr>
          <w:rFonts w:ascii="Times New Roman" w:cs="Times New Roman" w:eastAsia="Times New Roman" w:hAnsi="Times New Roman"/>
          <w:sz w:val="16"/>
          <w:szCs w:val="16"/>
          <w:b w:val="1"/>
          <w:bCs w:val="1"/>
          <w:color w:val="auto"/>
        </w:rPr>
        <w:t>ASX</w:t>
      </w:r>
      <w:r>
        <w:rPr>
          <w:rFonts w:ascii="Times New Roman" w:cs="Times New Roman" w:eastAsia="Times New Roman" w:hAnsi="Times New Roman"/>
          <w:sz w:val="16"/>
          <w:szCs w:val="16"/>
          <w:color w:val="auto"/>
        </w:rPr>
        <w:t>”) under the ticker code, “AVH”. One share of common stock on Nasdaq is equivalent to five CDIs on the ASX.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Agent and Registrar</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transfer agent and registrar for our common stock is Computershare Trust Company, N.A, and its address is 250 Royall St., Canton, Massachusetts 02021.</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17" w:name="page18"/>
    <w:bookmarkEnd w:id="17"/>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DESCRIPTION OF PREFERRED STOCK WE MAY OFFER</w:t>
      </w:r>
    </w:p>
    <w:p>
      <w:pPr>
        <w:spacing w:after="0" w:line="196"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6"/>
          <w:szCs w:val="16"/>
          <w:color w:val="auto"/>
        </w:rPr>
        <w:t>We may offer shares of our preferred stock from time to time, in one or more series of preferred stock. Pursuant to our Certificate, we have the authority to issue 10,000,000 shares of preferred stock, $0.0001 par value. As of April 12, 2023,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w:t>
      </w:r>
    </w:p>
    <w:p>
      <w:pPr>
        <w:spacing w:after="0" w:line="159" w:lineRule="exact"/>
        <w:rPr>
          <w:sz w:val="20"/>
          <w:szCs w:val="20"/>
          <w:color w:val="auto"/>
        </w:rPr>
      </w:pPr>
    </w:p>
    <w:p>
      <w:pPr>
        <w:ind w:right="300" w:firstLine="509"/>
        <w:spacing w:after="0" w:line="298" w:lineRule="auto"/>
        <w:rPr>
          <w:sz w:val="20"/>
          <w:szCs w:val="20"/>
          <w:color w:val="auto"/>
        </w:rPr>
      </w:pPr>
      <w:r>
        <w:rPr>
          <w:rFonts w:ascii="Times New Roman" w:cs="Times New Roman" w:eastAsia="Times New Roman" w:hAnsi="Times New Roman"/>
          <w:sz w:val="16"/>
          <w:szCs w:val="16"/>
          <w:color w:val="auto"/>
        </w:rPr>
        <w:t>payments and payments upon liquidation. The issuance could decrease the market price of our common stock. The issuance of preferred stock also could delay, deter, or prevent a change of control of the Company.</w:t>
      </w:r>
    </w:p>
    <w:p>
      <w:pPr>
        <w:spacing w:after="0" w:line="124"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6"/>
          <w:szCs w:val="16"/>
          <w:color w:val="auto"/>
        </w:rPr>
        <w:t>We have summarized material provisions of the preferred stock in this section. This summary is not complete. If we offer preferred stock, we will file a form of certificate of designation designating the rights and preferences of the preferred stock with the SEC prior to any issuance of preferred stock, and you should read such certificate of designation for provisions that may be important to you.</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certificate of designation and prospectus supplement relating to any series of preferred stock we are offering will include specific terms relating to the offering.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terms will include some or all of the following:</w:t>
      </w:r>
    </w:p>
    <w:p>
      <w:pPr>
        <w:spacing w:after="0" w:line="11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preferred stock;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of shares of the series of preferred stock;</w:t>
      </w:r>
    </w:p>
    <w:p>
      <w:pPr>
        <w:spacing w:after="0" w:line="126" w:lineRule="exact"/>
        <w:rPr>
          <w:rFonts w:ascii="Times New Roman" w:cs="Times New Roman" w:eastAsia="Times New Roman" w:hAnsi="Times New Roman"/>
          <w:sz w:val="16"/>
          <w:szCs w:val="16"/>
          <w:color w:val="auto"/>
        </w:rPr>
      </w:pPr>
    </w:p>
    <w:p>
      <w:pPr>
        <w:ind w:left="1020" w:right="280" w:hanging="503"/>
        <w:spacing w:after="0" w:line="298"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 if any, or the method of calculating and paying the dividend, the date from which dividends will accrue and whether dividends will be cumulative;</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liquidation preference;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optional redemption provisions;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sinking fund or other provisions that would obligate us to redeem or purchase the preferred stock;</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terms for the conversion or exchange of the preferred stock for other securities of us or any other entity;</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voting rights;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preferences and relative, participating, optional or other special rights or any qualifications, limitations, or restrictions on the rights of the shares.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Any shares of preferred stock we issue will, at the time of issuance, be fully paid and non-assessable.</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DESCRIPTION OF WARRANTS WE MAY OFFER</w:t>
      </w:r>
    </w:p>
    <w:p>
      <w:pPr>
        <w:spacing w:after="0" w:line="210"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6"/>
          <w:szCs w:val="16"/>
          <w:color w:val="auto"/>
        </w:rPr>
        <w:t>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w:t>
      </w:r>
    </w:p>
    <w:p>
      <w:pPr>
        <w:spacing w:after="0" w:line="13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6"/>
          <w:szCs w:val="16"/>
          <w:color w:val="auto"/>
        </w:rPr>
        <w:t>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w:t>
      </w:r>
    </w:p>
    <w:p>
      <w:pPr>
        <w:spacing w:after="0" w:line="137"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A prospectus supplement relating to any warrants that we are offering will include specific terms relating to the offering. These terms will include some or all of the following:</w:t>
      </w:r>
    </w:p>
    <w:p>
      <w:pPr>
        <w:spacing w:after="0" w:line="5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warrants;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warrants offered;</w:t>
      </w:r>
    </w:p>
    <w:p>
      <w:pPr>
        <w:spacing w:after="0" w:line="126" w:lineRule="exact"/>
        <w:rPr>
          <w:rFonts w:ascii="Times New Roman" w:cs="Times New Roman" w:eastAsia="Times New Roman" w:hAnsi="Times New Roman"/>
          <w:sz w:val="16"/>
          <w:szCs w:val="16"/>
          <w:color w:val="auto"/>
        </w:rPr>
      </w:pPr>
    </w:p>
    <w:p>
      <w:pPr>
        <w:ind w:left="1020" w:right="460" w:hanging="503"/>
        <w:spacing w:after="0" w:line="298"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number and terms of the common stock or preferred stock purchasable upon exercise of the warrants, and procedures by which those numbers may be adjusted;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the warrants;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or periods during which the warrants are exercisable;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any securities with which the warrants are issued;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warrants are issued as a unit with another security, the date on and after which the warrants and the other security will be separately transferable;</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66" w:right="419" w:bottom="1440" w:gutter="0" w:footer="0" w:header="0"/>
        </w:sectPr>
      </w:pPr>
    </w:p>
    <w:bookmarkStart w:id="18" w:name="page19"/>
    <w:bookmarkEnd w:id="18"/>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exercise price is not payable in U.S. dollars, the foreign currency, currency unit or composite currency in which the exercise price is denominated;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minimum or maximum amount of warrants that may be exercised at any one time;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terms, procedures and limitations relating to the transferability, exchange or exercise of the warrants.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Exercise of Warrants</w:t>
      </w:r>
    </w:p>
    <w:p>
      <w:pPr>
        <w:spacing w:after="0" w:line="12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w:t>
      </w:r>
    </w:p>
    <w:p>
      <w:pPr>
        <w:spacing w:after="0" w:line="159" w:lineRule="exact"/>
        <w:rPr>
          <w:sz w:val="20"/>
          <w:szCs w:val="20"/>
          <w:color w:val="auto"/>
        </w:rPr>
      </w:pPr>
    </w:p>
    <w:p>
      <w:pPr>
        <w:ind w:right="300" w:firstLine="509"/>
        <w:spacing w:after="0" w:line="298" w:lineRule="auto"/>
        <w:rPr>
          <w:sz w:val="20"/>
          <w:szCs w:val="20"/>
          <w:color w:val="auto"/>
        </w:rPr>
      </w:pPr>
      <w:r>
        <w:rPr>
          <w:rFonts w:ascii="Times New Roman" w:cs="Times New Roman" w:eastAsia="Times New Roman" w:hAnsi="Times New Roman"/>
          <w:sz w:val="16"/>
          <w:szCs w:val="16"/>
          <w:color w:val="auto"/>
        </w:rPr>
        <w:t>Holders may exercise warrants at any time up to the close of business on the expiration date provided in the applicable prospectus supplement. After the close of business on the expiration date, unexercised warrants are void.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Prior to the exercise of their warrants, holders of warrants will not have any of the rights of holders of the securities subject to the warrants.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Modifications</w:t>
      </w:r>
    </w:p>
    <w:p>
      <w:pPr>
        <w:spacing w:after="0" w:line="129" w:lineRule="exact"/>
        <w:rPr>
          <w:sz w:val="20"/>
          <w:szCs w:val="20"/>
          <w:color w:val="auto"/>
        </w:rPr>
      </w:pPr>
    </w:p>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w:t>
      </w:r>
    </w:p>
    <w:p>
      <w:pPr>
        <w:spacing w:after="0" w:line="124" w:lineRule="exact"/>
        <w:rPr>
          <w:sz w:val="20"/>
          <w:szCs w:val="20"/>
          <w:color w:val="auto"/>
        </w:rPr>
      </w:pPr>
    </w:p>
    <w:p>
      <w:pPr>
        <w:ind w:right="160" w:firstLine="509"/>
        <w:spacing w:after="0" w:line="298" w:lineRule="auto"/>
        <w:rPr>
          <w:sz w:val="20"/>
          <w:szCs w:val="20"/>
          <w:color w:val="auto"/>
        </w:rPr>
      </w:pPr>
      <w:r>
        <w:rPr>
          <w:rFonts w:ascii="Times New Roman" w:cs="Times New Roman" w:eastAsia="Times New Roman" w:hAnsi="Times New Roman"/>
          <w:sz w:val="16"/>
          <w:szCs w:val="16"/>
          <w:color w:val="auto"/>
        </w:rPr>
        <w:t>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w:t>
      </w:r>
    </w:p>
    <w:p>
      <w:pPr>
        <w:spacing w:after="0" w:line="56"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shorten the period of time during which the warrants may be exercised; or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materially and adversely affect the exercise rights of the holders of the warrants.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Enforceability of Rights</w:t>
      </w:r>
    </w:p>
    <w:p>
      <w:pPr>
        <w:spacing w:after="0" w:line="129" w:lineRule="exact"/>
        <w:rPr>
          <w:sz w:val="20"/>
          <w:szCs w:val="20"/>
          <w:color w:val="auto"/>
        </w:rPr>
      </w:pPr>
    </w:p>
    <w:p>
      <w:pPr>
        <w:ind w:right="160" w:firstLine="509"/>
        <w:spacing w:after="0" w:line="275" w:lineRule="auto"/>
        <w:rPr>
          <w:sz w:val="20"/>
          <w:szCs w:val="20"/>
          <w:color w:val="auto"/>
        </w:rPr>
      </w:pPr>
      <w:r>
        <w:rPr>
          <w:rFonts w:ascii="Times New Roman" w:cs="Times New Roman" w:eastAsia="Times New Roman" w:hAnsi="Times New Roman"/>
          <w:sz w:val="16"/>
          <w:szCs w:val="16"/>
          <w:color w:val="auto"/>
        </w:rPr>
        <w:t>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UNITS WE MAY OFFER</w:t>
      </w:r>
    </w:p>
    <w:p>
      <w:pPr>
        <w:spacing w:after="0" w:line="196"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w:t>
      </w:r>
    </w:p>
    <w:p>
      <w:pPr>
        <w:spacing w:after="0" w:line="156" w:lineRule="exact"/>
        <w:rPr>
          <w:sz w:val="20"/>
          <w:szCs w:val="20"/>
          <w:color w:val="auto"/>
        </w:rPr>
      </w:pPr>
    </w:p>
    <w:p>
      <w:pPr>
        <w:ind w:right="400" w:firstLine="509"/>
        <w:spacing w:after="0" w:line="298" w:lineRule="auto"/>
        <w:rPr>
          <w:sz w:val="20"/>
          <w:szCs w:val="20"/>
          <w:color w:val="auto"/>
        </w:rPr>
      </w:pPr>
      <w:r>
        <w:rPr>
          <w:rFonts w:ascii="Times New Roman" w:cs="Times New Roman" w:eastAsia="Times New Roman" w:hAnsi="Times New Roman"/>
          <w:sz w:val="16"/>
          <w:szCs w:val="16"/>
          <w:color w:val="auto"/>
        </w:rPr>
        <w:t>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w:t>
      </w:r>
    </w:p>
    <w:p>
      <w:pPr>
        <w:spacing w:after="0" w:line="124" w:lineRule="exact"/>
        <w:rPr>
          <w:sz w:val="20"/>
          <w:szCs w:val="20"/>
          <w:color w:val="auto"/>
        </w:rPr>
      </w:pPr>
    </w:p>
    <w:p>
      <w:pPr>
        <w:ind w:right="620" w:firstLine="509"/>
        <w:spacing w:after="0" w:line="298" w:lineRule="auto"/>
        <w:rPr>
          <w:sz w:val="20"/>
          <w:szCs w:val="20"/>
          <w:color w:val="auto"/>
        </w:rPr>
      </w:pPr>
      <w:r>
        <w:rPr>
          <w:rFonts w:ascii="Times New Roman" w:cs="Times New Roman" w:eastAsia="Times New Roman" w:hAnsi="Times New Roman"/>
          <w:sz w:val="16"/>
          <w:szCs w:val="16"/>
          <w:color w:val="auto"/>
        </w:rPr>
        <w:t>A prospectus supplement relating to any units we are offering will include specific terms relating to the offering. These terms will include some or all of the following:</w:t>
      </w:r>
    </w:p>
    <w:p>
      <w:pPr>
        <w:spacing w:after="0" w:line="56" w:lineRule="exact"/>
        <w:rPr>
          <w:sz w:val="20"/>
          <w:szCs w:val="20"/>
          <w:color w:val="auto"/>
        </w:rPr>
      </w:pPr>
    </w:p>
    <w:p>
      <w:pPr>
        <w:ind w:left="1020" w:right="140" w:hanging="503"/>
        <w:spacing w:after="0" w:line="298"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the units and the securities comprising the units, including whether and under what circumstances those securities may be held or transferred separately;</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provisions for the issuance, payment, settlement, transfer or exchange of the units or of the securities comprising the units;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such units will be issued in fully registered or global form.</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CHESS DEPOSITARY INTERESTS</w:t>
      </w:r>
    </w:p>
    <w:p>
      <w:pPr>
        <w:spacing w:after="0" w:line="196"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6"/>
          <w:szCs w:val="16"/>
          <w:color w:val="auto"/>
        </w:rPr>
        <w:t>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Our CDIs are quoted on the ASX under the ticker code, “AVH”. One share of common stock on Nasdaq is equivalent to five CDIs on the ASX.</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210"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24" w:lineRule="exact"/>
        <w:rPr>
          <w:sz w:val="20"/>
          <w:szCs w:val="20"/>
          <w:color w:val="auto"/>
        </w:rPr>
      </w:pPr>
    </w:p>
    <w:p>
      <w:pPr>
        <w:ind w:right="160" w:firstLine="509"/>
        <w:spacing w:after="0" w:line="298" w:lineRule="auto"/>
        <w:rPr>
          <w:sz w:val="20"/>
          <w:szCs w:val="20"/>
          <w:color w:val="auto"/>
        </w:rPr>
      </w:pPr>
      <w:r>
        <w:rPr>
          <w:rFonts w:ascii="Times New Roman" w:cs="Times New Roman" w:eastAsia="Times New Roman" w:hAnsi="Times New Roman"/>
          <w:sz w:val="16"/>
          <w:szCs w:val="16"/>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56" w:lineRule="exact"/>
        <w:rPr>
          <w:sz w:val="20"/>
          <w:szCs w:val="20"/>
          <w:color w:val="auto"/>
        </w:rPr>
      </w:pPr>
    </w:p>
    <w:p>
      <w:pPr>
        <w:ind w:left="1020" w:right="60" w:hanging="503"/>
        <w:spacing w:after="0" w:line="298"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on The Nasdaq Stock Market LLC or the ASX in accordance with the rules of the ASX (including through at-the-market offerings) or any other organized market where the securities may be traded;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over-the-counter market;</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privately negotiated transactions;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broker-dealers, who may act as agents or principals;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one or more underwriters on a firm commitment or best-efforts basis;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“at-the-market offerings” within the meaning of Rule 415 of the Securities Act;</w:t>
      </w:r>
    </w:p>
    <w:p>
      <w:pPr>
        <w:spacing w:after="0" w:line="126" w:lineRule="exact"/>
        <w:rPr>
          <w:rFonts w:ascii="Times New Roman" w:cs="Times New Roman" w:eastAsia="Times New Roman" w:hAnsi="Times New Roman"/>
          <w:sz w:val="16"/>
          <w:szCs w:val="16"/>
          <w:color w:val="auto"/>
        </w:rPr>
      </w:pPr>
    </w:p>
    <w:p>
      <w:pPr>
        <w:ind w:left="1020" w:right="220" w:hanging="503"/>
        <w:spacing w:after="0" w:line="298"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 block trade in which a broker-dealer will attempt to sell a block of securities as agent but may position and resell a portion of the block as principal to facilitate the transaction;</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offerings of securities exchangeable, convertible or exercisable for the securities;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to one or more purchasers;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agents; or</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any combination of the above.</w:t>
      </w:r>
    </w:p>
    <w:p>
      <w:pPr>
        <w:spacing w:after="0" w:line="194" w:lineRule="exact"/>
        <w:rPr>
          <w:sz w:val="20"/>
          <w:szCs w:val="20"/>
          <w:color w:val="auto"/>
        </w:rPr>
      </w:pPr>
    </w:p>
    <w:p>
      <w:pPr>
        <w:ind w:right="120" w:firstLine="509"/>
        <w:spacing w:after="0" w:line="298" w:lineRule="auto"/>
        <w:rPr>
          <w:sz w:val="20"/>
          <w:szCs w:val="20"/>
          <w:color w:val="auto"/>
        </w:rPr>
      </w:pPr>
      <w:r>
        <w:rPr>
          <w:rFonts w:ascii="Times New Roman" w:cs="Times New Roman" w:eastAsia="Times New Roman" w:hAnsi="Times New Roman"/>
          <w:sz w:val="16"/>
          <w:szCs w:val="16"/>
          <w:color w:val="auto"/>
        </w:rPr>
        <w:t>At any time a particular offer of securities covered by this prospectus is made, a revised prospectus or prospectus supplement, if required, will be distributed which will set forth:</w:t>
      </w:r>
    </w:p>
    <w:p>
      <w:pPr>
        <w:spacing w:after="0" w:line="5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or names of any underwriters, broker-dealers or agents;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of the securities and the proceeds to be received by us from the sale;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commissions, concessions and other items constituting underwriters’ or agents’ compensation;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public offering price;</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commissions or concessions allowed or re-allowed or paid to dealers;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additional risk factors applicable to the securities that we propose to sell;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exchange on which the securities may be listed.</w:t>
      </w:r>
    </w:p>
    <w:p>
      <w:pPr>
        <w:spacing w:after="0" w:line="208" w:lineRule="exact"/>
        <w:rPr>
          <w:sz w:val="20"/>
          <w:szCs w:val="20"/>
          <w:color w:val="auto"/>
        </w:rPr>
      </w:pPr>
    </w:p>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124"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6"/>
          <w:szCs w:val="16"/>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45"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6"/>
          <w:szCs w:val="16"/>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6" w:right="359" w:bottom="1440" w:gutter="0" w:footer="0" w:header="0"/>
        </w:sectPr>
      </w:pPr>
    </w:p>
    <w:bookmarkStart w:id="20" w:name="page21"/>
    <w:bookmarkEnd w:id="20"/>
    <w:p>
      <w:pPr>
        <w:ind w:right="60" w:firstLine="509"/>
        <w:spacing w:after="0" w:line="267" w:lineRule="auto"/>
        <w:rPr>
          <w:sz w:val="20"/>
          <w:szCs w:val="20"/>
          <w:color w:val="auto"/>
        </w:rPr>
      </w:pPr>
      <w:r>
        <w:rPr>
          <w:rFonts w:ascii="Times New Roman" w:cs="Times New Roman" w:eastAsia="Times New Roman" w:hAnsi="Times New Roman"/>
          <w:sz w:val="16"/>
          <w:szCs w:val="16"/>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w:t>
      </w:r>
    </w:p>
    <w:p>
      <w:pPr>
        <w:spacing w:after="0" w:line="149"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6"/>
          <w:szCs w:val="16"/>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42"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6"/>
          <w:szCs w:val="16"/>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56"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6"/>
          <w:szCs w:val="16"/>
          <w:color w:val="auto"/>
        </w:rPr>
        <w:t>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44"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6"/>
          <w:szCs w:val="16"/>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96" w:lineRule="exact"/>
        <w:rPr>
          <w:sz w:val="20"/>
          <w:szCs w:val="20"/>
          <w:color w:val="auto"/>
        </w:rPr>
      </w:pPr>
    </w:p>
    <w:p>
      <w:pPr>
        <w:jc w:val="both"/>
        <w:ind w:right="340" w:firstLine="509"/>
        <w:spacing w:after="0" w:line="281" w:lineRule="auto"/>
        <w:rPr>
          <w:sz w:val="20"/>
          <w:szCs w:val="20"/>
          <w:color w:val="auto"/>
        </w:rPr>
      </w:pPr>
      <w:r>
        <w:rPr>
          <w:rFonts w:ascii="Times New Roman" w:cs="Times New Roman" w:eastAsia="Times New Roman" w:hAnsi="Times New Roman"/>
          <w:sz w:val="16"/>
          <w:szCs w:val="16"/>
          <w:color w:val="auto"/>
        </w:rPr>
        <w:t>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96" w:lineRule="exact"/>
        <w:rPr>
          <w:sz w:val="20"/>
          <w:szCs w:val="20"/>
          <w:color w:val="auto"/>
        </w:rPr>
      </w:pPr>
    </w:p>
    <w:p>
      <w:pPr>
        <w:ind w:right="140" w:firstLine="509"/>
        <w:spacing w:after="0" w:line="298" w:lineRule="auto"/>
        <w:rPr>
          <w:sz w:val="20"/>
          <w:szCs w:val="20"/>
          <w:color w:val="auto"/>
        </w:rPr>
      </w:pPr>
      <w:r>
        <w:rPr>
          <w:rFonts w:ascii="Times New Roman" w:cs="Times New Roman" w:eastAsia="Times New Roman" w:hAnsi="Times New Roman"/>
          <w:sz w:val="16"/>
          <w:szCs w:val="16"/>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6"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6"/>
          <w:szCs w:val="16"/>
          <w:color w:val="auto"/>
        </w:rPr>
        <w:t>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w:t>
      </w:r>
    </w:p>
    <w:p>
      <w:pPr>
        <w:spacing w:after="0" w:line="13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6"/>
          <w:szCs w:val="16"/>
          <w:color w:val="auto"/>
        </w:rPr>
        <w:t>In addition, we file annual, quarterly and current reports, proxy statements and other information with the SEC under the Exchange Act. You can read our SEC filings, including the registration statement, at the SEC’s website at www.sec.gov, which contains reports, proxy and information statements and other information regarding issuers that file electronically with the SEC.</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INCORPORATION OF CERTAIN INFORMATION BY REFERENCE</w:t>
      </w:r>
    </w:p>
    <w:p>
      <w:pPr>
        <w:spacing w:after="0" w:line="196"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21" w:name="page22"/>
    <w:bookmarkEnd w:id="21"/>
    <w:p>
      <w:pPr>
        <w:ind w:right="240" w:firstLine="509"/>
        <w:spacing w:after="0" w:line="298" w:lineRule="auto"/>
        <w:rPr>
          <w:sz w:val="20"/>
          <w:szCs w:val="20"/>
          <w:color w:val="auto"/>
        </w:rPr>
      </w:pPr>
      <w:r>
        <w:rPr>
          <w:rFonts w:ascii="Times New Roman" w:cs="Times New Roman" w:eastAsia="Times New Roman" w:hAnsi="Times New Roman"/>
          <w:sz w:val="16"/>
          <w:szCs w:val="16"/>
          <w:color w:val="auto"/>
        </w:rPr>
        <w:t>We incorporate by reference the filed documents listed below, except as superseded, supplemented or modified by this prospectus, and any future filings we will make with the SEC under Sections 13(a), 13(c), 14 or 15(d) of the Exchange Act:</w:t>
      </w:r>
    </w:p>
    <w:p>
      <w:pPr>
        <w:spacing w:after="0" w:line="56"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w:t>
      </w:r>
      <w:hyperlink r:id="rId49">
        <w:r>
          <w:rPr>
            <w:rFonts w:ascii="Times New Roman" w:cs="Times New Roman" w:eastAsia="Times New Roman" w:hAnsi="Times New Roman"/>
            <w:sz w:val="16"/>
            <w:szCs w:val="16"/>
            <w:u w:val="single" w:color="auto"/>
            <w:color w:val="0000FF"/>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December 31, 2022 as filed with the SEC on February 23, 2023;</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Reports on Form 8-K dated </w:t>
      </w:r>
      <w:hyperlink r:id="rId50">
        <w:r>
          <w:rPr>
            <w:rFonts w:ascii="Times New Roman" w:cs="Times New Roman" w:eastAsia="Times New Roman" w:hAnsi="Times New Roman"/>
            <w:sz w:val="16"/>
            <w:szCs w:val="16"/>
            <w:u w:val="single" w:color="auto"/>
            <w:color w:val="0000FF"/>
          </w:rPr>
          <w:t>January 20, 2023</w:t>
        </w:r>
      </w:hyperlink>
      <w:r>
        <w:rPr>
          <w:rFonts w:ascii="Times New Roman" w:cs="Times New Roman" w:eastAsia="Times New Roman" w:hAnsi="Times New Roman"/>
          <w:sz w:val="16"/>
          <w:szCs w:val="16"/>
          <w:color w:val="auto"/>
        </w:rPr>
        <w:t xml:space="preserve">, </w:t>
      </w:r>
      <w:hyperlink r:id="rId51">
        <w:r>
          <w:rPr>
            <w:rFonts w:ascii="Times New Roman" w:cs="Times New Roman" w:eastAsia="Times New Roman" w:hAnsi="Times New Roman"/>
            <w:sz w:val="16"/>
            <w:szCs w:val="16"/>
            <w:u w:val="single" w:color="auto"/>
            <w:color w:val="0000FF"/>
          </w:rPr>
          <w:t>March 21, 2023</w:t>
        </w:r>
      </w:hyperlink>
      <w:r>
        <w:rPr>
          <w:rFonts w:ascii="Times New Roman" w:cs="Times New Roman" w:eastAsia="Times New Roman" w:hAnsi="Times New Roman"/>
          <w:sz w:val="16"/>
          <w:szCs w:val="16"/>
          <w:color w:val="auto"/>
        </w:rPr>
        <w:t xml:space="preserve">, </w:t>
      </w:r>
      <w:hyperlink r:id="rId52">
        <w:r>
          <w:rPr>
            <w:rFonts w:ascii="Times New Roman" w:cs="Times New Roman" w:eastAsia="Times New Roman" w:hAnsi="Times New Roman"/>
            <w:sz w:val="16"/>
            <w:szCs w:val="16"/>
            <w:u w:val="single" w:color="auto"/>
            <w:color w:val="0000FF"/>
          </w:rPr>
          <w:t>March 22, 2023,</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53">
        <w:r>
          <w:rPr>
            <w:rFonts w:ascii="Times New Roman" w:cs="Times New Roman" w:eastAsia="Times New Roman" w:hAnsi="Times New Roman"/>
            <w:sz w:val="16"/>
            <w:szCs w:val="16"/>
            <w:u w:val="single" w:color="auto"/>
            <w:color w:val="0000FF"/>
          </w:rPr>
          <w:t>March 27, 2023;</w:t>
        </w:r>
      </w:hyperlink>
    </w:p>
    <w:p>
      <w:pPr>
        <w:spacing w:after="0" w:line="126" w:lineRule="exact"/>
        <w:rPr>
          <w:rFonts w:ascii="Times New Roman" w:cs="Times New Roman" w:eastAsia="Times New Roman" w:hAnsi="Times New Roman"/>
          <w:sz w:val="16"/>
          <w:szCs w:val="16"/>
          <w:color w:val="auto"/>
        </w:rPr>
      </w:pPr>
    </w:p>
    <w:p>
      <w:pPr>
        <w:ind w:left="1020" w:right="320" w:hanging="503"/>
        <w:spacing w:after="0" w:line="298"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description of our common stock contained in </w:t>
      </w:r>
      <w:hyperlink r:id="rId32">
        <w:r>
          <w:rPr>
            <w:rFonts w:ascii="Times New Roman" w:cs="Times New Roman" w:eastAsia="Times New Roman" w:hAnsi="Times New Roman"/>
            <w:sz w:val="16"/>
            <w:szCs w:val="16"/>
            <w:u w:val="single" w:color="auto"/>
            <w:color w:val="0000FF"/>
          </w:rPr>
          <w:t>Exhibit 4.1</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to our Annual Report on Form 10-K filed February 23, 2022, including any Amendment or reports filed for the purpose of updating this description; and</w:t>
      </w:r>
    </w:p>
    <w:p>
      <w:pPr>
        <w:spacing w:after="0" w:line="56" w:lineRule="exact"/>
        <w:rPr>
          <w:rFonts w:ascii="Times New Roman" w:cs="Times New Roman" w:eastAsia="Times New Roman" w:hAnsi="Times New Roman"/>
          <w:sz w:val="16"/>
          <w:szCs w:val="16"/>
          <w:color w:val="auto"/>
        </w:rPr>
      </w:pPr>
    </w:p>
    <w:p>
      <w:pPr>
        <w:ind w:left="1020" w:hanging="503"/>
        <w:spacing w:after="0" w:line="281"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subsequently filed by us pursuant to Sections 13(a), 13(c), 14 or 15(d) of the Exchange Act prior to the termination of this offering,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w:t>
      </w:r>
    </w:p>
    <w:p>
      <w:pPr>
        <w:spacing w:after="0" w:line="137" w:lineRule="exact"/>
        <w:rPr>
          <w:rFonts w:ascii="Times New Roman" w:cs="Times New Roman" w:eastAsia="Times New Roman" w:hAnsi="Times New Roman"/>
          <w:sz w:val="16"/>
          <w:szCs w:val="16"/>
          <w:color w:val="auto"/>
        </w:rPr>
      </w:pPr>
    </w:p>
    <w:p>
      <w:pPr>
        <w:ind w:right="220" w:firstLine="509"/>
        <w:spacing w:after="0" w:line="298" w:lineRule="auto"/>
        <w:rPr>
          <w:sz w:val="20"/>
          <w:szCs w:val="20"/>
          <w:color w:val="auto"/>
        </w:rPr>
      </w:pPr>
      <w:r>
        <w:rPr>
          <w:rFonts w:ascii="Times New Roman" w:cs="Times New Roman" w:eastAsia="Times New Roman" w:hAnsi="Times New Roman"/>
          <w:sz w:val="16"/>
          <w:szCs w:val="16"/>
          <w:color w:val="auto"/>
        </w:rPr>
        <w:t>You may request and obtain a copy of any or all of the documents that are incorporated by reference into this prospectus but not delivered with the prospectus, including exhibits that are specifically incorporated by reference into such documents, at no cost, by writing or telephoning us at the following address or phone number:</w:t>
      </w:r>
    </w:p>
    <w:p>
      <w:pPr>
        <w:spacing w:after="0" w:line="124" w:lineRule="exact"/>
        <w:rPr>
          <w:rFonts w:ascii="Times New Roman" w:cs="Times New Roman" w:eastAsia="Times New Roman" w:hAnsi="Times New Roman"/>
          <w:sz w:val="16"/>
          <w:szCs w:val="16"/>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AVITA Medical, Inc.</w:t>
      </w:r>
    </w:p>
    <w:p>
      <w:pPr>
        <w:spacing w:after="0" w:line="208" w:lineRule="exact"/>
        <w:rPr>
          <w:rFonts w:ascii="Times New Roman" w:cs="Times New Roman" w:eastAsia="Times New Roman" w:hAnsi="Times New Roman"/>
          <w:sz w:val="16"/>
          <w:szCs w:val="16"/>
          <w:color w:val="auto"/>
        </w:rPr>
      </w:pPr>
    </w:p>
    <w:p>
      <w:pPr>
        <w:ind w:left="4860"/>
        <w:spacing w:after="0"/>
        <w:rPr>
          <w:sz w:val="20"/>
          <w:szCs w:val="20"/>
          <w:color w:val="auto"/>
        </w:rPr>
      </w:pPr>
      <w:r>
        <w:rPr>
          <w:rFonts w:ascii="Times New Roman" w:cs="Times New Roman" w:eastAsia="Times New Roman" w:hAnsi="Times New Roman"/>
          <w:sz w:val="16"/>
          <w:szCs w:val="16"/>
          <w:color w:val="auto"/>
        </w:rPr>
        <w:t>28159 Avenue Stanford</w:t>
      </w:r>
    </w:p>
    <w:p>
      <w:pPr>
        <w:spacing w:after="0" w:line="194" w:lineRule="exact"/>
        <w:rPr>
          <w:rFonts w:ascii="Times New Roman" w:cs="Times New Roman" w:eastAsia="Times New Roman" w:hAnsi="Times New Roman"/>
          <w:sz w:val="16"/>
          <w:szCs w:val="16"/>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Suite 220</w:t>
      </w:r>
    </w:p>
    <w:p>
      <w:pPr>
        <w:spacing w:after="0" w:line="26" w:lineRule="exact"/>
        <w:rPr>
          <w:rFonts w:ascii="Times New Roman" w:cs="Times New Roman" w:eastAsia="Times New Roman" w:hAnsi="Times New Roman"/>
          <w:sz w:val="16"/>
          <w:szCs w:val="16"/>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Valencia, CA 91355</w:t>
      </w:r>
    </w:p>
    <w:p>
      <w:pPr>
        <w:spacing w:after="0" w:line="19" w:lineRule="exact"/>
        <w:rPr>
          <w:rFonts w:ascii="Times New Roman" w:cs="Times New Roman" w:eastAsia="Times New Roman" w:hAnsi="Times New Roman"/>
          <w:sz w:val="16"/>
          <w:szCs w:val="16"/>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(661) 367-9170</w:t>
      </w:r>
    </w:p>
    <w:p>
      <w:pPr>
        <w:spacing w:after="0" w:line="19" w:lineRule="exact"/>
        <w:rPr>
          <w:rFonts w:ascii="Times New Roman" w:cs="Times New Roman" w:eastAsia="Times New Roman" w:hAnsi="Times New Roman"/>
          <w:sz w:val="16"/>
          <w:szCs w:val="16"/>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Attn: Donna Shiroma, General Counsel</w:t>
      </w:r>
    </w:p>
    <w:p>
      <w:pPr>
        <w:spacing w:after="0" w:line="222" w:lineRule="exact"/>
        <w:rPr>
          <w:rFonts w:ascii="Times New Roman" w:cs="Times New Roman" w:eastAsia="Times New Roman" w:hAnsi="Times New Roman"/>
          <w:sz w:val="16"/>
          <w:szCs w:val="16"/>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2" w:right="399" w:bottom="1440" w:gutter="0" w:footer="0" w:header="0"/>
        </w:sectPr>
      </w:pPr>
    </w:p>
    <w:bookmarkStart w:id="22" w:name="page23"/>
    <w:bookmarkEnd w:id="22"/>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400,000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467995</wp:posOffset>
            </wp:positionV>
            <wp:extent cx="2023110" cy="2426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2023110" cy="242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-162560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 2025</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7"/>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jpe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jpe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23" Type="http://schemas.openxmlformats.org/officeDocument/2006/relationships/hyperlink" Target="https://www.sec.gov/ix?doc=/Archives/edgar/data/1762303/000095017025020026/rcel-20241231.htm" TargetMode="External"/><Relationship Id="rId24" Type="http://schemas.openxmlformats.org/officeDocument/2006/relationships/hyperlink" Target="https://www.sec.gov/ix?doc=/Archives/edgar/data/0001762303/000095017025066994/rcel-20250331.htm" TargetMode="External"/><Relationship Id="rId25" Type="http://schemas.openxmlformats.org/officeDocument/2006/relationships/hyperlink" Target="https://www.sec.gov/ix?doc=/Archives/edgar/data/0001762303/000176230325000014/rcel-20250630.htm" TargetMode="External"/><Relationship Id="rId26" Type="http://schemas.openxmlformats.org/officeDocument/2006/relationships/hyperlink" Target="https://www.sec.gov/ix?doc=/Archives/edgar/data/0001762303/000095017025019862/rcel-20250213.htm" TargetMode="External"/><Relationship Id="rId27" Type="http://schemas.openxmlformats.org/officeDocument/2006/relationships/hyperlink" Target="https://www.sec.gov/ix?doc=/Archives/edgar/data/0001762303/000095017025040249/rcel-20250317.htm" TargetMode="External"/><Relationship Id="rId28" Type="http://schemas.openxmlformats.org/officeDocument/2006/relationships/hyperlink" Target="https://www.sec.gov/ix?doc=/Archives/edgar/data/0001762303/000095017025072746/rcel-20250515.htm" TargetMode="External"/><Relationship Id="rId29" Type="http://schemas.openxmlformats.org/officeDocument/2006/relationships/hyperlink" Target="https://www.sec.gov/ix?doc=/Archives/edgar/data/0001762303/000095017025081880/rcel-20250604.htm" TargetMode="External"/><Relationship Id="rId30" Type="http://schemas.openxmlformats.org/officeDocument/2006/relationships/hyperlink" Target="https://www.sec.gov/ix?doc=/Archives/edgar/data/0001762303/000095017025104019/rcel-20250806.htm" TargetMode="External"/><Relationship Id="rId31" Type="http://schemas.openxmlformats.org/officeDocument/2006/relationships/hyperlink" Target="https://www.sec.gov/ix?doc=/Archives/edgar/data/0001762303/000176230325000012/rcel-20250807.htm" TargetMode="External"/><Relationship Id="rId32" Type="http://schemas.openxmlformats.org/officeDocument/2006/relationships/hyperlink" Target="https://www.sec.gov/Archives/edgar/data/1762303/000156459023002302/rcel-ex41_1810.htm" TargetMode="External"/><Relationship Id="rId49" Type="http://schemas.openxmlformats.org/officeDocument/2006/relationships/hyperlink" Target="https://www.sec.gov/ix?doc=/Archives/edgar/data/1762303/000156459023002302/rcel-10k_20221231.htm" TargetMode="External"/><Relationship Id="rId50" Type="http://schemas.openxmlformats.org/officeDocument/2006/relationships/hyperlink" Target="https://www.sec.gov/ix?doc=/Archives/edgar/data/1762303/000119312523011170/d416307d8k.htm" TargetMode="External"/><Relationship Id="rId51" Type="http://schemas.openxmlformats.org/officeDocument/2006/relationships/hyperlink" Target="https://www.sec.gov/ix?doc=/Archives/edgar/data/1762303/000119312523075191/d467079d8k.htm" TargetMode="External"/><Relationship Id="rId52" Type="http://schemas.openxmlformats.org/officeDocument/2006/relationships/hyperlink" Target="https://www.sec.gov/ix?doc=/Archives/edgar/data/1762303/000119312523076835/d804540d8k.htm" TargetMode="External"/><Relationship Id="rId53" Type="http://schemas.openxmlformats.org/officeDocument/2006/relationships/hyperlink" Target="https://www.sec.gov/ix?doc=/Archives/edgar/data/1762303/000119312523080474/d46871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2025-08-08T07:38:54Z</dcterms:created>
  <dcterms:modified xsi:type="dcterms:W3CDTF">2025-08-08T07:38:54Z</dcterms:modified>
</cp:coreProperties>
</file>